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B3DE75">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color w:val="auto"/>
          <w:sz w:val="72"/>
          <w:szCs w:val="72"/>
          <w:highlight w:val="none"/>
        </w:rPr>
      </w:pPr>
    </w:p>
    <w:p w14:paraId="1B6AF068">
      <w:pPr>
        <w:adjustRightInd w:val="0"/>
        <w:snapToGrid w:val="0"/>
        <w:jc w:val="center"/>
        <w:outlineLvl w:val="0"/>
        <w:rPr>
          <w:rFonts w:hint="default" w:ascii="Times New Roman" w:hAnsi="Times New Roman" w:eastAsia="宋体" w:cs="Times New Roman"/>
          <w:b w:val="0"/>
          <w:bCs/>
          <w:color w:val="auto"/>
          <w:sz w:val="72"/>
          <w:szCs w:val="72"/>
          <w:highlight w:val="none"/>
        </w:rPr>
      </w:pPr>
      <w:r>
        <w:rPr>
          <w:rFonts w:hint="default" w:ascii="Times New Roman" w:hAnsi="Times New Roman" w:eastAsia="宋体" w:cs="Times New Roman"/>
          <w:b w:val="0"/>
          <w:bCs/>
          <w:color w:val="auto"/>
          <w:sz w:val="72"/>
          <w:szCs w:val="72"/>
          <w:highlight w:val="none"/>
        </w:rPr>
        <w:t>建设项目环境影响报告表</w:t>
      </w:r>
    </w:p>
    <w:p w14:paraId="14B03665">
      <w:pPr>
        <w:adjustRightInd w:val="0"/>
        <w:snapToGrid w:val="0"/>
        <w:spacing w:before="192" w:beforeLines="80"/>
        <w:jc w:val="center"/>
        <w:rPr>
          <w:rFonts w:hint="default" w:ascii="Times New Roman" w:hAnsi="Times New Roman" w:eastAsia="宋体" w:cs="Times New Roman"/>
          <w:b w:val="0"/>
          <w:bCs/>
          <w:color w:val="auto"/>
          <w:sz w:val="48"/>
          <w:szCs w:val="48"/>
          <w:highlight w:val="none"/>
        </w:rPr>
      </w:pPr>
      <w:r>
        <w:rPr>
          <w:rFonts w:hint="default" w:ascii="Times New Roman" w:hAnsi="Times New Roman" w:eastAsia="宋体" w:cs="Times New Roman"/>
          <w:b w:val="0"/>
          <w:bCs/>
          <w:color w:val="auto"/>
          <w:sz w:val="48"/>
          <w:szCs w:val="48"/>
          <w:highlight w:val="none"/>
        </w:rPr>
        <w:t>（污染影响类）</w:t>
      </w:r>
    </w:p>
    <w:p w14:paraId="3FDC1466">
      <w:pPr>
        <w:bidi w:val="0"/>
        <w:rPr>
          <w:rFonts w:hint="default" w:ascii="Times New Roman" w:hAnsi="Times New Roman" w:eastAsia="宋体" w:cs="Times New Roman"/>
          <w:color w:val="auto"/>
          <w:highlight w:val="none"/>
        </w:rPr>
      </w:pPr>
    </w:p>
    <w:p w14:paraId="45A8B39B">
      <w:pPr>
        <w:jc w:val="center"/>
        <w:rPr>
          <w:rFonts w:hint="default" w:ascii="Times New Roman" w:hAnsi="Times New Roman" w:eastAsia="宋体" w:cs="Times New Roman"/>
          <w:color w:val="auto"/>
          <w:sz w:val="52"/>
          <w:szCs w:val="52"/>
          <w:highlight w:val="none"/>
        </w:rPr>
      </w:pPr>
    </w:p>
    <w:p w14:paraId="648CC394">
      <w:pPr>
        <w:ind w:firstLine="1040"/>
        <w:rPr>
          <w:rFonts w:hint="default" w:ascii="Times New Roman" w:hAnsi="Times New Roman" w:eastAsia="宋体" w:cs="Times New Roman"/>
          <w:color w:val="auto"/>
          <w:sz w:val="44"/>
          <w:szCs w:val="44"/>
          <w:highlight w:val="none"/>
          <w:lang w:val="en-US" w:eastAsia="zh-CN"/>
        </w:rPr>
      </w:pPr>
    </w:p>
    <w:p w14:paraId="0E38E02A">
      <w:pPr>
        <w:ind w:firstLine="1040"/>
        <w:rPr>
          <w:rFonts w:hint="default" w:ascii="Times New Roman" w:hAnsi="Times New Roman" w:eastAsia="宋体" w:cs="Times New Roman"/>
          <w:color w:val="auto"/>
          <w:sz w:val="44"/>
          <w:szCs w:val="44"/>
          <w:highlight w:val="none"/>
        </w:rPr>
      </w:pPr>
    </w:p>
    <w:p w14:paraId="452067F6">
      <w:pPr>
        <w:ind w:firstLine="1040"/>
        <w:rPr>
          <w:rFonts w:hint="default" w:ascii="Times New Roman" w:hAnsi="Times New Roman" w:eastAsia="宋体" w:cs="Times New Roman"/>
          <w:color w:val="auto"/>
          <w:sz w:val="44"/>
          <w:szCs w:val="44"/>
          <w:highlight w:val="none"/>
        </w:rPr>
      </w:pPr>
    </w:p>
    <w:p w14:paraId="03318D39">
      <w:pPr>
        <w:ind w:firstLine="880"/>
        <w:rPr>
          <w:color w:val="auto"/>
          <w:sz w:val="44"/>
          <w:szCs w:val="44"/>
          <w:highlight w:val="none"/>
        </w:rPr>
      </w:pPr>
      <w:bookmarkStart w:id="0" w:name="_Hlk57884087"/>
    </w:p>
    <w:p w14:paraId="61E04223">
      <w:pPr>
        <w:adjustRightInd w:val="0"/>
        <w:snapToGrid w:val="0"/>
        <w:spacing w:line="288" w:lineRule="auto"/>
        <w:ind w:left="315" w:leftChars="150" w:firstLine="0" w:firstLineChars="0"/>
        <w:rPr>
          <w:rFonts w:hint="default" w:eastAsia="宋体"/>
          <w:color w:val="auto"/>
          <w:sz w:val="36"/>
          <w:szCs w:val="36"/>
          <w:highlight w:val="none"/>
          <w:u w:val="single"/>
          <w:lang w:val="en-US" w:eastAsia="zh-CN"/>
        </w:rPr>
      </w:pPr>
      <w:bookmarkStart w:id="1" w:name="_Toc14219"/>
      <w:r>
        <w:rPr>
          <w:rFonts w:hint="eastAsia"/>
          <w:color w:val="auto"/>
          <w:sz w:val="36"/>
          <w:szCs w:val="36"/>
          <w:highlight w:val="none"/>
        </w:rPr>
        <w:t>项目名称：</w:t>
      </w:r>
      <w:r>
        <w:rPr>
          <w:rFonts w:hint="eastAsia"/>
          <w:color w:val="auto"/>
          <w:sz w:val="36"/>
          <w:szCs w:val="36"/>
          <w:highlight w:val="none"/>
          <w:u w:val="single"/>
        </w:rPr>
        <w:t xml:space="preserve"> </w:t>
      </w:r>
      <w:bookmarkEnd w:id="1"/>
      <w:r>
        <w:rPr>
          <w:rFonts w:hint="eastAsia"/>
          <w:color w:val="auto"/>
          <w:sz w:val="36"/>
          <w:szCs w:val="36"/>
          <w:highlight w:val="none"/>
          <w:u w:val="single"/>
          <w:lang w:val="en-US" w:eastAsia="zh-CN"/>
        </w:rPr>
        <w:t xml:space="preserve">安徽宏柠科技有限公司年产3000吨铝单板、1500吨金属护栏、400吨配电桥架生产项目                                         </w:t>
      </w:r>
    </w:p>
    <w:p w14:paraId="567F9B61">
      <w:pPr>
        <w:adjustRightInd w:val="0"/>
        <w:snapToGrid w:val="0"/>
        <w:spacing w:line="288" w:lineRule="auto"/>
        <w:ind w:left="1755" w:leftChars="150" w:hanging="1440" w:hangingChars="400"/>
        <w:rPr>
          <w:rFonts w:hint="default" w:eastAsia="宋体"/>
          <w:color w:val="auto"/>
          <w:sz w:val="36"/>
          <w:szCs w:val="36"/>
          <w:highlight w:val="none"/>
          <w:u w:val="single"/>
          <w:lang w:val="en-US" w:eastAsia="zh-CN"/>
        </w:rPr>
      </w:pPr>
      <w:bookmarkStart w:id="2" w:name="_Toc13664"/>
      <w:r>
        <w:rPr>
          <w:rFonts w:hint="eastAsia"/>
          <w:color w:val="auto"/>
          <w:sz w:val="36"/>
          <w:szCs w:val="36"/>
          <w:highlight w:val="none"/>
        </w:rPr>
        <w:t>建设单位：</w:t>
      </w:r>
      <w:bookmarkEnd w:id="2"/>
      <w:r>
        <w:rPr>
          <w:rFonts w:hint="eastAsia"/>
          <w:color w:val="auto"/>
          <w:sz w:val="36"/>
          <w:szCs w:val="36"/>
          <w:highlight w:val="none"/>
          <w:u w:val="single"/>
        </w:rPr>
        <w:t xml:space="preserve"> </w:t>
      </w:r>
      <w:r>
        <w:rPr>
          <w:rFonts w:hint="eastAsia"/>
          <w:color w:val="auto"/>
          <w:sz w:val="36"/>
          <w:szCs w:val="36"/>
          <w:highlight w:val="none"/>
          <w:u w:val="single"/>
          <w:lang w:val="en-US" w:eastAsia="zh-CN"/>
        </w:rPr>
        <w:t xml:space="preserve">      安徽宏柠科技有限公司          </w:t>
      </w:r>
    </w:p>
    <w:p w14:paraId="3571E0AD">
      <w:pPr>
        <w:adjustRightInd w:val="0"/>
        <w:snapToGrid w:val="0"/>
        <w:spacing w:line="288" w:lineRule="auto"/>
        <w:ind w:firstLine="360" w:firstLineChars="100"/>
        <w:rPr>
          <w:rFonts w:hint="default" w:ascii="Times New Roman" w:hAnsi="Times New Roman" w:eastAsia="宋体" w:cs="Times New Roman"/>
          <w:color w:val="auto"/>
          <w:sz w:val="36"/>
          <w:szCs w:val="36"/>
          <w:highlight w:val="none"/>
          <w:lang w:val="en-US" w:eastAsia="zh-CN"/>
        </w:rPr>
      </w:pPr>
      <w:bookmarkStart w:id="3" w:name="_Toc24599"/>
      <w:r>
        <w:rPr>
          <w:rFonts w:hint="eastAsia"/>
          <w:color w:val="auto"/>
          <w:sz w:val="36"/>
          <w:szCs w:val="36"/>
          <w:highlight w:val="none"/>
        </w:rPr>
        <w:t>编制日期：</w:t>
      </w:r>
      <w:bookmarkEnd w:id="3"/>
      <w:r>
        <w:rPr>
          <w:rFonts w:hint="eastAsia"/>
          <w:color w:val="auto"/>
          <w:sz w:val="36"/>
          <w:szCs w:val="36"/>
          <w:highlight w:val="none"/>
          <w:u w:val="single"/>
        </w:rPr>
        <w:t xml:space="preserve">            202</w:t>
      </w:r>
      <w:r>
        <w:rPr>
          <w:rFonts w:hint="eastAsia"/>
          <w:color w:val="auto"/>
          <w:sz w:val="36"/>
          <w:szCs w:val="36"/>
          <w:highlight w:val="none"/>
          <w:u w:val="single"/>
          <w:lang w:val="en-US" w:eastAsia="zh-CN"/>
        </w:rPr>
        <w:t>5</w:t>
      </w:r>
      <w:r>
        <w:rPr>
          <w:rFonts w:hint="eastAsia"/>
          <w:color w:val="auto"/>
          <w:sz w:val="36"/>
          <w:szCs w:val="36"/>
          <w:highlight w:val="none"/>
          <w:u w:val="single"/>
        </w:rPr>
        <w:t>年</w:t>
      </w:r>
      <w:r>
        <w:rPr>
          <w:rFonts w:hint="eastAsia"/>
          <w:color w:val="auto"/>
          <w:sz w:val="36"/>
          <w:szCs w:val="36"/>
          <w:highlight w:val="none"/>
          <w:u w:val="single"/>
          <w:lang w:val="en-US" w:eastAsia="zh-CN"/>
        </w:rPr>
        <w:t>8</w:t>
      </w:r>
      <w:r>
        <w:rPr>
          <w:rFonts w:hint="eastAsia"/>
          <w:color w:val="auto"/>
          <w:sz w:val="36"/>
          <w:szCs w:val="36"/>
          <w:highlight w:val="none"/>
          <w:u w:val="single"/>
        </w:rPr>
        <w:t xml:space="preserve">月             </w:t>
      </w:r>
    </w:p>
    <w:p w14:paraId="0736A204">
      <w:pPr>
        <w:adjustRightInd w:val="0"/>
        <w:snapToGrid w:val="0"/>
        <w:spacing w:line="288" w:lineRule="auto"/>
        <w:ind w:firstLine="1040"/>
        <w:rPr>
          <w:rFonts w:hint="default" w:ascii="Times New Roman" w:hAnsi="Times New Roman" w:eastAsia="宋体" w:cs="Times New Roman"/>
          <w:color w:val="auto"/>
          <w:sz w:val="36"/>
          <w:szCs w:val="36"/>
          <w:highlight w:val="none"/>
          <w:lang w:val="en-US" w:eastAsia="zh-CN"/>
        </w:rPr>
      </w:pPr>
    </w:p>
    <w:p w14:paraId="5C0BE247">
      <w:pPr>
        <w:adjustRightInd w:val="0"/>
        <w:snapToGrid w:val="0"/>
        <w:spacing w:line="288" w:lineRule="auto"/>
        <w:ind w:firstLine="1040"/>
        <w:rPr>
          <w:rFonts w:hint="default" w:ascii="Times New Roman" w:hAnsi="Times New Roman" w:eastAsia="宋体" w:cs="Times New Roman"/>
          <w:color w:val="auto"/>
          <w:sz w:val="36"/>
          <w:szCs w:val="36"/>
          <w:highlight w:val="none"/>
          <w:lang w:val="en-US" w:eastAsia="zh-CN"/>
        </w:rPr>
      </w:pPr>
    </w:p>
    <w:p w14:paraId="3491FCE0">
      <w:pPr>
        <w:adjustRightInd w:val="0"/>
        <w:snapToGrid w:val="0"/>
        <w:spacing w:line="288" w:lineRule="auto"/>
        <w:ind w:firstLine="1040"/>
        <w:rPr>
          <w:rFonts w:hint="default" w:ascii="Times New Roman" w:hAnsi="Times New Roman" w:eastAsia="宋体" w:cs="Times New Roman"/>
          <w:color w:val="auto"/>
          <w:sz w:val="36"/>
          <w:szCs w:val="36"/>
          <w:highlight w:val="none"/>
          <w:lang w:val="en-US" w:eastAsia="zh-CN"/>
        </w:rPr>
      </w:pPr>
    </w:p>
    <w:p w14:paraId="079F4E3D">
      <w:pPr>
        <w:adjustRightInd w:val="0"/>
        <w:snapToGrid w:val="0"/>
        <w:spacing w:line="288" w:lineRule="auto"/>
        <w:ind w:firstLine="1040"/>
        <w:rPr>
          <w:rFonts w:hint="default" w:ascii="Times New Roman" w:hAnsi="Times New Roman" w:eastAsia="宋体" w:cs="Times New Roman"/>
          <w:color w:val="auto"/>
          <w:sz w:val="36"/>
          <w:szCs w:val="36"/>
          <w:highlight w:val="none"/>
          <w:lang w:val="en-US" w:eastAsia="zh-CN"/>
        </w:rPr>
      </w:pPr>
    </w:p>
    <w:p w14:paraId="2C2B79B0">
      <w:pPr>
        <w:adjustRightInd w:val="0"/>
        <w:snapToGrid w:val="0"/>
        <w:spacing w:line="288" w:lineRule="auto"/>
        <w:ind w:firstLine="1040"/>
        <w:rPr>
          <w:rFonts w:hint="default" w:ascii="Times New Roman" w:hAnsi="Times New Roman" w:eastAsia="宋体" w:cs="Times New Roman"/>
          <w:color w:val="auto"/>
          <w:sz w:val="36"/>
          <w:szCs w:val="36"/>
          <w:highlight w:val="none"/>
          <w:lang w:val="en-US" w:eastAsia="zh-CN"/>
        </w:rPr>
      </w:pPr>
      <w:r>
        <w:rPr>
          <w:rFonts w:hint="default" w:ascii="Times New Roman" w:hAnsi="Times New Roman" w:eastAsia="宋体" w:cs="Times New Roman"/>
          <w:color w:val="auto"/>
          <w:sz w:val="36"/>
          <w:szCs w:val="36"/>
          <w:highlight w:val="none"/>
          <w:lang w:val="en-US" w:eastAsia="zh-CN"/>
        </w:rPr>
        <w:t xml:space="preserve"> </w:t>
      </w:r>
    </w:p>
    <w:bookmarkEnd w:id="0"/>
    <w:p w14:paraId="501CFA4E">
      <w:pPr>
        <w:adjustRightInd w:val="0"/>
        <w:snapToGrid w:val="0"/>
        <w:spacing w:line="288" w:lineRule="auto"/>
        <w:jc w:val="center"/>
        <w:rPr>
          <w:rFonts w:hint="eastAsia" w:ascii="Times New Roman" w:hAnsi="Times New Roman" w:eastAsia="宋体" w:cs="Times New Roman"/>
          <w:b/>
          <w:bCs/>
          <w:color w:val="auto"/>
          <w:sz w:val="36"/>
          <w:szCs w:val="36"/>
          <w:highlight w:val="none"/>
          <w:lang w:val="en-US" w:eastAsia="zh-CN"/>
        </w:rPr>
      </w:pPr>
    </w:p>
    <w:p w14:paraId="6F8D0524">
      <w:pPr>
        <w:adjustRightInd w:val="0"/>
        <w:snapToGrid w:val="0"/>
        <w:spacing w:line="288" w:lineRule="auto"/>
        <w:jc w:val="center"/>
        <w:rPr>
          <w:rFonts w:hint="default" w:ascii="Times New Roman" w:hAnsi="Times New Roman" w:eastAsia="宋体" w:cs="Times New Roman"/>
          <w:b/>
          <w:bCs/>
          <w:color w:val="auto"/>
          <w:sz w:val="36"/>
          <w:szCs w:val="36"/>
          <w:highlight w:val="none"/>
        </w:rPr>
      </w:pPr>
      <w:r>
        <w:rPr>
          <w:rFonts w:hint="eastAsia" w:ascii="Times New Roman" w:hAnsi="Times New Roman" w:eastAsia="宋体" w:cs="Times New Roman"/>
          <w:b/>
          <w:bCs/>
          <w:color w:val="auto"/>
          <w:sz w:val="36"/>
          <w:szCs w:val="36"/>
          <w:highlight w:val="none"/>
          <w:lang w:val="en-US" w:eastAsia="zh-CN"/>
        </w:rPr>
        <w:t xml:space="preserve">      </w:t>
      </w:r>
      <w:r>
        <w:rPr>
          <w:rFonts w:hint="default" w:ascii="Times New Roman" w:hAnsi="Times New Roman" w:eastAsia="宋体" w:cs="Times New Roman"/>
          <w:b/>
          <w:bCs/>
          <w:color w:val="auto"/>
          <w:sz w:val="36"/>
          <w:szCs w:val="36"/>
          <w:highlight w:val="none"/>
        </w:rPr>
        <w:t>中华人民共和国生态环境部制</w:t>
      </w:r>
    </w:p>
    <w:p w14:paraId="5DEDCA83">
      <w:pPr>
        <w:rPr>
          <w:color w:val="auto"/>
          <w:highlight w:val="none"/>
        </w:rPr>
        <w:sectPr>
          <w:headerReference r:id="rId3" w:type="default"/>
          <w:pgSz w:w="11906" w:h="16838"/>
          <w:pgMar w:top="1440" w:right="1800" w:bottom="1440" w:left="1800" w:header="851" w:footer="992" w:gutter="0"/>
          <w:cols w:space="425" w:num="1"/>
          <w:docGrid w:type="lines" w:linePitch="312" w:charSpace="0"/>
        </w:sectPr>
      </w:pPr>
    </w:p>
    <w:p w14:paraId="577D383F">
      <w:pPr>
        <w:rPr>
          <w:color w:val="auto"/>
          <w:highlight w:val="none"/>
        </w:rPr>
        <w:sectPr>
          <w:pgSz w:w="11906" w:h="16838"/>
          <w:pgMar w:top="1440" w:right="1800" w:bottom="1440" w:left="1800" w:header="851" w:footer="992" w:gutter="0"/>
          <w:cols w:space="425" w:num="1"/>
          <w:docGrid w:type="lines" w:linePitch="312" w:charSpace="0"/>
        </w:sectPr>
      </w:pPr>
    </w:p>
    <w:p w14:paraId="2F4B9EA6">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outlineLvl w:val="0"/>
        <w:rPr>
          <w:rFonts w:hint="eastAsia" w:ascii="宋体" w:hAnsi="宋体" w:eastAsia="宋体" w:cs="宋体"/>
          <w:b/>
          <w:bCs/>
          <w:snapToGrid w:val="0"/>
          <w:color w:val="auto"/>
          <w:sz w:val="30"/>
          <w:szCs w:val="30"/>
          <w:highlight w:val="none"/>
        </w:rPr>
      </w:pPr>
      <w:r>
        <w:rPr>
          <w:rFonts w:hint="eastAsia" w:ascii="宋体" w:hAnsi="宋体" w:eastAsia="宋体" w:cs="宋体"/>
          <w:b/>
          <w:bCs/>
          <w:snapToGrid w:val="0"/>
          <w:color w:val="auto"/>
          <w:kern w:val="2"/>
          <w:sz w:val="30"/>
          <w:szCs w:val="30"/>
          <w:highlight w:val="none"/>
          <w:lang w:val="en-US" w:eastAsia="zh-CN" w:bidi="ar-SA"/>
        </w:rPr>
        <w:t>一、</w:t>
      </w:r>
      <w:r>
        <w:rPr>
          <w:rFonts w:hint="eastAsia" w:ascii="宋体" w:hAnsi="宋体" w:eastAsia="宋体" w:cs="宋体"/>
          <w:b/>
          <w:bCs/>
          <w:snapToGrid w:val="0"/>
          <w:color w:val="auto"/>
          <w:sz w:val="30"/>
          <w:szCs w:val="30"/>
          <w:highlight w:val="none"/>
        </w:rPr>
        <w:t>建设项目基本情况</w:t>
      </w:r>
    </w:p>
    <w:tbl>
      <w:tblPr>
        <w:tblStyle w:val="25"/>
        <w:tblW w:w="937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138"/>
        <w:gridCol w:w="782"/>
        <w:gridCol w:w="2099"/>
        <w:gridCol w:w="1947"/>
        <w:gridCol w:w="3412"/>
      </w:tblGrid>
      <w:tr w14:paraId="32C81A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20" w:type="dxa"/>
            <w:gridSpan w:val="2"/>
            <w:tcBorders>
              <w:tl2br w:val="nil"/>
              <w:tr2bl w:val="nil"/>
            </w:tcBorders>
            <w:tcMar>
              <w:top w:w="16" w:type="dxa"/>
              <w:left w:w="16" w:type="dxa"/>
              <w:right w:w="16" w:type="dxa"/>
            </w:tcMar>
            <w:vAlign w:val="center"/>
          </w:tcPr>
          <w:p w14:paraId="0B012B2F">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建设项目名称</w:t>
            </w:r>
          </w:p>
        </w:tc>
        <w:tc>
          <w:tcPr>
            <w:tcW w:w="7458" w:type="dxa"/>
            <w:gridSpan w:val="3"/>
            <w:tcBorders>
              <w:tl2br w:val="nil"/>
              <w:tr2bl w:val="nil"/>
            </w:tcBorders>
            <w:vAlign w:val="center"/>
          </w:tcPr>
          <w:p w14:paraId="2E8EF8A4">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安徽宏柠科技有限公司年产3000吨铝单板、1500吨金属护栏、400吨配电桥架生产项目</w:t>
            </w:r>
          </w:p>
        </w:tc>
      </w:tr>
      <w:tr w14:paraId="37A834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20" w:type="dxa"/>
            <w:gridSpan w:val="2"/>
            <w:tcBorders>
              <w:tl2br w:val="nil"/>
              <w:tr2bl w:val="nil"/>
            </w:tcBorders>
            <w:tcMar>
              <w:top w:w="16" w:type="dxa"/>
              <w:left w:w="16" w:type="dxa"/>
              <w:right w:w="16" w:type="dxa"/>
            </w:tcMar>
            <w:vAlign w:val="center"/>
          </w:tcPr>
          <w:p w14:paraId="2E582E99">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项目代码</w:t>
            </w:r>
          </w:p>
        </w:tc>
        <w:tc>
          <w:tcPr>
            <w:tcW w:w="7458" w:type="dxa"/>
            <w:gridSpan w:val="3"/>
            <w:tcBorders>
              <w:tl2br w:val="nil"/>
              <w:tr2bl w:val="nil"/>
            </w:tcBorders>
            <w:vAlign w:val="center"/>
          </w:tcPr>
          <w:p w14:paraId="428EF26D">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2306-340603-04-01-598292</w:t>
            </w:r>
          </w:p>
        </w:tc>
      </w:tr>
      <w:tr w14:paraId="7F56F0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20" w:type="dxa"/>
            <w:gridSpan w:val="2"/>
            <w:tcBorders>
              <w:tl2br w:val="nil"/>
              <w:tr2bl w:val="nil"/>
            </w:tcBorders>
            <w:tcMar>
              <w:top w:w="16" w:type="dxa"/>
              <w:left w:w="16" w:type="dxa"/>
              <w:right w:w="16" w:type="dxa"/>
            </w:tcMar>
            <w:vAlign w:val="center"/>
          </w:tcPr>
          <w:p w14:paraId="18FA9646">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建设单位联系人</w:t>
            </w:r>
          </w:p>
        </w:tc>
        <w:tc>
          <w:tcPr>
            <w:tcW w:w="2099" w:type="dxa"/>
            <w:tcBorders>
              <w:tl2br w:val="nil"/>
              <w:tr2bl w:val="nil"/>
            </w:tcBorders>
            <w:vAlign w:val="center"/>
          </w:tcPr>
          <w:p w14:paraId="51B292B9">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尹</w:t>
            </w:r>
            <w:r>
              <w:rPr>
                <w:rFonts w:hint="eastAsia" w:cs="Times New Roman"/>
                <w:color w:val="auto"/>
                <w:sz w:val="24"/>
                <w:szCs w:val="24"/>
                <w:highlight w:val="none"/>
                <w:lang w:val="en-US" w:eastAsia="zh-CN"/>
              </w:rPr>
              <w:t>*</w:t>
            </w:r>
            <w:bookmarkStart w:id="63" w:name="_GoBack"/>
            <w:bookmarkEnd w:id="63"/>
            <w:r>
              <w:rPr>
                <w:rFonts w:hint="eastAsia" w:ascii="Times New Roman" w:hAnsi="Times New Roman" w:cs="Times New Roman"/>
                <w:color w:val="auto"/>
                <w:sz w:val="24"/>
                <w:szCs w:val="24"/>
                <w:highlight w:val="none"/>
                <w:lang w:val="en-US" w:eastAsia="zh-CN"/>
              </w:rPr>
              <w:t>杰</w:t>
            </w:r>
          </w:p>
        </w:tc>
        <w:tc>
          <w:tcPr>
            <w:tcW w:w="1947" w:type="dxa"/>
            <w:tcBorders>
              <w:tl2br w:val="nil"/>
              <w:tr2bl w:val="nil"/>
            </w:tcBorders>
            <w:vAlign w:val="center"/>
          </w:tcPr>
          <w:p w14:paraId="58B1EF90">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联系方式</w:t>
            </w:r>
          </w:p>
        </w:tc>
        <w:tc>
          <w:tcPr>
            <w:tcW w:w="3412" w:type="dxa"/>
            <w:tcBorders>
              <w:tl2br w:val="nil"/>
              <w:tr2bl w:val="nil"/>
            </w:tcBorders>
            <w:vAlign w:val="center"/>
          </w:tcPr>
          <w:p w14:paraId="7FDD561E">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188</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0188</w:t>
            </w:r>
          </w:p>
        </w:tc>
      </w:tr>
      <w:tr w14:paraId="445004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20" w:type="dxa"/>
            <w:gridSpan w:val="2"/>
            <w:tcBorders>
              <w:tl2br w:val="nil"/>
              <w:tr2bl w:val="nil"/>
            </w:tcBorders>
            <w:tcMar>
              <w:top w:w="16" w:type="dxa"/>
              <w:left w:w="16" w:type="dxa"/>
              <w:right w:w="16" w:type="dxa"/>
            </w:tcMar>
            <w:vAlign w:val="center"/>
          </w:tcPr>
          <w:p w14:paraId="58F9445F">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建设地点</w:t>
            </w:r>
          </w:p>
        </w:tc>
        <w:tc>
          <w:tcPr>
            <w:tcW w:w="7458" w:type="dxa"/>
            <w:gridSpan w:val="3"/>
            <w:tcBorders>
              <w:tl2br w:val="nil"/>
              <w:tr2bl w:val="nil"/>
            </w:tcBorders>
            <w:vAlign w:val="center"/>
          </w:tcPr>
          <w:p w14:paraId="2D3E08D2">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安徽淮北相山区经济开发区凤霞路9号</w:t>
            </w:r>
          </w:p>
        </w:tc>
      </w:tr>
      <w:tr w14:paraId="6DE489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20" w:type="dxa"/>
            <w:gridSpan w:val="2"/>
            <w:tcBorders>
              <w:tl2br w:val="nil"/>
              <w:tr2bl w:val="nil"/>
            </w:tcBorders>
            <w:tcMar>
              <w:top w:w="16" w:type="dxa"/>
              <w:left w:w="16" w:type="dxa"/>
              <w:right w:w="16" w:type="dxa"/>
            </w:tcMar>
            <w:vAlign w:val="center"/>
          </w:tcPr>
          <w:p w14:paraId="4AD3D1E0">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7458" w:type="dxa"/>
            <w:gridSpan w:val="3"/>
            <w:tcBorders>
              <w:tl2br w:val="nil"/>
              <w:tr2bl w:val="nil"/>
            </w:tcBorders>
            <w:vAlign w:val="center"/>
          </w:tcPr>
          <w:p w14:paraId="1D7D558F">
            <w:pPr>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经度：</w:t>
            </w:r>
            <w:r>
              <w:rPr>
                <w:rFonts w:hint="default" w:ascii="Times New Roman" w:hAnsi="Times New Roman" w:cs="Times New Roman"/>
                <w:color w:val="auto"/>
                <w:sz w:val="24"/>
                <w:szCs w:val="24"/>
                <w:highlight w:val="none"/>
              </w:rPr>
              <w:t>116度</w:t>
            </w:r>
            <w:r>
              <w:rPr>
                <w:rFonts w:hint="eastAsia" w:cs="Times New Roman"/>
                <w:color w:val="auto"/>
                <w:sz w:val="24"/>
                <w:szCs w:val="24"/>
                <w:highlight w:val="none"/>
                <w:lang w:val="en-US" w:eastAsia="zh-CN"/>
              </w:rPr>
              <w:t>74</w:t>
            </w:r>
            <w:r>
              <w:rPr>
                <w:rFonts w:hint="default" w:ascii="Times New Roman" w:hAnsi="Times New Roman" w:cs="Times New Roman"/>
                <w:color w:val="auto"/>
                <w:sz w:val="24"/>
                <w:szCs w:val="24"/>
                <w:highlight w:val="none"/>
              </w:rPr>
              <w:t>分</w:t>
            </w:r>
            <w:r>
              <w:rPr>
                <w:rFonts w:hint="eastAsia" w:cs="Times New Roman"/>
                <w:color w:val="auto"/>
                <w:sz w:val="24"/>
                <w:szCs w:val="24"/>
                <w:highlight w:val="none"/>
                <w:lang w:val="en-US" w:eastAsia="zh-CN"/>
              </w:rPr>
              <w:t>78</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19</w:t>
            </w:r>
            <w:r>
              <w:rPr>
                <w:rFonts w:hint="default" w:ascii="Times New Roman" w:hAnsi="Times New Roman" w:cs="Times New Roman"/>
                <w:color w:val="auto"/>
                <w:sz w:val="24"/>
                <w:szCs w:val="24"/>
                <w:highlight w:val="none"/>
              </w:rPr>
              <w:t>0秒，</w:t>
            </w:r>
            <w:r>
              <w:rPr>
                <w:rFonts w:hint="default" w:ascii="Times New Roman" w:hAnsi="Times New Roman" w:eastAsia="宋体" w:cs="Times New Roman"/>
                <w:color w:val="auto"/>
                <w:sz w:val="24"/>
                <w:szCs w:val="24"/>
                <w:highlight w:val="none"/>
                <w:lang w:val="en-US" w:eastAsia="zh-CN"/>
              </w:rPr>
              <w:t>纬度：</w:t>
            </w:r>
            <w:r>
              <w:rPr>
                <w:rFonts w:hint="default" w:ascii="Times New Roman" w:hAnsi="Times New Roman" w:cs="Times New Roman"/>
                <w:color w:val="auto"/>
                <w:sz w:val="24"/>
                <w:szCs w:val="24"/>
                <w:highlight w:val="none"/>
              </w:rPr>
              <w:t>34度0分</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083</w:t>
            </w:r>
            <w:r>
              <w:rPr>
                <w:rFonts w:hint="default" w:ascii="Times New Roman" w:hAnsi="Times New Roman" w:cs="Times New Roman"/>
                <w:color w:val="auto"/>
                <w:sz w:val="24"/>
                <w:szCs w:val="24"/>
                <w:highlight w:val="none"/>
              </w:rPr>
              <w:t>秒</w:t>
            </w:r>
          </w:p>
        </w:tc>
      </w:tr>
      <w:tr w14:paraId="19581D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1" w:hRule="atLeast"/>
          <w:jc w:val="center"/>
        </w:trPr>
        <w:tc>
          <w:tcPr>
            <w:tcW w:w="1920" w:type="dxa"/>
            <w:gridSpan w:val="2"/>
            <w:tcBorders>
              <w:tl2br w:val="nil"/>
              <w:tr2bl w:val="nil"/>
            </w:tcBorders>
            <w:tcMar>
              <w:top w:w="16" w:type="dxa"/>
              <w:left w:w="16" w:type="dxa"/>
              <w:right w:w="16" w:type="dxa"/>
            </w:tcMar>
            <w:vAlign w:val="center"/>
          </w:tcPr>
          <w:p w14:paraId="29A6CA7F">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国民经济</w:t>
            </w:r>
          </w:p>
          <w:p w14:paraId="1F35CC9B">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p>
        </w:tc>
        <w:tc>
          <w:tcPr>
            <w:tcW w:w="2099" w:type="dxa"/>
            <w:tcBorders>
              <w:tl2br w:val="nil"/>
              <w:tr2bl w:val="nil"/>
            </w:tcBorders>
            <w:vAlign w:val="center"/>
          </w:tcPr>
          <w:p w14:paraId="2084697E">
            <w:pPr>
              <w:adjustRightInd w:val="0"/>
              <w:snapToGrid w:val="0"/>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C</w:t>
            </w:r>
            <w:r>
              <w:rPr>
                <w:rFonts w:hint="eastAsia" w:cs="Times New Roman"/>
                <w:color w:val="auto"/>
                <w:sz w:val="24"/>
                <w:szCs w:val="24"/>
                <w:highlight w:val="none"/>
                <w:lang w:val="en-US" w:eastAsia="zh-CN"/>
              </w:rPr>
              <w:t>3312金属门窗制造</w:t>
            </w:r>
          </w:p>
        </w:tc>
        <w:tc>
          <w:tcPr>
            <w:tcW w:w="1947" w:type="dxa"/>
            <w:tcBorders>
              <w:tl2br w:val="nil"/>
              <w:tr2bl w:val="nil"/>
            </w:tcBorders>
            <w:vAlign w:val="center"/>
          </w:tcPr>
          <w:p w14:paraId="788B1184">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bookmarkStart w:id="4" w:name="_Hlk49843745"/>
            <w:r>
              <w:rPr>
                <w:rFonts w:hint="default" w:ascii="Times New Roman" w:hAnsi="Times New Roman" w:cs="Times New Roman"/>
                <w:color w:val="auto"/>
                <w:sz w:val="24"/>
                <w:szCs w:val="24"/>
                <w:highlight w:val="none"/>
              </w:rPr>
              <w:t>建设项目</w:t>
            </w:r>
          </w:p>
          <w:p w14:paraId="08438D3E">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bookmarkEnd w:id="4"/>
          </w:p>
        </w:tc>
        <w:tc>
          <w:tcPr>
            <w:tcW w:w="3412" w:type="dxa"/>
            <w:tcBorders>
              <w:tl2br w:val="nil"/>
              <w:tr2bl w:val="nil"/>
            </w:tcBorders>
            <w:vAlign w:val="center"/>
          </w:tcPr>
          <w:p w14:paraId="2607C676">
            <w:pPr>
              <w:adjustRightInd w:val="0"/>
              <w:snapToGrid w:val="0"/>
              <w:spacing w:line="240" w:lineRule="auto"/>
              <w:ind w:firstLine="0" w:firstLineChars="0"/>
              <w:jc w:val="center"/>
              <w:rPr>
                <w:rFonts w:hint="default" w:ascii="Times New Roman" w:hAnsi="Times New Roman" w:cs="Times New Roman"/>
                <w:color w:val="auto"/>
                <w:sz w:val="24"/>
                <w:szCs w:val="24"/>
                <w:highlight w:val="none"/>
                <w:lang w:val="en-US"/>
              </w:rPr>
            </w:pPr>
            <w:r>
              <w:rPr>
                <w:rFonts w:hint="eastAsia" w:cs="Times New Roman"/>
                <w:color w:val="auto"/>
                <w:sz w:val="24"/>
                <w:szCs w:val="24"/>
                <w:highlight w:val="none"/>
                <w:lang w:val="en-US" w:eastAsia="zh-CN"/>
              </w:rPr>
              <w:t>三十、金属制品业33-66.结构性金属制品制造331“其他（仅分割、焊接、组装的除外；年用非溶剂型低VOCs含量涂料10吨以下的除外）</w:t>
            </w:r>
          </w:p>
        </w:tc>
      </w:tr>
      <w:tr w14:paraId="42C9B3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219" w:hRule="atLeast"/>
          <w:jc w:val="center"/>
        </w:trPr>
        <w:tc>
          <w:tcPr>
            <w:tcW w:w="1920" w:type="dxa"/>
            <w:gridSpan w:val="2"/>
            <w:tcBorders>
              <w:tl2br w:val="nil"/>
              <w:tr2bl w:val="nil"/>
            </w:tcBorders>
            <w:tcMar>
              <w:top w:w="16" w:type="dxa"/>
              <w:left w:w="16" w:type="dxa"/>
              <w:right w:w="16" w:type="dxa"/>
            </w:tcMar>
            <w:vAlign w:val="center"/>
          </w:tcPr>
          <w:p w14:paraId="6FC990A9">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建设性质</w:t>
            </w:r>
          </w:p>
        </w:tc>
        <w:tc>
          <w:tcPr>
            <w:tcW w:w="2099" w:type="dxa"/>
            <w:tcBorders>
              <w:tl2br w:val="nil"/>
              <w:tr2bl w:val="nil"/>
            </w:tcBorders>
            <w:vAlign w:val="center"/>
          </w:tcPr>
          <w:p w14:paraId="4D6D7AB7">
            <w:pPr>
              <w:spacing w:line="240" w:lineRule="auto"/>
              <w:ind w:firstLine="0" w:firstLineChar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☑新建（迁建）</w:t>
            </w:r>
          </w:p>
          <w:p w14:paraId="12C8CC04">
            <w:pPr>
              <w:spacing w:line="240" w:lineRule="auto"/>
              <w:ind w:firstLine="0" w:firstLineChars="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改建</w:t>
            </w:r>
          </w:p>
          <w:p w14:paraId="726EA396">
            <w:pPr>
              <w:spacing w:line="240" w:lineRule="auto"/>
              <w:ind w:firstLine="0" w:firstLineChars="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扩建</w:t>
            </w:r>
          </w:p>
          <w:p w14:paraId="4365EBDD">
            <w:pPr>
              <w:spacing w:line="240" w:lineRule="auto"/>
              <w:ind w:firstLine="0" w:firstLineChars="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技术改造</w:t>
            </w:r>
          </w:p>
        </w:tc>
        <w:tc>
          <w:tcPr>
            <w:tcW w:w="1947" w:type="dxa"/>
            <w:tcBorders>
              <w:tl2br w:val="nil"/>
              <w:tr2bl w:val="nil"/>
            </w:tcBorders>
            <w:vAlign w:val="center"/>
          </w:tcPr>
          <w:p w14:paraId="54AB8B18">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14:paraId="2BDBEF7A">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申报情形</w:t>
            </w:r>
          </w:p>
        </w:tc>
        <w:tc>
          <w:tcPr>
            <w:tcW w:w="3412" w:type="dxa"/>
            <w:tcBorders>
              <w:tl2br w:val="nil"/>
              <w:tr2bl w:val="nil"/>
            </w:tcBorders>
            <w:vAlign w:val="center"/>
          </w:tcPr>
          <w:p w14:paraId="197CC99E">
            <w:pPr>
              <w:spacing w:line="240" w:lineRule="auto"/>
              <w:ind w:firstLine="0" w:firstLineChar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☑首次申报项目             </w:t>
            </w:r>
          </w:p>
          <w:p w14:paraId="3ECC924F">
            <w:pPr>
              <w:spacing w:line="240" w:lineRule="auto"/>
              <w:ind w:firstLine="0" w:firstLineChars="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不予批准后再次申报项目</w:t>
            </w:r>
          </w:p>
          <w:p w14:paraId="3FD05E54">
            <w:pPr>
              <w:spacing w:line="240" w:lineRule="auto"/>
              <w:ind w:firstLine="0" w:firstLineChars="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 xml:space="preserve">超五年重新审核项目     </w:t>
            </w:r>
          </w:p>
          <w:p w14:paraId="4FDC0241">
            <w:pPr>
              <w:spacing w:line="240" w:lineRule="auto"/>
              <w:ind w:firstLine="0" w:firstLineChars="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重大变动重新报批项目</w:t>
            </w:r>
          </w:p>
        </w:tc>
      </w:tr>
      <w:tr w14:paraId="4AE059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12" w:hRule="atLeast"/>
          <w:jc w:val="center"/>
        </w:trPr>
        <w:tc>
          <w:tcPr>
            <w:tcW w:w="1920" w:type="dxa"/>
            <w:gridSpan w:val="2"/>
            <w:tcBorders>
              <w:tl2br w:val="nil"/>
              <w:tr2bl w:val="nil"/>
            </w:tcBorders>
            <w:tcMar>
              <w:top w:w="16" w:type="dxa"/>
              <w:left w:w="16" w:type="dxa"/>
              <w:right w:w="16" w:type="dxa"/>
            </w:tcMar>
            <w:vAlign w:val="center"/>
          </w:tcPr>
          <w:p w14:paraId="4E602CF4">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项目审批（核准/备案）部门（选填）</w:t>
            </w:r>
          </w:p>
        </w:tc>
        <w:tc>
          <w:tcPr>
            <w:tcW w:w="2099" w:type="dxa"/>
            <w:tcBorders>
              <w:tl2br w:val="nil"/>
              <w:tr2bl w:val="nil"/>
            </w:tcBorders>
            <w:vAlign w:val="center"/>
          </w:tcPr>
          <w:p w14:paraId="69011E77">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安徽淮北相山经济开发区管理委员会</w:t>
            </w:r>
          </w:p>
        </w:tc>
        <w:tc>
          <w:tcPr>
            <w:tcW w:w="1947" w:type="dxa"/>
            <w:tcBorders>
              <w:tl2br w:val="nil"/>
              <w:tr2bl w:val="nil"/>
            </w:tcBorders>
            <w:vAlign w:val="center"/>
          </w:tcPr>
          <w:p w14:paraId="6C76228A">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w:t>
            </w:r>
          </w:p>
          <w:p w14:paraId="189E14D3">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备案）文号（选填）</w:t>
            </w:r>
          </w:p>
        </w:tc>
        <w:tc>
          <w:tcPr>
            <w:tcW w:w="3412" w:type="dxa"/>
            <w:tcBorders>
              <w:tl2br w:val="nil"/>
              <w:tr2bl w:val="nil"/>
            </w:tcBorders>
            <w:vAlign w:val="center"/>
          </w:tcPr>
          <w:p w14:paraId="46389B72">
            <w:pPr>
              <w:adjustRightInd w:val="0"/>
              <w:snapToGrid w:val="0"/>
              <w:spacing w:line="240" w:lineRule="auto"/>
              <w:ind w:firstLine="0" w:firstLineChars="0"/>
              <w:jc w:val="center"/>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w:t>
            </w:r>
          </w:p>
        </w:tc>
      </w:tr>
      <w:tr w14:paraId="4C694F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20" w:type="dxa"/>
            <w:gridSpan w:val="2"/>
            <w:tcBorders>
              <w:tl2br w:val="nil"/>
              <w:tr2bl w:val="nil"/>
            </w:tcBorders>
            <w:tcMar>
              <w:top w:w="16" w:type="dxa"/>
              <w:left w:w="16" w:type="dxa"/>
              <w:right w:w="16" w:type="dxa"/>
            </w:tcMar>
            <w:vAlign w:val="center"/>
          </w:tcPr>
          <w:p w14:paraId="0E7D45A5">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2099" w:type="dxa"/>
            <w:tcBorders>
              <w:tl2br w:val="nil"/>
              <w:tr2bl w:val="nil"/>
            </w:tcBorders>
            <w:vAlign w:val="center"/>
          </w:tcPr>
          <w:p w14:paraId="5FDCC5D5">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000</w:t>
            </w:r>
          </w:p>
        </w:tc>
        <w:tc>
          <w:tcPr>
            <w:tcW w:w="1947" w:type="dxa"/>
            <w:tcBorders>
              <w:tl2br w:val="nil"/>
              <w:tr2bl w:val="nil"/>
            </w:tcBorders>
            <w:tcMar>
              <w:top w:w="16" w:type="dxa"/>
              <w:left w:w="16" w:type="dxa"/>
              <w:right w:w="16" w:type="dxa"/>
            </w:tcMar>
            <w:vAlign w:val="center"/>
          </w:tcPr>
          <w:p w14:paraId="34C72A84">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3412" w:type="dxa"/>
            <w:tcBorders>
              <w:tl2br w:val="nil"/>
              <w:tr2bl w:val="nil"/>
            </w:tcBorders>
            <w:vAlign w:val="center"/>
          </w:tcPr>
          <w:p w14:paraId="52E74221">
            <w:pPr>
              <w:adjustRightInd w:val="0"/>
              <w:snapToGrid w:val="0"/>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180</w:t>
            </w:r>
          </w:p>
        </w:tc>
      </w:tr>
      <w:tr w14:paraId="47F21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20" w:type="dxa"/>
            <w:gridSpan w:val="2"/>
            <w:tcBorders>
              <w:tl2br w:val="nil"/>
              <w:tr2bl w:val="nil"/>
            </w:tcBorders>
            <w:tcMar>
              <w:top w:w="16" w:type="dxa"/>
              <w:left w:w="16" w:type="dxa"/>
              <w:right w:w="16" w:type="dxa"/>
            </w:tcMar>
            <w:vAlign w:val="center"/>
          </w:tcPr>
          <w:p w14:paraId="0BEE58A4">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2099" w:type="dxa"/>
            <w:tcBorders>
              <w:tl2br w:val="nil"/>
              <w:tr2bl w:val="nil"/>
            </w:tcBorders>
            <w:vAlign w:val="center"/>
          </w:tcPr>
          <w:p w14:paraId="16B63DD0">
            <w:pPr>
              <w:adjustRightInd w:val="0"/>
              <w:snapToGrid w:val="0"/>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9</w:t>
            </w:r>
          </w:p>
        </w:tc>
        <w:tc>
          <w:tcPr>
            <w:tcW w:w="1947" w:type="dxa"/>
            <w:tcBorders>
              <w:tl2br w:val="nil"/>
              <w:tr2bl w:val="nil"/>
            </w:tcBorders>
            <w:tcMar>
              <w:top w:w="16" w:type="dxa"/>
              <w:left w:w="16" w:type="dxa"/>
              <w:right w:w="16" w:type="dxa"/>
            </w:tcMar>
            <w:vAlign w:val="center"/>
          </w:tcPr>
          <w:p w14:paraId="6ECB09A3">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3412" w:type="dxa"/>
            <w:tcBorders>
              <w:tl2br w:val="nil"/>
              <w:tr2bl w:val="nil"/>
            </w:tcBorders>
            <w:vAlign w:val="center"/>
          </w:tcPr>
          <w:p w14:paraId="27B76BA9">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3个月</w:t>
            </w:r>
          </w:p>
        </w:tc>
      </w:tr>
      <w:tr w14:paraId="57689E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20" w:type="dxa"/>
            <w:gridSpan w:val="2"/>
            <w:tcBorders>
              <w:tl2br w:val="nil"/>
              <w:tr2bl w:val="nil"/>
            </w:tcBorders>
            <w:tcMar>
              <w:top w:w="16" w:type="dxa"/>
              <w:left w:w="16" w:type="dxa"/>
              <w:right w:w="16" w:type="dxa"/>
            </w:tcMar>
            <w:vAlign w:val="center"/>
          </w:tcPr>
          <w:p w14:paraId="2901E8ED">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是否开工建设</w:t>
            </w:r>
          </w:p>
        </w:tc>
        <w:tc>
          <w:tcPr>
            <w:tcW w:w="2099" w:type="dxa"/>
            <w:tcBorders>
              <w:tl2br w:val="nil"/>
              <w:tr2bl w:val="nil"/>
            </w:tcBorders>
            <w:vAlign w:val="center"/>
          </w:tcPr>
          <w:p w14:paraId="3088CE9A">
            <w:pPr>
              <w:adjustRightInd w:val="0"/>
              <w:snapToGrid w:val="0"/>
              <w:spacing w:line="240" w:lineRule="auto"/>
              <w:ind w:firstLine="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☑否</w:t>
            </w:r>
          </w:p>
          <w:p w14:paraId="35AC58A8">
            <w:pPr>
              <w:adjustRightInd w:val="0"/>
              <w:snapToGrid w:val="0"/>
              <w:spacing w:line="240" w:lineRule="auto"/>
              <w:ind w:firstLine="0" w:firstLineChars="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是</w:t>
            </w:r>
          </w:p>
        </w:tc>
        <w:tc>
          <w:tcPr>
            <w:tcW w:w="1947" w:type="dxa"/>
            <w:tcBorders>
              <w:tl2br w:val="nil"/>
              <w:tr2bl w:val="nil"/>
            </w:tcBorders>
            <w:tcMar>
              <w:top w:w="16" w:type="dxa"/>
              <w:left w:w="16" w:type="dxa"/>
              <w:right w:w="16" w:type="dxa"/>
            </w:tcMar>
            <w:vAlign w:val="center"/>
          </w:tcPr>
          <w:p w14:paraId="01260F60">
            <w:pPr>
              <w:adjustRightInd w:val="0"/>
              <w:snapToGrid w:val="0"/>
              <w:spacing w:line="240" w:lineRule="auto"/>
              <w:ind w:firstLine="0" w:firstLineChars="0"/>
              <w:jc w:val="center"/>
              <w:rPr>
                <w:rFonts w:hint="default" w:ascii="Times New Roman" w:hAnsi="Times New Roman" w:cs="Times New Roman"/>
                <w:color w:val="auto"/>
                <w:spacing w:val="-6"/>
                <w:sz w:val="24"/>
                <w:szCs w:val="24"/>
                <w:highlight w:val="none"/>
              </w:rPr>
            </w:pPr>
            <w:r>
              <w:rPr>
                <w:rFonts w:hint="default" w:ascii="Times New Roman" w:hAnsi="Times New Roman" w:cs="Times New Roman"/>
                <w:color w:val="auto"/>
                <w:spacing w:val="-6"/>
                <w:sz w:val="24"/>
                <w:szCs w:val="24"/>
                <w:highlight w:val="none"/>
              </w:rPr>
              <w:t>用地（用海）</w:t>
            </w:r>
          </w:p>
          <w:p w14:paraId="0A3A03C7">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6"/>
                <w:sz w:val="24"/>
                <w:szCs w:val="24"/>
                <w:highlight w:val="none"/>
              </w:rPr>
              <w:t>面积（m</w:t>
            </w:r>
            <w:r>
              <w:rPr>
                <w:rFonts w:hint="default" w:ascii="Times New Roman" w:hAnsi="Times New Roman" w:cs="Times New Roman"/>
                <w:color w:val="auto"/>
                <w:spacing w:val="-6"/>
                <w:sz w:val="24"/>
                <w:szCs w:val="24"/>
                <w:highlight w:val="none"/>
                <w:vertAlign w:val="superscript"/>
              </w:rPr>
              <w:t>2</w:t>
            </w:r>
            <w:r>
              <w:rPr>
                <w:rFonts w:hint="default" w:ascii="Times New Roman" w:hAnsi="Times New Roman" w:cs="Times New Roman"/>
                <w:color w:val="auto"/>
                <w:spacing w:val="-6"/>
                <w:sz w:val="24"/>
                <w:szCs w:val="24"/>
                <w:highlight w:val="none"/>
              </w:rPr>
              <w:t>）</w:t>
            </w:r>
          </w:p>
        </w:tc>
        <w:tc>
          <w:tcPr>
            <w:tcW w:w="3412" w:type="dxa"/>
            <w:tcBorders>
              <w:tl2br w:val="nil"/>
              <w:tr2bl w:val="nil"/>
            </w:tcBorders>
            <w:vAlign w:val="center"/>
          </w:tcPr>
          <w:p w14:paraId="05B3FC37">
            <w:pPr>
              <w:adjustRightInd w:val="0"/>
              <w:snapToGrid w:val="0"/>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7728</w:t>
            </w:r>
          </w:p>
        </w:tc>
      </w:tr>
      <w:tr w14:paraId="4B71E8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1138" w:type="dxa"/>
            <w:tcBorders>
              <w:tl2br w:val="nil"/>
              <w:tr2bl w:val="nil"/>
            </w:tcBorders>
            <w:vAlign w:val="center"/>
          </w:tcPr>
          <w:p w14:paraId="7B7104B4">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专项评价设置情况</w:t>
            </w:r>
          </w:p>
        </w:tc>
        <w:tc>
          <w:tcPr>
            <w:tcW w:w="8240" w:type="dxa"/>
            <w:gridSpan w:val="4"/>
            <w:tcBorders>
              <w:tl2br w:val="nil"/>
              <w:tr2bl w:val="nil"/>
            </w:tcBorders>
            <w:vAlign w:val="center"/>
          </w:tcPr>
          <w:p w14:paraId="7C2BEA2E">
            <w:pPr>
              <w:keepNext w:val="0"/>
              <w:keepLines w:val="0"/>
              <w:pageBreakBefore w:val="0"/>
              <w:widowControl w:val="0"/>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cs="Times New Roman"/>
                <w:color w:val="auto"/>
                <w:sz w:val="24"/>
                <w:szCs w:val="24"/>
                <w:highlight w:val="none"/>
              </w:rPr>
            </w:pPr>
            <w:r>
              <w:rPr>
                <w:rFonts w:hint="eastAsia"/>
                <w:color w:val="auto"/>
                <w:sz w:val="24"/>
                <w:szCs w:val="24"/>
                <w:highlight w:val="none"/>
              </w:rPr>
              <w:t>无</w:t>
            </w:r>
          </w:p>
        </w:tc>
      </w:tr>
      <w:tr w14:paraId="5851A5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70" w:hRule="atLeast"/>
          <w:jc w:val="center"/>
        </w:trPr>
        <w:tc>
          <w:tcPr>
            <w:tcW w:w="1138" w:type="dxa"/>
            <w:tcBorders>
              <w:tl2br w:val="nil"/>
              <w:tr2bl w:val="nil"/>
            </w:tcBorders>
            <w:vAlign w:val="center"/>
          </w:tcPr>
          <w:p w14:paraId="5FAFC55C">
            <w:pPr>
              <w:autoSpaceDE w:val="0"/>
              <w:autoSpaceDN w:val="0"/>
              <w:adjustRightInd w:val="0"/>
              <w:snapToGrid w:val="0"/>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规划情况</w:t>
            </w:r>
          </w:p>
        </w:tc>
        <w:tc>
          <w:tcPr>
            <w:tcW w:w="8240" w:type="dxa"/>
            <w:gridSpan w:val="4"/>
            <w:tcBorders>
              <w:tl2br w:val="nil"/>
              <w:tr2bl w:val="nil"/>
            </w:tcBorders>
            <w:vAlign w:val="center"/>
          </w:tcPr>
          <w:p w14:paraId="546478FB">
            <w:pPr>
              <w:widowControl w:val="0"/>
              <w:kinsoku/>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规划名称：《</w:t>
            </w:r>
            <w:r>
              <w:rPr>
                <w:rFonts w:ascii="Times New Roman" w:hAnsi="Times New Roman" w:eastAsia="宋体" w:cs="Times New Roman"/>
                <w:color w:val="auto"/>
                <w:sz w:val="24"/>
                <w:szCs w:val="24"/>
                <w:highlight w:val="none"/>
                <w:lang w:eastAsia="zh-CN"/>
              </w:rPr>
              <w:t>安徽淮北相山经济开发区总体发展规划</w:t>
            </w:r>
            <w:r>
              <w:rPr>
                <w:rFonts w:ascii="Times New Roman" w:hAnsi="Times New Roman"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24</w:t>
            </w:r>
            <w:r>
              <w:rPr>
                <w:rFonts w:ascii="Times New Roman" w:hAnsi="Times New Roman" w:cs="Times New Roman"/>
                <w:color w:val="auto"/>
                <w:sz w:val="24"/>
                <w:szCs w:val="24"/>
                <w:highlight w:val="none"/>
              </w:rPr>
              <w:t>-203</w:t>
            </w:r>
            <w:r>
              <w:rPr>
                <w:rFonts w:hint="eastAsia" w:ascii="Times New Roman" w:hAnsi="Times New Roman" w:eastAsia="宋体" w:cs="Times New Roman"/>
                <w:color w:val="auto"/>
                <w:sz w:val="24"/>
                <w:szCs w:val="24"/>
                <w:highlight w:val="none"/>
                <w:lang w:val="en-US" w:eastAsia="zh-CN"/>
              </w:rPr>
              <w:t>5</w:t>
            </w:r>
            <w:r>
              <w:rPr>
                <w:rFonts w:ascii="Times New Roman" w:hAnsi="Times New Roman" w:cs="Times New Roman"/>
                <w:color w:val="auto"/>
                <w:sz w:val="24"/>
                <w:szCs w:val="24"/>
                <w:highlight w:val="none"/>
              </w:rPr>
              <w:t>年）</w:t>
            </w:r>
          </w:p>
        </w:tc>
      </w:tr>
      <w:tr w14:paraId="2C1E78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38" w:type="dxa"/>
            <w:tcBorders>
              <w:tl2br w:val="nil"/>
              <w:tr2bl w:val="nil"/>
            </w:tcBorders>
            <w:vAlign w:val="center"/>
          </w:tcPr>
          <w:p w14:paraId="166DAD61">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规划环境影响评价情况</w:t>
            </w:r>
          </w:p>
        </w:tc>
        <w:tc>
          <w:tcPr>
            <w:tcW w:w="8240" w:type="dxa"/>
            <w:gridSpan w:val="4"/>
            <w:tcBorders>
              <w:tl2br w:val="nil"/>
              <w:tr2bl w:val="nil"/>
            </w:tcBorders>
            <w:vAlign w:val="center"/>
          </w:tcPr>
          <w:p w14:paraId="26961E5F">
            <w:pPr>
              <w:widowControl w:val="0"/>
              <w:kinsoku/>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规划环境影响评价文件名称：《</w:t>
            </w:r>
            <w:r>
              <w:rPr>
                <w:rFonts w:hint="eastAsia" w:ascii="Times New Roman" w:hAnsi="Times New Roman" w:eastAsia="宋体" w:cs="Times New Roman"/>
                <w:color w:val="auto"/>
                <w:sz w:val="24"/>
                <w:szCs w:val="24"/>
                <w:highlight w:val="none"/>
                <w:lang w:val="en-US" w:eastAsia="zh-CN"/>
              </w:rPr>
              <w:t>安徽淮北相山经济开发区总体发展规划（2024-2035）环境影响报告书</w:t>
            </w:r>
            <w:r>
              <w:rPr>
                <w:rFonts w:hint="eastAsia" w:ascii="Times New Roman" w:hAnsi="Times New Roman" w:cs="Times New Roman"/>
                <w:color w:val="auto"/>
                <w:sz w:val="24"/>
                <w:szCs w:val="24"/>
                <w:highlight w:val="none"/>
              </w:rPr>
              <w:t>》；</w:t>
            </w:r>
          </w:p>
          <w:p w14:paraId="7613343D">
            <w:pPr>
              <w:widowControl w:val="0"/>
              <w:kinsoku/>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召集审查机关：安徽省</w:t>
            </w:r>
            <w:r>
              <w:rPr>
                <w:rFonts w:hint="eastAsia" w:cs="Times New Roman"/>
                <w:color w:val="auto"/>
                <w:sz w:val="24"/>
                <w:szCs w:val="24"/>
                <w:highlight w:val="none"/>
                <w:lang w:val="en-US" w:eastAsia="zh-CN"/>
              </w:rPr>
              <w:t>生态环境厅</w:t>
            </w:r>
            <w:r>
              <w:rPr>
                <w:rFonts w:hint="eastAsia" w:ascii="Times New Roman" w:hAnsi="Times New Roman" w:cs="Times New Roman"/>
                <w:color w:val="auto"/>
                <w:sz w:val="24"/>
                <w:szCs w:val="24"/>
                <w:highlight w:val="none"/>
              </w:rPr>
              <w:t>；</w:t>
            </w:r>
          </w:p>
          <w:p w14:paraId="10550A77">
            <w:pPr>
              <w:widowControl w:val="0"/>
              <w:kinsoku/>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审查文件名称及文号：《安徽省生态环境厅关于印</w:t>
            </w:r>
            <w:r>
              <w:rPr>
                <w:rFonts w:hint="eastAsia" w:ascii="Times New Roman" w:hAnsi="Times New Roman" w:eastAsia="宋体" w:cs="Times New Roman"/>
                <w:color w:val="auto"/>
                <w:sz w:val="24"/>
                <w:szCs w:val="24"/>
                <w:highlight w:val="none"/>
                <w:lang w:val="en-US" w:eastAsia="zh-CN"/>
              </w:rPr>
              <w:t>送《安徽淮北相山经济开发区总体发展规划（2024-2035）</w:t>
            </w:r>
            <w:r>
              <w:rPr>
                <w:rFonts w:hint="eastAsia" w:ascii="Times New Roman" w:hAnsi="Times New Roman" w:cs="Times New Roman"/>
                <w:color w:val="auto"/>
                <w:sz w:val="24"/>
                <w:szCs w:val="24"/>
                <w:highlight w:val="none"/>
              </w:rPr>
              <w:t>环境影响报告书审查意见》的函》，皖环函[</w:t>
            </w:r>
            <w:r>
              <w:rPr>
                <w:rFonts w:ascii="Times New Roman" w:hAnsi="Times New Roman"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24</w:t>
            </w:r>
            <w:r>
              <w:rPr>
                <w:rFonts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1034</w:t>
            </w:r>
            <w:r>
              <w:rPr>
                <w:rFonts w:hint="eastAsia" w:ascii="Times New Roman" w:hAnsi="Times New Roman" w:cs="Times New Roman"/>
                <w:color w:val="auto"/>
                <w:sz w:val="24"/>
                <w:szCs w:val="24"/>
                <w:highlight w:val="none"/>
              </w:rPr>
              <w:t>号</w:t>
            </w:r>
          </w:p>
        </w:tc>
      </w:tr>
      <w:tr w14:paraId="1844CD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38" w:type="dxa"/>
            <w:tcBorders>
              <w:tl2br w:val="nil"/>
              <w:tr2bl w:val="nil"/>
            </w:tcBorders>
            <w:vAlign w:val="center"/>
          </w:tcPr>
          <w:p w14:paraId="507114DE">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规划及规划环境影响评价符合性分析</w:t>
            </w:r>
          </w:p>
        </w:tc>
        <w:tc>
          <w:tcPr>
            <w:tcW w:w="8240" w:type="dxa"/>
            <w:gridSpan w:val="4"/>
            <w:tcBorders>
              <w:tl2br w:val="nil"/>
              <w:tr2bl w:val="nil"/>
            </w:tcBorders>
            <w:vAlign w:val="center"/>
          </w:tcPr>
          <w:p w14:paraId="2F5DC1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rPr>
              <w:t>与《安徽淮北相山经济开发区</w:t>
            </w:r>
            <w:r>
              <w:rPr>
                <w:rFonts w:hint="eastAsia" w:ascii="Times New Roman" w:hAnsi="Times New Roman" w:eastAsia="宋体" w:cs="Times New Roman"/>
                <w:color w:val="auto"/>
                <w:sz w:val="24"/>
                <w:szCs w:val="24"/>
                <w:highlight w:val="none"/>
                <w:lang w:val="en-US" w:eastAsia="zh-CN"/>
              </w:rPr>
              <w:t>总体发展</w:t>
            </w:r>
            <w:r>
              <w:rPr>
                <w:rFonts w:hint="eastAsia" w:ascii="Times New Roman" w:hAnsi="Times New Roman" w:cs="Times New Roman"/>
                <w:color w:val="auto"/>
                <w:sz w:val="24"/>
                <w:szCs w:val="24"/>
                <w:highlight w:val="none"/>
              </w:rPr>
              <w:t>规划》（20</w:t>
            </w:r>
            <w:r>
              <w:rPr>
                <w:rFonts w:hint="eastAsia" w:ascii="Times New Roman" w:hAnsi="Times New Roman" w:eastAsia="宋体" w:cs="Times New Roman"/>
                <w:color w:val="auto"/>
                <w:sz w:val="24"/>
                <w:szCs w:val="24"/>
                <w:highlight w:val="none"/>
                <w:lang w:val="en-US" w:eastAsia="zh-CN"/>
              </w:rPr>
              <w:t>24</w:t>
            </w:r>
            <w:r>
              <w:rPr>
                <w:rFonts w:hint="eastAsia" w:ascii="Times New Roman" w:hAnsi="Times New Roman" w:cs="Times New Roman"/>
                <w:color w:val="auto"/>
                <w:sz w:val="24"/>
                <w:szCs w:val="24"/>
                <w:highlight w:val="none"/>
              </w:rPr>
              <w:t>-203</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cs="Times New Roman"/>
                <w:color w:val="auto"/>
                <w:sz w:val="24"/>
                <w:szCs w:val="24"/>
                <w:highlight w:val="none"/>
              </w:rPr>
              <w:t>年）相符性分析</w:t>
            </w:r>
          </w:p>
          <w:p w14:paraId="653807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根据《安徽淮北相山经济开发区</w:t>
            </w:r>
            <w:r>
              <w:rPr>
                <w:rFonts w:hint="eastAsia" w:ascii="Times New Roman" w:hAnsi="Times New Roman" w:cs="Times New Roman"/>
                <w:color w:val="auto"/>
                <w:sz w:val="24"/>
                <w:szCs w:val="24"/>
                <w:highlight w:val="none"/>
                <w:lang w:val="en-US" w:eastAsia="zh-CN"/>
              </w:rPr>
              <w:t>总体发展</w:t>
            </w:r>
            <w:r>
              <w:rPr>
                <w:rFonts w:hint="eastAsia" w:ascii="Times New Roman" w:hAnsi="Times New Roman" w:cs="Times New Roman"/>
                <w:color w:val="auto"/>
                <w:sz w:val="24"/>
                <w:szCs w:val="24"/>
                <w:highlight w:val="none"/>
              </w:rPr>
              <w:t>规划》（20</w:t>
            </w:r>
            <w:r>
              <w:rPr>
                <w:rFonts w:hint="eastAsia" w:ascii="Times New Roman" w:hAnsi="Times New Roman" w:cs="Times New Roman"/>
                <w:color w:val="auto"/>
                <w:sz w:val="24"/>
                <w:szCs w:val="24"/>
                <w:highlight w:val="none"/>
                <w:lang w:val="en-US" w:eastAsia="zh-CN"/>
              </w:rPr>
              <w:t>24</w:t>
            </w:r>
            <w:r>
              <w:rPr>
                <w:rFonts w:hint="eastAsia" w:ascii="Times New Roman" w:hAnsi="Times New Roman" w:cs="Times New Roman"/>
                <w:color w:val="auto"/>
                <w:sz w:val="24"/>
                <w:szCs w:val="24"/>
                <w:highlight w:val="none"/>
              </w:rPr>
              <w:t>-20</w:t>
            </w:r>
            <w:r>
              <w:rPr>
                <w:rFonts w:hint="eastAsia" w:ascii="Times New Roman" w:hAnsi="Times New Roman" w:cs="Times New Roman"/>
                <w:color w:val="auto"/>
                <w:sz w:val="24"/>
                <w:szCs w:val="24"/>
                <w:highlight w:val="none"/>
                <w:lang w:val="en-US" w:eastAsia="zh-CN"/>
              </w:rPr>
              <w:t>35</w:t>
            </w:r>
            <w:r>
              <w:rPr>
                <w:rFonts w:hint="eastAsia" w:ascii="Times New Roman" w:hAnsi="Times New Roman"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 xml:space="preserve">本次调区后总面积为1502.09公顷，分为三个区块，其中区块一面积为786.11公顷，四至范围为：东至濉河北路，南至洪碱河，西至洪碱河，北至凤竹路、S411北270米；区块二面积为 </w:t>
            </w:r>
            <w:r>
              <w:rPr>
                <w:rFonts w:hint="default" w:ascii="Times New Roman" w:hAnsi="Times New Roman" w:cs="Times New Roman"/>
                <w:color w:val="auto"/>
                <w:sz w:val="24"/>
                <w:szCs w:val="24"/>
                <w:highlight w:val="none"/>
                <w:lang w:val="en-US" w:eastAsia="zh-CN"/>
              </w:rPr>
              <w:t>656.70</w:t>
            </w:r>
            <w:r>
              <w:rPr>
                <w:rFonts w:hint="eastAsia" w:ascii="Times New Roman" w:hAnsi="Times New Roman" w:cs="Times New Roman"/>
                <w:color w:val="auto"/>
                <w:sz w:val="24"/>
                <w:szCs w:val="24"/>
                <w:highlight w:val="none"/>
                <w:lang w:val="en-US" w:eastAsia="zh-CN"/>
              </w:rPr>
              <w:t>公顷，四至范围为：东至洪碱河，南至金桥家园，西至</w:t>
            </w:r>
            <w:r>
              <w:rPr>
                <w:rFonts w:hint="default" w:ascii="Times New Roman" w:hAnsi="Times New Roman" w:cs="Times New Roman"/>
                <w:color w:val="auto"/>
                <w:sz w:val="24"/>
                <w:szCs w:val="24"/>
                <w:highlight w:val="none"/>
                <w:lang w:val="en-US" w:eastAsia="zh-CN"/>
              </w:rPr>
              <w:t>S411</w:t>
            </w:r>
            <w:r>
              <w:rPr>
                <w:rFonts w:hint="eastAsia" w:ascii="Times New Roman" w:hAnsi="Times New Roman" w:cs="Times New Roman"/>
                <w:color w:val="auto"/>
                <w:sz w:val="24"/>
                <w:szCs w:val="24"/>
                <w:highlight w:val="none"/>
                <w:lang w:val="en-US" w:eastAsia="zh-CN"/>
              </w:rPr>
              <w:t xml:space="preserve">，北至凤竹路；区块三面积为 </w:t>
            </w:r>
            <w:r>
              <w:rPr>
                <w:rFonts w:hint="default" w:ascii="Times New Roman" w:hAnsi="Times New Roman" w:cs="Times New Roman"/>
                <w:color w:val="auto"/>
                <w:sz w:val="24"/>
                <w:szCs w:val="24"/>
                <w:highlight w:val="none"/>
                <w:lang w:val="en-US" w:eastAsia="zh-CN"/>
              </w:rPr>
              <w:t>59.28</w:t>
            </w:r>
            <w:r>
              <w:rPr>
                <w:rFonts w:hint="eastAsia" w:ascii="Times New Roman" w:hAnsi="Times New Roman" w:cs="Times New Roman"/>
                <w:color w:val="auto"/>
                <w:sz w:val="24"/>
                <w:szCs w:val="24"/>
                <w:highlight w:val="none"/>
                <w:lang w:val="en-US" w:eastAsia="zh-CN"/>
              </w:rPr>
              <w:t>公顷，四至范围为：东至梁钟路，南至</w:t>
            </w:r>
            <w:r>
              <w:rPr>
                <w:rFonts w:hint="default" w:ascii="Times New Roman" w:hAnsi="Times New Roman" w:cs="Times New Roman"/>
                <w:color w:val="auto"/>
                <w:sz w:val="24"/>
                <w:szCs w:val="24"/>
                <w:highlight w:val="none"/>
                <w:lang w:val="en-US" w:eastAsia="zh-CN"/>
              </w:rPr>
              <w:t>237</w:t>
            </w:r>
            <w:r>
              <w:rPr>
                <w:rFonts w:hint="eastAsia" w:ascii="Times New Roman" w:hAnsi="Times New Roman" w:cs="Times New Roman"/>
                <w:color w:val="auto"/>
                <w:sz w:val="24"/>
                <w:szCs w:val="24"/>
                <w:highlight w:val="none"/>
                <w:lang w:val="en-US" w:eastAsia="zh-CN"/>
              </w:rPr>
              <w:t>国道，西至园区西路，北至黄桃路。</w:t>
            </w:r>
          </w:p>
          <w:p w14:paraId="42F762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功</w:t>
            </w:r>
            <w:r>
              <w:rPr>
                <w:rFonts w:hint="eastAsia" w:ascii="Times New Roman" w:hAnsi="Times New Roman" w:cs="Times New Roman"/>
                <w:color w:val="auto"/>
                <w:sz w:val="24"/>
                <w:szCs w:val="24"/>
                <w:highlight w:val="none"/>
                <w:lang w:val="en-US" w:eastAsia="zh-CN"/>
              </w:rPr>
              <w:t>能定位：</w:t>
            </w:r>
            <w:r>
              <w:rPr>
                <w:rFonts w:hint="eastAsia" w:ascii="宋体" w:hAnsi="宋体" w:eastAsia="宋体" w:cs="宋体"/>
                <w:color w:val="auto"/>
                <w:sz w:val="24"/>
                <w:szCs w:val="24"/>
                <w:highlight w:val="none"/>
                <w:lang w:val="en-US" w:eastAsia="zh-CN"/>
              </w:rPr>
              <w:t>开发区定位为以食品制造和信息产业为主导功能区，以战略新兴产业</w:t>
            </w:r>
            <w:r>
              <w:rPr>
                <w:rFonts w:hint="eastAsia" w:ascii="Times New Roman" w:hAnsi="Times New Roman" w:cs="Times New Roman"/>
                <w:color w:val="auto"/>
                <w:sz w:val="24"/>
                <w:szCs w:val="24"/>
                <w:highlight w:val="none"/>
                <w:lang w:val="en-US" w:eastAsia="zh-CN"/>
              </w:rPr>
              <w:t>集聚化、平台化、头部化、数字化为方向，坚持建链、补链、延链、强链的思路，高水平谋划、高标准建设、高强度推进，近期争创省级战略性新兴产业基地，展望创建国家级战略性新兴产业集群，着力打造成为面向全国市场、具有重要影响力的战略新兴产业集聚区。</w:t>
            </w:r>
          </w:p>
          <w:p w14:paraId="47A27E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规划目标：</w:t>
            </w:r>
          </w:p>
          <w:p w14:paraId="527C29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1、近期目标</w:t>
            </w:r>
          </w:p>
          <w:p w14:paraId="5B68E8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质量效益实现新提升。高质量发展深入推进，亩均效益改革取得明显成效，“四化同步”取得重大进展，经开区规模能级稳步提升。到2025年，经开区经营(销售)收入达100亿元，亩均税收5万元/亩。</w:t>
            </w:r>
          </w:p>
          <w:p w14:paraId="5BF045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产业实力实现新跨越。产业基础高级化、产业链现代化深入推进，“本土培育、转型升级、重点招引、承接转移”推动主导产业实力明显提升。到2025年，经开区工业总产值45亿元。</w:t>
            </w:r>
          </w:p>
          <w:p w14:paraId="6828CD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科技能力实现新增长。“科创走廊”建设取得显著成效，创新平台能级提升，创新要素加速集聚，创新主体规模提升，创新成果加速涌现，聚焦主导产业的科创生态加快形成。到2025年，高新技术企业达18家，战略性新兴产业产值占规上工业总产值比重达40%。</w:t>
            </w:r>
          </w:p>
          <w:p w14:paraId="5FED5F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改革开放实现新进展。体制机制改革取得重大突破，营商环境持续优化，“扁平化、低成本、高效率”的运行机制基本形成。融入长三角一体化、淮海经济区等区域发展战略更加深入，开放型经济水平明显提升。到2025年，经开区进出口总额实现3亿美元。</w:t>
            </w:r>
          </w:p>
          <w:p w14:paraId="6A1DB0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2、远期目标</w:t>
            </w:r>
          </w:p>
          <w:p w14:paraId="2795F5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到2035年，基本实现新型工业化、信息化、城镇化、农业现代化，高质量产业集群、高层次产创体系、高水平开放格局、高品质生活服务的“四高”图景如期如愿呈现，全面建成面向全国的战新产业集聚区、面向长三角的承接产业转移样板区、面向未来的生态工业园示范区，基本建成产城深度融合、产业更加高端、功能高度完备、生活高度宜居、生态绿色凸显的现代化新城，成功迈入国家级开发区行列。</w:t>
            </w:r>
          </w:p>
          <w:p w14:paraId="3EF6A9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rPr>
              <w:t>主导产业：以绿色食品、信息产业等为主导产业</w:t>
            </w:r>
            <w:r>
              <w:rPr>
                <w:rFonts w:hint="eastAsia" w:cs="Times New Roman"/>
                <w:color w:val="auto"/>
                <w:sz w:val="24"/>
                <w:szCs w:val="24"/>
                <w:highlight w:val="none"/>
                <w:lang w:eastAsia="zh-CN"/>
              </w:rPr>
              <w:t>。</w:t>
            </w:r>
          </w:p>
          <w:p w14:paraId="17CD9F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highlight w:val="none"/>
                <w:lang w:eastAsia="zh-CN"/>
              </w:rPr>
              <w:t>本项目属于</w:t>
            </w:r>
            <w:r>
              <w:rPr>
                <w:rFonts w:hint="eastAsia" w:ascii="Times New Roman" w:hAnsi="Times New Roman" w:eastAsia="宋体" w:cs="Times New Roman"/>
                <w:color w:val="auto"/>
                <w:sz w:val="24"/>
                <w:szCs w:val="24"/>
                <w:highlight w:val="none"/>
                <w:lang w:val="en-US" w:eastAsia="zh-CN"/>
              </w:rPr>
              <w:t>金属门窗制造</w:t>
            </w:r>
            <w:r>
              <w:rPr>
                <w:rFonts w:hint="eastAsia" w:cs="Times New Roman"/>
                <w:color w:val="auto"/>
                <w:sz w:val="24"/>
                <w:szCs w:val="24"/>
                <w:highlight w:val="none"/>
                <w:lang w:val="en-US" w:eastAsia="zh-CN"/>
              </w:rPr>
              <w:t>，根据</w:t>
            </w:r>
            <w:r>
              <w:rPr>
                <w:rFonts w:hint="eastAsia" w:ascii="Times New Roman" w:hAnsi="Times New Roman" w:eastAsia="宋体" w:cs="Times New Roman"/>
                <w:color w:val="auto"/>
                <w:sz w:val="24"/>
                <w:szCs w:val="24"/>
                <w:highlight w:val="none"/>
                <w:lang w:val="en-US" w:eastAsia="zh-CN"/>
              </w:rPr>
              <w:t>淮北相山经济开发区生态环境准入清单</w:t>
            </w:r>
            <w:r>
              <w:rPr>
                <w:rFonts w:hint="eastAsia" w:cs="Times New Roman"/>
                <w:color w:val="auto"/>
                <w:sz w:val="24"/>
                <w:szCs w:val="24"/>
                <w:highlight w:val="none"/>
                <w:lang w:val="en-US" w:eastAsia="zh-CN"/>
              </w:rPr>
              <w:t>见表1-2，本项目不属于清单中的限制类和禁止类，可视为允许类。</w:t>
            </w:r>
          </w:p>
          <w:p w14:paraId="467544BD">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2、规划环评符合性分析</w:t>
            </w:r>
          </w:p>
          <w:p w14:paraId="2EB72A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根据《安徽省生态环境厅关于印</w:t>
            </w:r>
            <w:r>
              <w:rPr>
                <w:rFonts w:hint="eastAsia" w:ascii="Times New Roman" w:hAnsi="Times New Roman" w:eastAsia="宋体" w:cs="Times New Roman"/>
                <w:color w:val="auto"/>
                <w:sz w:val="24"/>
                <w:szCs w:val="24"/>
                <w:highlight w:val="none"/>
                <w:lang w:val="en-US" w:eastAsia="zh-CN"/>
              </w:rPr>
              <w:t>送《安徽淮北相山经济开发区总体发展规划（2024-2035）</w:t>
            </w:r>
            <w:r>
              <w:rPr>
                <w:rFonts w:hint="eastAsia" w:ascii="Times New Roman" w:hAnsi="Times New Roman" w:cs="Times New Roman"/>
                <w:color w:val="auto"/>
                <w:sz w:val="24"/>
                <w:szCs w:val="24"/>
                <w:highlight w:val="none"/>
              </w:rPr>
              <w:t>环境影响报告书审查意见》的函》，皖环函[</w:t>
            </w:r>
            <w:r>
              <w:rPr>
                <w:rFonts w:ascii="Times New Roman" w:hAnsi="Times New Roman"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24</w:t>
            </w:r>
            <w:r>
              <w:rPr>
                <w:rFonts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1034</w:t>
            </w:r>
            <w:r>
              <w:rPr>
                <w:rFonts w:hint="eastAsia" w:ascii="Times New Roman" w:hAnsi="Times New Roman" w:cs="Times New Roman"/>
                <w:color w:val="auto"/>
                <w:sz w:val="24"/>
                <w:szCs w:val="24"/>
                <w:highlight w:val="none"/>
              </w:rPr>
              <w:t>号，本项目与之相符性分析见下表。</w:t>
            </w:r>
          </w:p>
          <w:p w14:paraId="35E66B8E">
            <w:pPr>
              <w:pStyle w:val="40"/>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表1-</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本项目与皖环函[20</w:t>
            </w:r>
            <w:r>
              <w:rPr>
                <w:rFonts w:hint="eastAsia" w:ascii="Times New Roman" w:hAnsi="Times New Roman" w:eastAsia="宋体" w:cs="Times New Roman"/>
                <w:color w:val="auto"/>
                <w:sz w:val="24"/>
                <w:szCs w:val="24"/>
                <w:highlight w:val="none"/>
                <w:lang w:val="en-US" w:eastAsia="zh-CN"/>
              </w:rPr>
              <w:t>24</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1034</w:t>
            </w:r>
            <w:r>
              <w:rPr>
                <w:rFonts w:hint="default" w:ascii="Times New Roman" w:hAnsi="Times New Roman" w:cs="Times New Roman"/>
                <w:color w:val="auto"/>
                <w:sz w:val="24"/>
                <w:szCs w:val="24"/>
                <w:highlight w:val="none"/>
              </w:rPr>
              <w:t>号相符性分析一览表</w:t>
            </w:r>
          </w:p>
          <w:tbl>
            <w:tblPr>
              <w:tblStyle w:val="25"/>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79"/>
              <w:gridCol w:w="3183"/>
              <w:gridCol w:w="3542"/>
              <w:gridCol w:w="712"/>
            </w:tblGrid>
            <w:tr w14:paraId="0DF8E7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1" w:type="pct"/>
                  <w:tcBorders>
                    <w:tl2br w:val="nil"/>
                    <w:tr2bl w:val="nil"/>
                  </w:tcBorders>
                  <w:vAlign w:val="center"/>
                </w:tcPr>
                <w:p w14:paraId="63B8EAFE">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序号</w:t>
                  </w:r>
                </w:p>
              </w:tc>
              <w:tc>
                <w:tcPr>
                  <w:tcW w:w="1984" w:type="pct"/>
                  <w:tcBorders>
                    <w:tl2br w:val="nil"/>
                    <w:tr2bl w:val="nil"/>
                  </w:tcBorders>
                  <w:vAlign w:val="center"/>
                </w:tcPr>
                <w:p w14:paraId="481C0C42">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规划环评审查意见要求</w:t>
                  </w:r>
                </w:p>
              </w:tc>
              <w:tc>
                <w:tcPr>
                  <w:tcW w:w="2208" w:type="pct"/>
                  <w:tcBorders>
                    <w:tl2br w:val="nil"/>
                    <w:tr2bl w:val="nil"/>
                  </w:tcBorders>
                  <w:vAlign w:val="center"/>
                </w:tcPr>
                <w:p w14:paraId="770F0EB9">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本项目情况</w:t>
                  </w:r>
                </w:p>
              </w:tc>
              <w:tc>
                <w:tcPr>
                  <w:tcW w:w="444" w:type="pct"/>
                  <w:tcBorders>
                    <w:tl2br w:val="nil"/>
                    <w:tr2bl w:val="nil"/>
                  </w:tcBorders>
                  <w:vAlign w:val="center"/>
                </w:tcPr>
                <w:p w14:paraId="17B4CBBE">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符合性</w:t>
                  </w:r>
                </w:p>
              </w:tc>
            </w:tr>
            <w:tr w14:paraId="546157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1" w:type="pct"/>
                  <w:tcBorders>
                    <w:tl2br w:val="nil"/>
                    <w:tr2bl w:val="nil"/>
                  </w:tcBorders>
                  <w:vAlign w:val="center"/>
                </w:tcPr>
                <w:p w14:paraId="20CE666B">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1</w:t>
                  </w:r>
                </w:p>
              </w:tc>
              <w:tc>
                <w:tcPr>
                  <w:tcW w:w="1984" w:type="pct"/>
                  <w:tcBorders>
                    <w:tl2br w:val="nil"/>
                    <w:tr2bl w:val="nil"/>
                  </w:tcBorders>
                  <w:vAlign w:val="center"/>
                </w:tcPr>
                <w:p w14:paraId="293BCA80">
                  <w:pPr>
                    <w:pStyle w:val="41"/>
                    <w:widowControl w:val="0"/>
                    <w:kinsoku/>
                    <w:autoSpaceDE/>
                    <w:autoSpaceDN/>
                    <w:adjustRightInd/>
                    <w:snapToGrid/>
                    <w:textAlignment w:val="auto"/>
                    <w:rPr>
                      <w:rFonts w:hint="default"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eastAsia="zh-CN"/>
                    </w:rPr>
                    <w:t>（</w:t>
                  </w:r>
                  <w:r>
                    <w:rPr>
                      <w:rFonts w:hint="eastAsia" w:ascii="Times New Roman" w:hAnsi="Times New Roman" w:eastAsia="宋体"/>
                      <w:b w:val="0"/>
                      <w:bCs w:val="0"/>
                      <w:color w:val="auto"/>
                      <w:highlight w:val="none"/>
                      <w:lang w:val="en-US" w:eastAsia="zh-CN"/>
                    </w:rPr>
                    <w:t>二）严守环境质量底线，保护区域生态环境质量。根据国家和我省大气、水、土壤、环境风险防范和固体废物污染防治相关要求、妥善解决区域现存生态环境问题、确保开发区建设项目污染物长期稳定达标排放，区域生态环境质量持续改善，鉴于淮河流域水生态环境保护要求较高，开发区应审慎考虑并严格限制涉重金属产业发展规模及水污染物排放总量。</w:t>
                  </w:r>
                </w:p>
              </w:tc>
              <w:tc>
                <w:tcPr>
                  <w:tcW w:w="2208" w:type="pct"/>
                  <w:tcBorders>
                    <w:tl2br w:val="nil"/>
                    <w:tr2bl w:val="nil"/>
                  </w:tcBorders>
                  <w:vAlign w:val="center"/>
                </w:tcPr>
                <w:p w14:paraId="75D449BE">
                  <w:pPr>
                    <w:pStyle w:val="4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hint="eastAsia" w:ascii="Times New Roman" w:hAnsi="Times New Roman" w:eastAsia="宋体" w:cs="Times New Roman"/>
                      <w:color w:val="auto"/>
                      <w:highlight w:val="none"/>
                      <w:lang w:val="en-US" w:eastAsia="zh-CN"/>
                    </w:rPr>
                    <w:t>本项目</w:t>
                  </w:r>
                  <w:r>
                    <w:rPr>
                      <w:rFonts w:hint="eastAsia" w:cs="Times New Roman"/>
                      <w:color w:val="auto"/>
                      <w:highlight w:val="none"/>
                      <w:lang w:val="en-US" w:eastAsia="zh-CN"/>
                    </w:rPr>
                    <w:t>下料、焊接、打磨抛光和抛丸工段产生的颗粒物经布袋除尘器处理，喷漆、烘干/固化产生的有机废气经二级活性炭装置处理，废气采取以上措施可稳定达标排放；生活污水经化粪池处理后排入园区污水处理厂，生产废水经自建污水处理站处理后回用于生产，不外排；本项目不属于限制涉重金属的产业。</w:t>
                  </w:r>
                </w:p>
              </w:tc>
              <w:tc>
                <w:tcPr>
                  <w:tcW w:w="444" w:type="pct"/>
                  <w:tcBorders>
                    <w:tl2br w:val="nil"/>
                    <w:tr2bl w:val="nil"/>
                  </w:tcBorders>
                  <w:vAlign w:val="center"/>
                </w:tcPr>
                <w:p w14:paraId="6C1DF588">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符合</w:t>
                  </w:r>
                </w:p>
              </w:tc>
            </w:tr>
            <w:tr w14:paraId="6F1204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1" w:type="pct"/>
                  <w:tcBorders>
                    <w:tl2br w:val="nil"/>
                    <w:tr2bl w:val="nil"/>
                  </w:tcBorders>
                  <w:vAlign w:val="center"/>
                </w:tcPr>
                <w:p w14:paraId="3572DF0B">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2</w:t>
                  </w:r>
                </w:p>
              </w:tc>
              <w:tc>
                <w:tcPr>
                  <w:tcW w:w="1984" w:type="pct"/>
                  <w:tcBorders>
                    <w:tl2br w:val="nil"/>
                    <w:tr2bl w:val="nil"/>
                  </w:tcBorders>
                  <w:vAlign w:val="center"/>
                </w:tcPr>
                <w:p w14:paraId="12E374FA">
                  <w:pPr>
                    <w:pStyle w:val="4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hint="eastAsia" w:ascii="Times New Roman" w:hAnsi="Times New Roman" w:eastAsia="宋体"/>
                      <w:b w:val="0"/>
                      <w:bCs w:val="0"/>
                      <w:color w:val="auto"/>
                      <w:highlight w:val="none"/>
                      <w:lang w:eastAsia="zh-CN"/>
                    </w:rPr>
                    <w:t>（</w:t>
                  </w:r>
                  <w:r>
                    <w:rPr>
                      <w:rFonts w:hint="eastAsia" w:ascii="Times New Roman" w:hAnsi="Times New Roman" w:eastAsia="宋体"/>
                      <w:b w:val="0"/>
                      <w:bCs w:val="0"/>
                      <w:color w:val="auto"/>
                      <w:highlight w:val="none"/>
                      <w:lang w:val="en-US" w:eastAsia="zh-CN"/>
                    </w:rPr>
                    <w:t>三）优化空间布局、加强生态环境分区管控。</w:t>
                  </w:r>
                  <w:r>
                    <w:rPr>
                      <w:rFonts w:hint="eastAsia" w:ascii="Times New Roman" w:hAnsi="Times New Roman" w:eastAsia="宋体"/>
                      <w:color w:val="auto"/>
                      <w:highlight w:val="none"/>
                      <w:lang w:val="en-US" w:eastAsia="zh-CN"/>
                    </w:rPr>
                    <w:t>落实生态环境分区管控要求，结合国家和省长江经济带发展负面清单管控要求及区域资源优势和环境制约因素、开发区产业定位等，进一步完善</w:t>
                  </w:r>
                  <w:r>
                    <w:rPr>
                      <w:rFonts w:hint="eastAsia"/>
                      <w:color w:val="auto"/>
                      <w:highlight w:val="none"/>
                      <w:lang w:val="en-US" w:eastAsia="zh-CN"/>
                    </w:rPr>
                    <w:t>片</w:t>
                  </w:r>
                  <w:r>
                    <w:rPr>
                      <w:rFonts w:hint="eastAsia" w:ascii="Times New Roman" w:hAnsi="Times New Roman" w:eastAsia="宋体"/>
                      <w:color w:val="auto"/>
                      <w:highlight w:val="none"/>
                      <w:lang w:val="en-US" w:eastAsia="zh-CN"/>
                    </w:rPr>
                    <w:t>区规划，优化功能分区和空间布局</w:t>
                  </w:r>
                  <w:r>
                    <w:rPr>
                      <w:rFonts w:hint="eastAsia"/>
                      <w:color w:val="auto"/>
                      <w:highlight w:val="none"/>
                      <w:lang w:val="en-US" w:eastAsia="zh-CN"/>
                    </w:rPr>
                    <w:t>。</w:t>
                  </w:r>
                </w:p>
              </w:tc>
              <w:tc>
                <w:tcPr>
                  <w:tcW w:w="2208" w:type="pct"/>
                  <w:tcBorders>
                    <w:tl2br w:val="nil"/>
                    <w:tr2bl w:val="nil"/>
                  </w:tcBorders>
                  <w:vAlign w:val="center"/>
                </w:tcPr>
                <w:p w14:paraId="3B0B5557">
                  <w:pPr>
                    <w:pStyle w:val="4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ascii="Times New Roman" w:hAnsi="Times New Roman" w:eastAsia="宋体"/>
                      <w:color w:val="auto"/>
                      <w:highlight w:val="none"/>
                    </w:rPr>
                    <w:t>本项目</w:t>
                  </w:r>
                  <w:r>
                    <w:rPr>
                      <w:rFonts w:hint="eastAsia"/>
                      <w:color w:val="auto"/>
                      <w:highlight w:val="none"/>
                      <w:lang w:val="en-US" w:eastAsia="zh-CN"/>
                    </w:rPr>
                    <w:t>属于金属门窗制造，不属于淮北相山经济开发区生态环境准入清单中的限制类和禁止类，属于允许类且项目符合省长江经济带发展负面清单中的管控要求，满足相山经济开发区产业定位。</w:t>
                  </w:r>
                </w:p>
              </w:tc>
              <w:tc>
                <w:tcPr>
                  <w:tcW w:w="444" w:type="pct"/>
                  <w:tcBorders>
                    <w:tl2br w:val="nil"/>
                    <w:tr2bl w:val="nil"/>
                  </w:tcBorders>
                  <w:vAlign w:val="center"/>
                </w:tcPr>
                <w:p w14:paraId="3CD5BF20">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符合</w:t>
                  </w:r>
                </w:p>
              </w:tc>
            </w:tr>
            <w:tr w14:paraId="17612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27" w:hRule="atLeast"/>
                <w:jc w:val="center"/>
              </w:trPr>
              <w:tc>
                <w:tcPr>
                  <w:tcW w:w="361" w:type="pct"/>
                  <w:tcBorders>
                    <w:tl2br w:val="nil"/>
                    <w:tr2bl w:val="nil"/>
                  </w:tcBorders>
                  <w:vAlign w:val="center"/>
                </w:tcPr>
                <w:p w14:paraId="213A9626">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3</w:t>
                  </w:r>
                </w:p>
              </w:tc>
              <w:tc>
                <w:tcPr>
                  <w:tcW w:w="1984" w:type="pct"/>
                  <w:tcBorders>
                    <w:tl2br w:val="nil"/>
                    <w:tr2bl w:val="nil"/>
                  </w:tcBorders>
                  <w:vAlign w:val="center"/>
                </w:tcPr>
                <w:p w14:paraId="5F9EE394">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强化污染防治基础设施建设，明确园区集中供热和清洁能源替代方案，结合开发区供水、中水回用、管网及信息产业片区污水处理厂规划。结合区域地表水系及水环境质量现状，优化开发区排水规划。</w:t>
                  </w:r>
                </w:p>
              </w:tc>
              <w:tc>
                <w:tcPr>
                  <w:tcW w:w="2208" w:type="pct"/>
                  <w:tcBorders>
                    <w:tl2br w:val="nil"/>
                    <w:tr2bl w:val="nil"/>
                  </w:tcBorders>
                  <w:vAlign w:val="center"/>
                </w:tcPr>
                <w:p w14:paraId="6D8D924F">
                  <w:pPr>
                    <w:pStyle w:val="4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ascii="Times New Roman" w:hAnsi="Times New Roman"/>
                      <w:color w:val="auto"/>
                      <w:highlight w:val="none"/>
                    </w:rPr>
                    <w:t>本项目</w:t>
                  </w:r>
                  <w:r>
                    <w:rPr>
                      <w:rFonts w:hint="eastAsia"/>
                      <w:color w:val="auto"/>
                      <w:highlight w:val="none"/>
                      <w:lang w:val="en-US" w:eastAsia="zh-CN"/>
                    </w:rPr>
                    <w:t>为</w:t>
                  </w:r>
                  <w:r>
                    <w:rPr>
                      <w:rFonts w:ascii="Times New Roman" w:hAnsi="Times New Roman"/>
                      <w:color w:val="auto"/>
                      <w:highlight w:val="none"/>
                    </w:rPr>
                    <w:t>新建项目，</w:t>
                  </w:r>
                  <w:r>
                    <w:rPr>
                      <w:rFonts w:hint="eastAsia"/>
                      <w:color w:val="auto"/>
                      <w:highlight w:val="none"/>
                      <w:lang w:val="en-US" w:eastAsia="zh-CN"/>
                    </w:rPr>
                    <w:t>项目所使用的天然气由园区供气。</w:t>
                  </w:r>
                </w:p>
              </w:tc>
              <w:tc>
                <w:tcPr>
                  <w:tcW w:w="444" w:type="pct"/>
                  <w:tcBorders>
                    <w:tl2br w:val="nil"/>
                    <w:tr2bl w:val="nil"/>
                  </w:tcBorders>
                  <w:vAlign w:val="center"/>
                </w:tcPr>
                <w:p w14:paraId="6B32CFF7">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符合</w:t>
                  </w:r>
                </w:p>
              </w:tc>
            </w:tr>
            <w:tr w14:paraId="0D3F26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61" w:type="pct"/>
                  <w:tcBorders>
                    <w:tl2br w:val="nil"/>
                    <w:tr2bl w:val="nil"/>
                  </w:tcBorders>
                  <w:vAlign w:val="center"/>
                </w:tcPr>
                <w:p w14:paraId="060411E8">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4</w:t>
                  </w:r>
                </w:p>
              </w:tc>
              <w:tc>
                <w:tcPr>
                  <w:tcW w:w="1984" w:type="pct"/>
                  <w:tcBorders>
                    <w:tl2br w:val="nil"/>
                    <w:tr2bl w:val="nil"/>
                  </w:tcBorders>
                  <w:vAlign w:val="center"/>
                </w:tcPr>
                <w:p w14:paraId="652F940C">
                  <w:pPr>
                    <w:pStyle w:val="4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五）细化生态环境准入清单，推动高质量发展。严格执行国家产业政策，加强对《淮河流域水污染防治暂行条例》限制和禁止项目的入园管控，严禁不符合条例的项目入园。</w:t>
                  </w:r>
                </w:p>
              </w:tc>
              <w:tc>
                <w:tcPr>
                  <w:tcW w:w="2208" w:type="pct"/>
                  <w:tcBorders>
                    <w:tl2br w:val="nil"/>
                    <w:tr2bl w:val="nil"/>
                  </w:tcBorders>
                  <w:vAlign w:val="center"/>
                </w:tcPr>
                <w:p w14:paraId="6D4F74FC">
                  <w:pPr>
                    <w:pStyle w:val="4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本项目</w:t>
                  </w:r>
                  <w:r>
                    <w:rPr>
                      <w:rFonts w:ascii="Times New Roman" w:hAnsi="Times New Roman"/>
                      <w:color w:val="auto"/>
                      <w:highlight w:val="none"/>
                    </w:rPr>
                    <w:t>属于</w:t>
                  </w:r>
                  <w:r>
                    <w:rPr>
                      <w:rFonts w:hint="eastAsia" w:ascii="Times New Roman" w:hAnsi="Times New Roman" w:eastAsia="宋体"/>
                      <w:color w:val="auto"/>
                      <w:highlight w:val="none"/>
                      <w:lang w:val="en-US" w:eastAsia="zh-CN"/>
                    </w:rPr>
                    <w:t>金属门窗制造</w:t>
                  </w:r>
                  <w:r>
                    <w:rPr>
                      <w:rFonts w:ascii="Times New Roman" w:hAnsi="Times New Roman"/>
                      <w:color w:val="auto"/>
                      <w:highlight w:val="none"/>
                    </w:rPr>
                    <w:t>行业</w:t>
                  </w:r>
                  <w:r>
                    <w:rPr>
                      <w:rFonts w:hint="eastAsia" w:ascii="Times New Roman" w:hAnsi="Times New Roman" w:eastAsia="宋体"/>
                      <w:color w:val="auto"/>
                      <w:highlight w:val="none"/>
                      <w:lang w:eastAsia="zh-CN"/>
                    </w:rPr>
                    <w:t>，</w:t>
                  </w:r>
                  <w:r>
                    <w:rPr>
                      <w:rFonts w:hint="eastAsia"/>
                      <w:color w:val="auto"/>
                      <w:highlight w:val="none"/>
                      <w:lang w:val="en-US" w:eastAsia="zh-CN"/>
                    </w:rPr>
                    <w:t>不属于淮北相山经济开发区生态环境准入清单中的限制类和禁止类，属于允许类项目；不属于《淮河流域水污染防治暂行条例》中禁止建设的项目。</w:t>
                  </w:r>
                </w:p>
              </w:tc>
              <w:tc>
                <w:tcPr>
                  <w:tcW w:w="444" w:type="pct"/>
                  <w:tcBorders>
                    <w:tl2br w:val="nil"/>
                    <w:tr2bl w:val="nil"/>
                  </w:tcBorders>
                  <w:vAlign w:val="center"/>
                </w:tcPr>
                <w:p w14:paraId="1C47E594">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符合</w:t>
                  </w:r>
                </w:p>
              </w:tc>
            </w:tr>
            <w:tr w14:paraId="61576B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1" w:type="pct"/>
                  <w:tcBorders>
                    <w:tl2br w:val="nil"/>
                    <w:tr2bl w:val="nil"/>
                  </w:tcBorders>
                  <w:vAlign w:val="center"/>
                </w:tcPr>
                <w:p w14:paraId="4AAE0389">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5</w:t>
                  </w:r>
                </w:p>
              </w:tc>
              <w:tc>
                <w:tcPr>
                  <w:tcW w:w="1984" w:type="pct"/>
                  <w:tcBorders>
                    <w:tl2br w:val="nil"/>
                    <w:tr2bl w:val="nil"/>
                  </w:tcBorders>
                  <w:vAlign w:val="center"/>
                </w:tcPr>
                <w:p w14:paraId="10CA8041">
                  <w:pPr>
                    <w:pStyle w:val="4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六）提升环境管理水平，加强生态环境风险防控。着力提升开发区环境管理水平，统筹考虑区域内污染物排放、固体废物（含危险废物）管理、环境风险防范等生态环境管理要求，健全区域风险防范体系和生态安全保障体系。</w:t>
                  </w:r>
                </w:p>
              </w:tc>
              <w:tc>
                <w:tcPr>
                  <w:tcW w:w="2208" w:type="pct"/>
                  <w:tcBorders>
                    <w:tl2br w:val="nil"/>
                    <w:tr2bl w:val="nil"/>
                  </w:tcBorders>
                  <w:vAlign w:val="center"/>
                </w:tcPr>
                <w:p w14:paraId="43A6FD27">
                  <w:pPr>
                    <w:pStyle w:val="41"/>
                    <w:widowControl w:val="0"/>
                    <w:kinsoku/>
                    <w:autoSpaceDE/>
                    <w:autoSpaceDN/>
                    <w:adjustRightInd/>
                    <w:snapToGrid/>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本项目</w:t>
                  </w:r>
                  <w:r>
                    <w:rPr>
                      <w:rFonts w:hint="eastAsia"/>
                      <w:color w:val="auto"/>
                      <w:highlight w:val="none"/>
                      <w:lang w:val="en-US" w:eastAsia="zh-CN"/>
                    </w:rPr>
                    <w:t>拟建设140m³事故池，在运营期后编制应急预案并定开展环境应急演练，对产生的</w:t>
                  </w:r>
                  <w:r>
                    <w:rPr>
                      <w:rFonts w:hint="eastAsia" w:ascii="Times New Roman" w:hAnsi="Times New Roman" w:eastAsia="宋体"/>
                      <w:color w:val="auto"/>
                      <w:highlight w:val="none"/>
                      <w:lang w:val="en-US" w:eastAsia="zh-CN"/>
                    </w:rPr>
                    <w:t>危险废物暂存于危险废物暂存间，定期委托有资质单位处置。</w:t>
                  </w:r>
                </w:p>
              </w:tc>
              <w:tc>
                <w:tcPr>
                  <w:tcW w:w="444" w:type="pct"/>
                  <w:tcBorders>
                    <w:tl2br w:val="nil"/>
                    <w:tr2bl w:val="nil"/>
                  </w:tcBorders>
                  <w:vAlign w:val="center"/>
                </w:tcPr>
                <w:p w14:paraId="784A9C34">
                  <w:pPr>
                    <w:pStyle w:val="41"/>
                    <w:widowControl w:val="0"/>
                    <w:kinsoku/>
                    <w:autoSpaceDE/>
                    <w:autoSpaceDN/>
                    <w:adjustRightInd/>
                    <w:snapToGrid/>
                    <w:textAlignment w:val="auto"/>
                    <w:rPr>
                      <w:rFonts w:ascii="Times New Roman" w:hAnsi="Times New Roman"/>
                      <w:color w:val="auto"/>
                      <w:highlight w:val="none"/>
                    </w:rPr>
                  </w:pPr>
                  <w:r>
                    <w:rPr>
                      <w:rFonts w:ascii="Times New Roman" w:hAnsi="Times New Roman"/>
                      <w:color w:val="auto"/>
                      <w:highlight w:val="none"/>
                    </w:rPr>
                    <w:t>符合</w:t>
                  </w:r>
                </w:p>
              </w:tc>
            </w:tr>
          </w:tbl>
          <w:p w14:paraId="0B4882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由上表中的分析可知，本项目符合</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安徽淮北相山经济开发区总体发展规划（2024-2035）</w:t>
            </w:r>
            <w:r>
              <w:rPr>
                <w:rFonts w:hint="eastAsia" w:cs="Times New Roman"/>
                <w:color w:val="auto"/>
                <w:sz w:val="24"/>
                <w:szCs w:val="24"/>
                <w:highlight w:val="none"/>
                <w:lang w:eastAsia="zh-CN"/>
              </w:rPr>
              <w:t>》</w:t>
            </w:r>
            <w:r>
              <w:rPr>
                <w:rFonts w:hint="eastAsia" w:ascii="Times New Roman" w:hAnsi="Times New Roman" w:cs="Times New Roman"/>
                <w:color w:val="auto"/>
                <w:sz w:val="24"/>
                <w:szCs w:val="24"/>
                <w:highlight w:val="none"/>
              </w:rPr>
              <w:t>环境影响报告书</w:t>
            </w:r>
            <w:r>
              <w:rPr>
                <w:rFonts w:ascii="Times New Roman" w:hAnsi="Times New Roman" w:cs="Times New Roman"/>
                <w:color w:val="auto"/>
                <w:sz w:val="24"/>
                <w:szCs w:val="24"/>
                <w:highlight w:val="none"/>
              </w:rPr>
              <w:t>审查意见的相关要求。</w:t>
            </w:r>
          </w:p>
        </w:tc>
      </w:tr>
      <w:tr w14:paraId="2368C3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72" w:hRule="atLeast"/>
          <w:jc w:val="center"/>
        </w:trPr>
        <w:tc>
          <w:tcPr>
            <w:tcW w:w="1138" w:type="dxa"/>
            <w:tcBorders>
              <w:tl2br w:val="nil"/>
              <w:tr2bl w:val="nil"/>
            </w:tcBorders>
            <w:vAlign w:val="center"/>
          </w:tcPr>
          <w:p w14:paraId="1F45F02F">
            <w:pPr>
              <w:autoSpaceDE w:val="0"/>
              <w:autoSpaceDN w:val="0"/>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其他符合性分析</w:t>
            </w:r>
          </w:p>
        </w:tc>
        <w:tc>
          <w:tcPr>
            <w:tcW w:w="8240" w:type="dxa"/>
            <w:gridSpan w:val="4"/>
            <w:tcBorders>
              <w:tl2br w:val="nil"/>
              <w:tr2bl w:val="nil"/>
            </w:tcBorders>
            <w:vAlign w:val="center"/>
          </w:tcPr>
          <w:p w14:paraId="3FB4023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1、产业相符性分析</w:t>
            </w:r>
          </w:p>
          <w:p w14:paraId="13070363">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szCs w:val="24"/>
                <w:highlight w:val="none"/>
                <w:lang w:eastAsia="zh-CN" w:bidi="ar"/>
              </w:rPr>
            </w:pPr>
            <w:r>
              <w:rPr>
                <w:rFonts w:ascii="Times New Roman" w:hAnsi="Times New Roman" w:eastAsia="宋体" w:cs="Times New Roman"/>
                <w:color w:val="auto"/>
                <w:sz w:val="24"/>
                <w:szCs w:val="24"/>
                <w:highlight w:val="none"/>
                <w:lang w:eastAsia="zh-CN" w:bidi="ar"/>
              </w:rPr>
              <w:t>根据《产业结构调整指导目录（</w:t>
            </w:r>
            <w:r>
              <w:rPr>
                <w:rFonts w:hint="eastAsia" w:ascii="Times New Roman" w:hAnsi="Times New Roman" w:eastAsia="宋体" w:cs="Times New Roman"/>
                <w:color w:val="auto"/>
                <w:sz w:val="24"/>
                <w:szCs w:val="24"/>
                <w:highlight w:val="none"/>
                <w:lang w:eastAsia="zh-CN" w:bidi="ar"/>
              </w:rPr>
              <w:t>2024</w:t>
            </w:r>
            <w:r>
              <w:rPr>
                <w:rFonts w:ascii="Times New Roman" w:hAnsi="Times New Roman" w:eastAsia="宋体" w:cs="Times New Roman"/>
                <w:color w:val="auto"/>
                <w:sz w:val="24"/>
                <w:szCs w:val="24"/>
                <w:highlight w:val="none"/>
                <w:lang w:eastAsia="zh-CN" w:bidi="ar"/>
              </w:rPr>
              <w:t>年本）》及其修改清单，本项目不属于鼓励类、限制类和淘汰类，属于允许类项目。</w:t>
            </w:r>
          </w:p>
          <w:p w14:paraId="55D6073A">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szCs w:val="24"/>
                <w:highlight w:val="none"/>
                <w:lang w:eastAsia="zh-CN" w:bidi="ar"/>
              </w:rPr>
            </w:pPr>
            <w:r>
              <w:rPr>
                <w:rFonts w:ascii="Times New Roman" w:hAnsi="Times New Roman" w:eastAsia="宋体" w:cs="Times New Roman"/>
                <w:color w:val="auto"/>
                <w:sz w:val="24"/>
                <w:szCs w:val="24"/>
                <w:highlight w:val="none"/>
                <w:lang w:eastAsia="zh-CN" w:bidi="ar"/>
              </w:rPr>
              <w:t>本项目已于</w:t>
            </w:r>
            <w:r>
              <w:rPr>
                <w:rFonts w:hint="default" w:ascii="Times New Roman" w:hAnsi="Times New Roman" w:eastAsia="宋体" w:cs="Times New Roman"/>
                <w:color w:val="auto"/>
                <w:sz w:val="24"/>
                <w:szCs w:val="24"/>
                <w:highlight w:val="none"/>
              </w:rPr>
              <w:t>2024年0</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03</w:t>
            </w:r>
            <w:r>
              <w:rPr>
                <w:rFonts w:hint="default" w:ascii="Times New Roman" w:hAnsi="Times New Roman" w:eastAsia="宋体" w:cs="Times New Roman"/>
                <w:color w:val="auto"/>
                <w:sz w:val="24"/>
                <w:szCs w:val="24"/>
                <w:highlight w:val="none"/>
              </w:rPr>
              <w:t>日</w:t>
            </w:r>
            <w:r>
              <w:rPr>
                <w:rFonts w:ascii="Times New Roman" w:hAnsi="Times New Roman" w:eastAsia="宋体" w:cs="Times New Roman"/>
                <w:color w:val="auto"/>
                <w:sz w:val="24"/>
                <w:szCs w:val="24"/>
                <w:highlight w:val="none"/>
                <w:lang w:eastAsia="zh-CN" w:bidi="ar"/>
              </w:rPr>
              <w:t>由</w:t>
            </w:r>
            <w:r>
              <w:rPr>
                <w:rFonts w:hint="default" w:ascii="Times New Roman" w:hAnsi="Times New Roman" w:eastAsia="宋体" w:cs="Times New Roman"/>
                <w:color w:val="auto"/>
                <w:sz w:val="24"/>
                <w:szCs w:val="24"/>
                <w:highlight w:val="none"/>
              </w:rPr>
              <w:t>安徽淮北相山经济开发区管理委员会</w:t>
            </w:r>
            <w:r>
              <w:rPr>
                <w:rFonts w:ascii="Times New Roman" w:hAnsi="Times New Roman" w:eastAsia="宋体" w:cs="Times New Roman"/>
                <w:color w:val="auto"/>
                <w:sz w:val="24"/>
                <w:szCs w:val="24"/>
                <w:highlight w:val="none"/>
                <w:lang w:eastAsia="zh-CN" w:bidi="ar"/>
              </w:rPr>
              <w:t>予以备案。项目代码为</w:t>
            </w:r>
            <w:r>
              <w:rPr>
                <w:rFonts w:hint="default" w:ascii="Times New Roman" w:hAnsi="Times New Roman" w:cs="Times New Roman"/>
                <w:color w:val="auto"/>
                <w:sz w:val="24"/>
                <w:szCs w:val="24"/>
                <w:highlight w:val="none"/>
              </w:rPr>
              <w:t>2306-340603-04-01-598292</w:t>
            </w:r>
            <w:r>
              <w:rPr>
                <w:rFonts w:ascii="Times New Roman" w:hAnsi="Times New Roman" w:eastAsia="宋体" w:cs="Times New Roman"/>
                <w:color w:val="auto"/>
                <w:sz w:val="24"/>
                <w:szCs w:val="24"/>
                <w:highlight w:val="none"/>
                <w:lang w:eastAsia="zh-CN" w:bidi="ar"/>
              </w:rPr>
              <w:t>。</w:t>
            </w:r>
          </w:p>
          <w:p w14:paraId="317B3466">
            <w:pPr>
              <w:pStyle w:val="23"/>
              <w:keepNext w:val="0"/>
              <w:keepLines w:val="0"/>
              <w:pageBreakBefore w:val="0"/>
              <w:widowControl w:val="0"/>
              <w:kinsoku/>
              <w:wordWrap/>
              <w:overflowPunct/>
              <w:topLinePunct w:val="0"/>
              <w:bidi w:val="0"/>
              <w:adjustRightInd/>
              <w:snapToGrid/>
              <w:spacing w:before="0" w:beforeAutospacing="0" w:after="0" w:afterAutospacing="0" w:line="360" w:lineRule="auto"/>
              <w:ind w:firstLine="480" w:firstLineChars="200"/>
              <w:jc w:val="both"/>
              <w:rPr>
                <w:rFonts w:ascii="Times New Roman" w:hAnsi="Times New Roman" w:eastAsia="宋体" w:cs="Times New Roman"/>
                <w:b/>
                <w:bCs/>
                <w:color w:val="auto"/>
                <w:kern w:val="2"/>
                <w:szCs w:val="24"/>
                <w:highlight w:val="none"/>
                <w:lang w:eastAsia="zh-CN" w:bidi="ar"/>
              </w:rPr>
            </w:pPr>
            <w:r>
              <w:rPr>
                <w:rFonts w:ascii="Times New Roman" w:hAnsi="Times New Roman" w:eastAsia="宋体" w:cs="Times New Roman"/>
                <w:color w:val="auto"/>
                <w:sz w:val="24"/>
                <w:szCs w:val="24"/>
                <w:highlight w:val="none"/>
                <w:lang w:eastAsia="zh-CN" w:bidi="ar"/>
              </w:rPr>
              <w:t>因此，本项目的建设符合国家和地方产业政策要求。</w:t>
            </w:r>
          </w:p>
          <w:p w14:paraId="05ACF200">
            <w:pPr>
              <w:pStyle w:val="23"/>
              <w:keepNext w:val="0"/>
              <w:keepLines w:val="0"/>
              <w:pageBreakBefore w:val="0"/>
              <w:widowControl w:val="0"/>
              <w:kinsoku/>
              <w:wordWrap/>
              <w:overflowPunct/>
              <w:topLinePunct w:val="0"/>
              <w:bidi w:val="0"/>
              <w:adjustRightInd/>
              <w:snapToGrid/>
              <w:spacing w:before="0" w:beforeAutospacing="0" w:after="0" w:afterAutospacing="0" w:line="360" w:lineRule="auto"/>
              <w:jc w:val="both"/>
              <w:rPr>
                <w:rFonts w:hint="default" w:ascii="Times New Roman" w:hAnsi="Times New Roman" w:cs="Times New Roman"/>
                <w:color w:val="auto"/>
                <w:sz w:val="24"/>
                <w:szCs w:val="24"/>
                <w:highlight w:val="none"/>
              </w:rPr>
            </w:pPr>
            <w:r>
              <w:rPr>
                <w:rFonts w:ascii="Times New Roman" w:hAnsi="Times New Roman" w:eastAsia="宋体" w:cs="Times New Roman"/>
                <w:b/>
                <w:bCs/>
                <w:color w:val="auto"/>
                <w:kern w:val="2"/>
                <w:szCs w:val="24"/>
                <w:highlight w:val="none"/>
                <w:lang w:eastAsia="zh-CN" w:bidi="ar"/>
              </w:rPr>
              <w:t>2、</w:t>
            </w:r>
            <w:r>
              <w:rPr>
                <w:rFonts w:ascii="Times New Roman" w:hAnsi="Times New Roman" w:eastAsia="宋体" w:cs="Times New Roman"/>
                <w:b/>
                <w:color w:val="auto"/>
                <w:szCs w:val="24"/>
                <w:highlight w:val="none"/>
                <w:lang w:eastAsia="zh-CN"/>
              </w:rPr>
              <w:t>项目选址合理性及周边环境相容性分析</w:t>
            </w:r>
          </w:p>
          <w:p w14:paraId="26688041">
            <w:pPr>
              <w:keepNext w:val="0"/>
              <w:keepLines w:val="0"/>
              <w:pageBreakBefore w:val="0"/>
              <w:kinsoku/>
              <w:wordWrap/>
              <w:overflowPunct/>
              <w:topLinePunct w:val="0"/>
              <w:autoSpaceDE w:val="0"/>
              <w:autoSpaceDN w:val="0"/>
              <w:bidi w:val="0"/>
              <w:adjustRightInd/>
              <w:snapToGrid/>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（1）用地符合性 </w:t>
            </w:r>
          </w:p>
          <w:p w14:paraId="120D03AD">
            <w:pPr>
              <w:pageBreakBefore w:val="0"/>
              <w:kinsoku/>
              <w:wordWrap/>
              <w:overflowPunct/>
              <w:topLinePunct w:val="0"/>
              <w:bidi w:val="0"/>
              <w:adjustRightInd/>
              <w:snapToGrid/>
              <w:spacing w:line="360" w:lineRule="auto"/>
              <w:ind w:firstLine="480" w:firstLineChars="200"/>
              <w:jc w:val="left"/>
              <w:rPr>
                <w:rFonts w:hint="default" w:ascii="Times New Roman" w:hAnsi="Times New Roman" w:cs="Times New Roman"/>
                <w:color w:val="auto"/>
                <w:sz w:val="24"/>
                <w:highlight w:val="none"/>
              </w:rPr>
            </w:pPr>
            <w:r>
              <w:rPr>
                <w:rFonts w:hint="eastAsia" w:ascii="Times New Roman" w:hAnsi="Times New Roman" w:eastAsia="宋体" w:cs="Times New Roman"/>
                <w:color w:val="auto"/>
                <w:sz w:val="24"/>
                <w:szCs w:val="24"/>
                <w:highlight w:val="none"/>
              </w:rPr>
              <w:t>本项目租赁</w:t>
            </w:r>
            <w:r>
              <w:rPr>
                <w:rFonts w:hint="default" w:ascii="Times New Roman" w:hAnsi="Times New Roman" w:eastAsia="宋体" w:cs="Times New Roman"/>
                <w:color w:val="auto"/>
                <w:sz w:val="24"/>
                <w:szCs w:val="24"/>
                <w:highlight w:val="none"/>
              </w:rPr>
              <w:t>安徽宏冉科技有限公司</w:t>
            </w:r>
            <w:r>
              <w:rPr>
                <w:rFonts w:hint="eastAsia" w:ascii="Times New Roman" w:hAnsi="Times New Roman" w:eastAsia="宋体" w:cs="Times New Roman"/>
                <w:color w:val="auto"/>
                <w:sz w:val="24"/>
                <w:szCs w:val="24"/>
                <w:highlight w:val="none"/>
                <w:lang w:val="en-US" w:eastAsia="zh-CN"/>
              </w:rPr>
              <w:t>已建厂房</w:t>
            </w:r>
            <w:r>
              <w:rPr>
                <w:rFonts w:hint="eastAsia" w:ascii="Times New Roman" w:hAnsi="Times New Roman" w:eastAsia="宋体" w:cs="Times New Roman"/>
                <w:color w:val="auto"/>
                <w:sz w:val="24"/>
                <w:szCs w:val="24"/>
                <w:highlight w:val="none"/>
              </w:rPr>
              <w:t>进行生产运营，</w:t>
            </w:r>
            <w:r>
              <w:rPr>
                <w:rFonts w:hint="eastAsia" w:ascii="Times New Roman" w:hAnsi="Times New Roman" w:eastAsia="宋体" w:cs="Times New Roman"/>
                <w:color w:val="auto"/>
                <w:sz w:val="24"/>
                <w:szCs w:val="24"/>
                <w:highlight w:val="none"/>
                <w:lang w:val="en-US" w:eastAsia="zh-CN"/>
              </w:rPr>
              <w:t>位于安徽淮北相山经济开发区内，</w:t>
            </w:r>
            <w:r>
              <w:rPr>
                <w:rFonts w:hint="eastAsia" w:ascii="Times New Roman" w:hAnsi="Times New Roman" w:eastAsia="宋体" w:cs="Times New Roman"/>
                <w:color w:val="auto"/>
                <w:sz w:val="24"/>
                <w:szCs w:val="24"/>
                <w:highlight w:val="none"/>
              </w:rPr>
              <w:t>用地性质为工业用地</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详见附图</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，项目性质符合安徽淮北相山经济开发区规划用地性质。因此，该项目的建设符合安徽淮北相山经济开发区土地利用总体规划要求</w:t>
            </w:r>
            <w:r>
              <w:rPr>
                <w:rFonts w:hint="eastAsia" w:cs="Times New Roman"/>
                <w:color w:val="auto"/>
                <w:sz w:val="24"/>
                <w:szCs w:val="24"/>
                <w:highlight w:val="none"/>
                <w:lang w:eastAsia="zh-CN"/>
              </w:rPr>
              <w:t>。</w:t>
            </w:r>
          </w:p>
          <w:p w14:paraId="4B435673">
            <w:pPr>
              <w:pageBreakBefore w:val="0"/>
              <w:kinsoku/>
              <w:wordWrap/>
              <w:overflowPunct/>
              <w:topLinePunct w:val="0"/>
              <w:autoSpaceDE w:val="0"/>
              <w:autoSpaceDN w:val="0"/>
              <w:bidi w:val="0"/>
              <w:adjustRightInd/>
              <w:snapToGrid/>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）选址环境相容性</w:t>
            </w:r>
          </w:p>
          <w:p w14:paraId="4A9250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本项目租赁</w:t>
            </w:r>
            <w:r>
              <w:rPr>
                <w:rFonts w:hint="default" w:ascii="Times New Roman" w:hAnsi="Times New Roman" w:eastAsia="宋体" w:cs="Times New Roman"/>
                <w:color w:val="auto"/>
                <w:sz w:val="24"/>
                <w:szCs w:val="24"/>
                <w:highlight w:val="none"/>
              </w:rPr>
              <w:t>安徽宏冉科技有限公司</w:t>
            </w:r>
            <w:r>
              <w:rPr>
                <w:rFonts w:hint="eastAsia" w:ascii="Times New Roman" w:hAnsi="Times New Roman" w:eastAsia="宋体" w:cs="Times New Roman"/>
                <w:color w:val="auto"/>
                <w:sz w:val="24"/>
                <w:szCs w:val="24"/>
                <w:highlight w:val="none"/>
                <w:lang w:val="en-US" w:eastAsia="zh-CN"/>
              </w:rPr>
              <w:t>已建标准化厂房</w:t>
            </w:r>
            <w:r>
              <w:rPr>
                <w:rFonts w:hint="eastAsia" w:ascii="Times New Roman" w:hAnsi="Times New Roman" w:eastAsia="宋体" w:cs="Times New Roman"/>
                <w:color w:val="auto"/>
                <w:sz w:val="24"/>
                <w:szCs w:val="24"/>
                <w:highlight w:val="none"/>
              </w:rPr>
              <w:t>进行生产运营</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该公司是以生产金属门窗、金属装饰材料为主的企业。项目</w:t>
            </w:r>
            <w:r>
              <w:rPr>
                <w:rFonts w:hint="default" w:ascii="Times New Roman" w:hAnsi="Times New Roman" w:cs="Times New Roman"/>
                <w:color w:val="auto"/>
                <w:sz w:val="24"/>
                <w:szCs w:val="24"/>
                <w:highlight w:val="none"/>
              </w:rPr>
              <w:t>用地</w:t>
            </w:r>
            <w:r>
              <w:rPr>
                <w:rFonts w:hint="eastAsia" w:cs="Times New Roman"/>
                <w:color w:val="auto"/>
                <w:sz w:val="24"/>
                <w:szCs w:val="24"/>
                <w:highlight w:val="none"/>
                <w:lang w:val="en-US" w:eastAsia="zh-CN"/>
              </w:rPr>
              <w:t>性质</w:t>
            </w:r>
            <w:r>
              <w:rPr>
                <w:rFonts w:hint="default" w:ascii="Times New Roman" w:hAnsi="Times New Roman" w:cs="Times New Roman"/>
                <w:color w:val="auto"/>
                <w:sz w:val="24"/>
                <w:szCs w:val="24"/>
                <w:highlight w:val="none"/>
              </w:rPr>
              <w:t>为工业用地</w:t>
            </w:r>
            <w:r>
              <w:rPr>
                <w:rFonts w:hint="eastAsia" w:cs="Times New Roman"/>
                <w:color w:val="auto"/>
                <w:sz w:val="24"/>
                <w:szCs w:val="24"/>
                <w:highlight w:val="none"/>
                <w:lang w:eastAsia="zh-CN"/>
              </w:rPr>
              <w:t>。</w:t>
            </w:r>
          </w:p>
          <w:p w14:paraId="41DBAF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项目西侧为淮北天酬科技有限公司，南侧为空地，北侧隔凤霞路为智能制造产业园，东侧为安徽华浩食品有限公司，距离本项目约72m，淮北市主导风向为东北风，该食品厂位于本项目的上风向，本项目对安徽华浩食品有限公司影响较小。且</w:t>
            </w:r>
            <w:r>
              <w:rPr>
                <w:rFonts w:hint="default" w:ascii="Times New Roman" w:hAnsi="Times New Roman" w:cs="Times New Roman"/>
                <w:color w:val="auto"/>
                <w:sz w:val="24"/>
                <w:szCs w:val="24"/>
                <w:highlight w:val="none"/>
              </w:rPr>
              <w:t>项目周边</w:t>
            </w:r>
            <w:r>
              <w:rPr>
                <w:rFonts w:hint="eastAsia" w:cs="Times New Roman"/>
                <w:color w:val="auto"/>
                <w:sz w:val="24"/>
                <w:szCs w:val="24"/>
                <w:highlight w:val="none"/>
                <w:lang w:val="en-US" w:eastAsia="zh-CN"/>
              </w:rPr>
              <w:t>以机械加工行业为主，</w:t>
            </w:r>
            <w:r>
              <w:rPr>
                <w:rFonts w:hint="default" w:ascii="Times New Roman" w:hAnsi="Times New Roman" w:cs="Times New Roman"/>
                <w:color w:val="auto"/>
                <w:sz w:val="24"/>
                <w:szCs w:val="24"/>
                <w:highlight w:val="none"/>
              </w:rPr>
              <w:t>项目在严格落实本评价要求的各项污染防治措施且正常运行后，各项污染达标排放情况下，对周围环境影响较小，因此项目与周边环境相容。</w:t>
            </w:r>
          </w:p>
          <w:p w14:paraId="598ABD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综上所述，本项目的选址符合</w:t>
            </w:r>
            <w:r>
              <w:rPr>
                <w:rFonts w:hint="eastAsia" w:cs="Times New Roman"/>
                <w:color w:val="auto"/>
                <w:sz w:val="24"/>
                <w:highlight w:val="none"/>
                <w:lang w:val="en-US" w:eastAsia="zh-CN"/>
              </w:rPr>
              <w:t>当地总体规划</w:t>
            </w:r>
            <w:r>
              <w:rPr>
                <w:rFonts w:hint="default" w:ascii="Times New Roman" w:hAnsi="Times New Roman" w:cs="Times New Roman"/>
                <w:color w:val="auto"/>
                <w:sz w:val="24"/>
                <w:highlight w:val="none"/>
              </w:rPr>
              <w:t>，项目各项污染物在各项处理措施建设实施后，能够达标排放，与周边环境相容；项目投入运行后对周围环境影响在可接受范围内，不会改变当地的环境功能。因此本项目选址是可行的。</w:t>
            </w:r>
          </w:p>
          <w:p w14:paraId="2864D917">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bCs/>
                <w:color w:val="auto"/>
                <w:sz w:val="24"/>
                <w:szCs w:val="32"/>
                <w:highlight w:val="none"/>
              </w:rPr>
            </w:pPr>
            <w:r>
              <w:rPr>
                <w:rFonts w:hint="eastAsia"/>
                <w:b/>
                <w:bCs/>
                <w:color w:val="auto"/>
                <w:sz w:val="24"/>
                <w:szCs w:val="32"/>
                <w:highlight w:val="none"/>
                <w:lang w:val="en-US" w:eastAsia="zh-CN"/>
              </w:rPr>
              <w:t>3</w:t>
            </w:r>
            <w:r>
              <w:rPr>
                <w:b/>
                <w:bCs/>
                <w:color w:val="auto"/>
                <w:sz w:val="24"/>
                <w:szCs w:val="32"/>
                <w:highlight w:val="none"/>
              </w:rPr>
              <w:t>、“三线一单”</w:t>
            </w:r>
            <w:r>
              <w:rPr>
                <w:rFonts w:hint="default" w:ascii="Times New Roman" w:hAnsi="Times New Roman" w:eastAsia="宋体" w:cs="Times New Roman"/>
                <w:b/>
                <w:bCs/>
                <w:color w:val="auto"/>
                <w:sz w:val="24"/>
                <w:szCs w:val="24"/>
                <w:highlight w:val="none"/>
                <w:lang w:val="en-US" w:eastAsia="zh-CN"/>
              </w:rPr>
              <w:t>及分区管控</w:t>
            </w:r>
            <w:r>
              <w:rPr>
                <w:rFonts w:hint="default" w:ascii="Times New Roman" w:hAnsi="Times New Roman" w:eastAsia="宋体" w:cs="Times New Roman"/>
                <w:b/>
                <w:bCs/>
                <w:color w:val="auto"/>
                <w:sz w:val="24"/>
                <w:szCs w:val="24"/>
                <w:highlight w:val="none"/>
                <w:lang w:eastAsia="zh-CN"/>
              </w:rPr>
              <w:t>符合性分析</w:t>
            </w:r>
          </w:p>
          <w:p w14:paraId="2305294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color w:val="auto"/>
                <w:sz w:val="24"/>
                <w:szCs w:val="24"/>
                <w:highlight w:val="none"/>
              </w:rPr>
            </w:pPr>
            <w:r>
              <w:rPr>
                <w:color w:val="auto"/>
                <w:sz w:val="24"/>
                <w:szCs w:val="24"/>
                <w:highlight w:val="none"/>
              </w:rPr>
              <w:t>根据《关于以改善环境质量为核心加强环境影响评价管理的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14:paraId="0615FD8B">
            <w:pPr>
              <w:pStyle w:val="72"/>
              <w:kinsoku/>
              <w:snapToGrid/>
              <w:spacing w:line="360" w:lineRule="auto"/>
              <w:ind w:firstLine="480" w:firstLineChars="200"/>
              <w:rPr>
                <w:rFonts w:ascii="Times New Roman" w:hAnsi="Times New Roman" w:eastAsia="宋体" w:cs="Times New Roman"/>
                <w:b w:val="0"/>
                <w:bCs w:val="0"/>
                <w:color w:val="auto"/>
                <w:sz w:val="24"/>
                <w:szCs w:val="24"/>
                <w:highlight w:val="none"/>
                <w:lang w:eastAsia="zh-CN"/>
              </w:rPr>
            </w:pPr>
            <w:r>
              <w:rPr>
                <w:rFonts w:ascii="Times New Roman" w:hAnsi="Times New Roman" w:eastAsia="宋体" w:cs="Times New Roman"/>
                <w:b w:val="0"/>
                <w:bCs w:val="0"/>
                <w:color w:val="auto"/>
                <w:sz w:val="24"/>
                <w:szCs w:val="24"/>
                <w:highlight w:val="none"/>
                <w:lang w:eastAsia="zh-CN"/>
              </w:rPr>
              <w:t>（1）生态保护红线</w:t>
            </w:r>
          </w:p>
          <w:p w14:paraId="78A024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根据《淮北市生态环境分区管控成果动态更新情况说明》，淮北市生态保护红线总面积为33.89km</w:t>
            </w:r>
            <w:r>
              <w:rPr>
                <w:rFonts w:hint="eastAsia" w:eastAsia="宋体" w:cs="Times New Roman"/>
                <w:color w:val="auto"/>
                <w:kern w:val="0"/>
                <w:sz w:val="24"/>
                <w:szCs w:val="24"/>
                <w:highlight w:val="none"/>
                <w:vertAlign w:val="superscript"/>
                <w:lang w:val="en-US" w:eastAsia="zh-CN" w:bidi="ar"/>
              </w:rPr>
              <w:t>2</w:t>
            </w:r>
            <w:r>
              <w:rPr>
                <w:rFonts w:hint="eastAsia"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占全市国土总面</w:t>
            </w:r>
            <w:r>
              <w:rPr>
                <w:rFonts w:hint="eastAsia" w:eastAsia="宋体" w:cs="Times New Roman"/>
                <w:color w:val="auto"/>
                <w:kern w:val="0"/>
                <w:sz w:val="24"/>
                <w:szCs w:val="24"/>
                <w:highlight w:val="none"/>
                <w:lang w:val="en-US" w:eastAsia="zh-CN" w:bidi="ar"/>
              </w:rPr>
              <w:t>积</w:t>
            </w:r>
            <w:r>
              <w:rPr>
                <w:rFonts w:hint="default" w:ascii="Times New Roman" w:hAnsi="Times New Roman" w:eastAsia="宋体" w:cs="Times New Roman"/>
                <w:color w:val="auto"/>
                <w:kern w:val="0"/>
                <w:sz w:val="24"/>
                <w:szCs w:val="24"/>
                <w:highlight w:val="none"/>
                <w:lang w:val="en-US" w:eastAsia="zh-CN" w:bidi="ar"/>
              </w:rPr>
              <w:t>的1.24%</w:t>
            </w:r>
            <w:r>
              <w:rPr>
                <w:rFonts w:hint="eastAsia"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其中相山区生态保护红线总面积为10.67km</w:t>
            </w:r>
            <w:r>
              <w:rPr>
                <w:rFonts w:hint="eastAsia"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，占区域国土总面</w:t>
            </w:r>
            <w:r>
              <w:rPr>
                <w:rFonts w:hint="eastAsia" w:eastAsia="宋体" w:cs="Times New Roman"/>
                <w:color w:val="auto"/>
                <w:kern w:val="0"/>
                <w:sz w:val="24"/>
                <w:szCs w:val="24"/>
                <w:highlight w:val="none"/>
                <w:lang w:val="en-US" w:eastAsia="zh-CN" w:bidi="ar"/>
              </w:rPr>
              <w:t>积</w:t>
            </w:r>
            <w:r>
              <w:rPr>
                <w:rFonts w:hint="default" w:ascii="Times New Roman" w:hAnsi="Times New Roman" w:eastAsia="宋体" w:cs="Times New Roman"/>
                <w:color w:val="auto"/>
                <w:kern w:val="0"/>
                <w:sz w:val="24"/>
                <w:szCs w:val="24"/>
                <w:highlight w:val="none"/>
                <w:lang w:val="en-US" w:eastAsia="zh-CN" w:bidi="ar"/>
              </w:rPr>
              <w:t>的7.53%。本项目位于</w:t>
            </w:r>
            <w:r>
              <w:rPr>
                <w:rFonts w:ascii="Times New Roman" w:hAnsi="Times New Roman" w:eastAsia="宋体" w:cs="Times New Roman"/>
                <w:color w:val="auto"/>
                <w:sz w:val="24"/>
                <w:szCs w:val="24"/>
                <w:highlight w:val="none"/>
                <w:lang w:eastAsia="zh-CN"/>
              </w:rPr>
              <w:t>安徽淮北相山经济开发区</w:t>
            </w:r>
            <w:r>
              <w:rPr>
                <w:rFonts w:hint="default" w:ascii="Times New Roman" w:hAnsi="Times New Roman" w:eastAsia="宋体" w:cs="Times New Roman"/>
                <w:color w:val="auto"/>
                <w:sz w:val="24"/>
                <w:szCs w:val="24"/>
                <w:highlight w:val="none"/>
              </w:rPr>
              <w:t>凤霞路9号</w:t>
            </w:r>
            <w:r>
              <w:rPr>
                <w:rFonts w:hint="eastAsia"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对照淮北市生态保护红线图以及在安徽省“三线一单”公众平台查询，本项目所在环境管控单元编码为</w:t>
            </w:r>
            <w:r>
              <w:rPr>
                <w:rFonts w:hint="eastAsia" w:eastAsia="宋体" w:cs="Times New Roman"/>
                <w:color w:val="auto"/>
                <w:kern w:val="0"/>
                <w:sz w:val="24"/>
                <w:szCs w:val="24"/>
                <w:highlight w:val="none"/>
                <w:lang w:val="en-US" w:eastAsia="zh-CN" w:bidi="ar"/>
              </w:rPr>
              <w:t>：ZH34060320275，</w:t>
            </w:r>
            <w:r>
              <w:rPr>
                <w:rFonts w:hint="default" w:ascii="Times New Roman" w:hAnsi="Times New Roman" w:eastAsia="宋体" w:cs="Times New Roman"/>
                <w:color w:val="auto"/>
                <w:kern w:val="0"/>
                <w:sz w:val="24"/>
                <w:szCs w:val="24"/>
                <w:highlight w:val="none"/>
                <w:lang w:val="en-US" w:eastAsia="zh-CN" w:bidi="ar"/>
              </w:rPr>
              <w:t>不涉及生态保护红线。</w:t>
            </w:r>
          </w:p>
          <w:p w14:paraId="70A361B8">
            <w:pPr>
              <w:keepNext w:val="0"/>
              <w:keepLines w:val="0"/>
              <w:pageBreakBefore w:val="0"/>
              <w:kinsoku/>
              <w:wordWrap/>
              <w:overflowPunct/>
              <w:topLinePunct w:val="0"/>
              <w:bidi w:val="0"/>
              <w:adjustRightInd/>
              <w:snapToGrid/>
              <w:spacing w:line="360" w:lineRule="auto"/>
              <w:ind w:firstLine="480" w:firstLineChars="200"/>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（2）环境质量底线</w:t>
            </w:r>
          </w:p>
          <w:p w14:paraId="534AADB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olor w:val="auto"/>
                <w:sz w:val="24"/>
                <w:szCs w:val="24"/>
                <w:highlight w:val="none"/>
                <w:lang w:val="en-US" w:eastAsia="zh-CN"/>
              </w:rPr>
            </w:pPr>
            <w:r>
              <w:rPr>
                <w:color w:val="auto"/>
                <w:sz w:val="24"/>
                <w:szCs w:val="24"/>
                <w:highlight w:val="none"/>
              </w:rPr>
              <w:t>①</w:t>
            </w:r>
            <w:r>
              <w:rPr>
                <w:rFonts w:hint="eastAsia"/>
                <w:color w:val="auto"/>
                <w:sz w:val="24"/>
                <w:szCs w:val="24"/>
                <w:highlight w:val="none"/>
              </w:rPr>
              <w:t xml:space="preserve"> </w:t>
            </w:r>
            <w:r>
              <w:rPr>
                <w:rFonts w:hint="eastAsia"/>
                <w:color w:val="auto"/>
                <w:sz w:val="24"/>
                <w:szCs w:val="24"/>
                <w:highlight w:val="none"/>
                <w:lang w:val="en-US" w:eastAsia="zh-CN"/>
              </w:rPr>
              <w:t>大气环境</w:t>
            </w:r>
          </w:p>
          <w:p w14:paraId="234D665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color w:val="auto"/>
                <w:sz w:val="24"/>
                <w:szCs w:val="24"/>
                <w:highlight w:val="none"/>
              </w:rPr>
            </w:pPr>
            <w:r>
              <w:rPr>
                <w:color w:val="auto"/>
                <w:sz w:val="24"/>
                <w:szCs w:val="24"/>
                <w:highlight w:val="none"/>
              </w:rPr>
              <w:t>根据《202</w:t>
            </w:r>
            <w:r>
              <w:rPr>
                <w:rFonts w:hint="eastAsia"/>
                <w:color w:val="auto"/>
                <w:sz w:val="24"/>
                <w:szCs w:val="24"/>
                <w:highlight w:val="none"/>
                <w:lang w:val="en-US" w:eastAsia="zh-CN"/>
              </w:rPr>
              <w:t>4</w:t>
            </w:r>
            <w:r>
              <w:rPr>
                <w:color w:val="auto"/>
                <w:sz w:val="24"/>
                <w:szCs w:val="24"/>
                <w:highlight w:val="none"/>
              </w:rPr>
              <w:t>年度淮北市生态环境状况公报》显示</w:t>
            </w:r>
            <w:r>
              <w:rPr>
                <w:rStyle w:val="30"/>
                <w:rFonts w:hint="eastAsia"/>
                <w:color w:val="auto"/>
                <w:sz w:val="24"/>
                <w:szCs w:val="24"/>
                <w:highlight w:val="none"/>
              </w:rPr>
              <w:t>，</w:t>
            </w:r>
            <w:r>
              <w:rPr>
                <w:rFonts w:hint="eastAsia"/>
                <w:color w:val="auto"/>
                <w:sz w:val="24"/>
                <w:szCs w:val="24"/>
                <w:highlight w:val="none"/>
              </w:rPr>
              <w:t>项目区域</w:t>
            </w:r>
            <w:r>
              <w:rPr>
                <w:rFonts w:hint="eastAsia"/>
                <w:color w:val="auto"/>
                <w:sz w:val="24"/>
                <w:szCs w:val="24"/>
                <w:highlight w:val="none"/>
                <w:lang w:val="en-US" w:eastAsia="zh-CN"/>
              </w:rPr>
              <w:t>SO</w:t>
            </w:r>
            <w:r>
              <w:rPr>
                <w:rFonts w:hint="eastAsia"/>
                <w:color w:val="auto"/>
                <w:sz w:val="24"/>
                <w:szCs w:val="24"/>
                <w:highlight w:val="none"/>
                <w:vertAlign w:val="subscript"/>
                <w:lang w:val="en-US" w:eastAsia="zh-CN"/>
              </w:rPr>
              <w:t>2</w:t>
            </w:r>
            <w:r>
              <w:rPr>
                <w:color w:val="auto"/>
                <w:sz w:val="24"/>
                <w:szCs w:val="24"/>
                <w:highlight w:val="none"/>
              </w:rPr>
              <w:t>、</w:t>
            </w:r>
            <w:r>
              <w:rPr>
                <w:rFonts w:hint="eastAsia"/>
                <w:color w:val="auto"/>
                <w:sz w:val="24"/>
                <w:szCs w:val="24"/>
                <w:highlight w:val="none"/>
                <w:lang w:val="en-US" w:eastAsia="zh-CN"/>
              </w:rPr>
              <w:t>NO</w:t>
            </w:r>
            <w:r>
              <w:rPr>
                <w:rFonts w:hint="eastAsia"/>
                <w:color w:val="auto"/>
                <w:sz w:val="24"/>
                <w:szCs w:val="24"/>
                <w:highlight w:val="none"/>
                <w:vertAlign w:val="subscript"/>
                <w:lang w:val="en-US" w:eastAsia="zh-CN"/>
              </w:rPr>
              <w:t>2</w:t>
            </w:r>
            <w:r>
              <w:rPr>
                <w:rFonts w:hint="eastAsia"/>
                <w:color w:val="auto"/>
                <w:sz w:val="24"/>
                <w:szCs w:val="24"/>
                <w:highlight w:val="none"/>
              </w:rPr>
              <w:t>、PM</w:t>
            </w:r>
            <w:r>
              <w:rPr>
                <w:rFonts w:hint="eastAsia"/>
                <w:color w:val="auto"/>
                <w:sz w:val="24"/>
                <w:szCs w:val="24"/>
                <w:highlight w:val="none"/>
                <w:vertAlign w:val="subscript"/>
              </w:rPr>
              <w:t>10</w:t>
            </w:r>
            <w:r>
              <w:rPr>
                <w:color w:val="auto"/>
                <w:sz w:val="24"/>
                <w:szCs w:val="24"/>
                <w:highlight w:val="none"/>
              </w:rPr>
              <w:t>年平均浓度</w:t>
            </w:r>
            <w:r>
              <w:rPr>
                <w:rFonts w:hint="eastAsia"/>
                <w:color w:val="auto"/>
                <w:sz w:val="24"/>
                <w:szCs w:val="24"/>
                <w:highlight w:val="none"/>
              </w:rPr>
              <w:t>及</w:t>
            </w:r>
            <w:r>
              <w:rPr>
                <w:rFonts w:hint="eastAsia"/>
                <w:color w:val="auto"/>
                <w:sz w:val="24"/>
                <w:szCs w:val="24"/>
                <w:highlight w:val="none"/>
                <w:lang w:val="en-US" w:eastAsia="zh-CN"/>
              </w:rPr>
              <w:t>CO</w:t>
            </w:r>
            <w:r>
              <w:rPr>
                <w:color w:val="auto"/>
                <w:sz w:val="24"/>
                <w:szCs w:val="24"/>
                <w:highlight w:val="none"/>
              </w:rPr>
              <w:t>日均值第95百分位数均达到《环境空气质量标准》（GB3095-2012）</w:t>
            </w:r>
            <w:r>
              <w:rPr>
                <w:rFonts w:hint="eastAsia"/>
                <w:color w:val="auto"/>
                <w:sz w:val="24"/>
                <w:szCs w:val="24"/>
                <w:highlight w:val="none"/>
              </w:rPr>
              <w:t>二</w:t>
            </w:r>
            <w:r>
              <w:rPr>
                <w:color w:val="auto"/>
                <w:sz w:val="24"/>
                <w:szCs w:val="24"/>
                <w:highlight w:val="none"/>
              </w:rPr>
              <w:t>级标准要求；</w:t>
            </w:r>
            <w:r>
              <w:rPr>
                <w:rFonts w:hint="eastAsia"/>
                <w:color w:val="auto"/>
                <w:sz w:val="24"/>
                <w:szCs w:val="24"/>
                <w:highlight w:val="none"/>
              </w:rPr>
              <w:t>PM</w:t>
            </w:r>
            <w:r>
              <w:rPr>
                <w:rFonts w:hint="eastAsia"/>
                <w:color w:val="auto"/>
                <w:sz w:val="24"/>
                <w:szCs w:val="24"/>
                <w:highlight w:val="none"/>
                <w:vertAlign w:val="subscript"/>
                <w:lang w:val="en-US" w:eastAsia="zh-CN"/>
              </w:rPr>
              <w:t>2.5</w:t>
            </w:r>
            <w:r>
              <w:rPr>
                <w:color w:val="auto"/>
                <w:sz w:val="24"/>
                <w:szCs w:val="24"/>
                <w:highlight w:val="none"/>
              </w:rPr>
              <w:t>年均浓度和</w:t>
            </w:r>
            <w:r>
              <w:rPr>
                <w:rFonts w:hint="eastAsia"/>
                <w:color w:val="auto"/>
                <w:sz w:val="24"/>
                <w:szCs w:val="24"/>
                <w:highlight w:val="none"/>
                <w:lang w:val="en-US" w:eastAsia="zh-CN"/>
              </w:rPr>
              <w:t>O</w:t>
            </w:r>
            <w:r>
              <w:rPr>
                <w:rFonts w:hint="eastAsia"/>
                <w:color w:val="auto"/>
                <w:sz w:val="24"/>
                <w:szCs w:val="24"/>
                <w:highlight w:val="none"/>
                <w:vertAlign w:val="subscript"/>
                <w:lang w:val="en-US" w:eastAsia="zh-CN"/>
              </w:rPr>
              <w:t>3</w:t>
            </w:r>
            <w:r>
              <w:rPr>
                <w:color w:val="auto"/>
                <w:sz w:val="24"/>
                <w:szCs w:val="24"/>
                <w:highlight w:val="none"/>
              </w:rPr>
              <w:t>日最大8小时平均值第90百分位数均超过二级标准要求。因此，项目所在区域属于环境空气属于不达标区。</w:t>
            </w:r>
          </w:p>
          <w:p w14:paraId="6AAA644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sz w:val="24"/>
                <w:szCs w:val="24"/>
                <w:highlight w:val="none"/>
                <w:lang w:eastAsia="zh-CN"/>
              </w:rPr>
            </w:pPr>
            <w:r>
              <w:rPr>
                <w:rFonts w:hint="eastAsia"/>
                <w:color w:val="auto"/>
                <w:sz w:val="24"/>
                <w:szCs w:val="24"/>
                <w:highlight w:val="none"/>
                <w:lang w:val="en-US" w:eastAsia="zh-CN"/>
              </w:rPr>
              <w:t>根据引用</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淮北华昇电子科技有限公司微米/纳米级电子浆料淮北生产基地项目</w:t>
            </w:r>
            <w:r>
              <w:rPr>
                <w:rFonts w:hint="default" w:ascii="Times New Roman" w:hAnsi="Times New Roman" w:eastAsia="宋体" w:cs="Times New Roman"/>
                <w:color w:val="auto"/>
                <w:sz w:val="24"/>
                <w:szCs w:val="24"/>
                <w:highlight w:val="none"/>
                <w:lang w:val="en-US" w:eastAsia="zh-CN"/>
              </w:rPr>
              <w:t>环评现状检测</w:t>
            </w:r>
            <w:r>
              <w:rPr>
                <w:rFonts w:hint="eastAsia" w:ascii="Times New Roman" w:hAnsi="Times New Roman" w:eastAsia="宋体" w:cs="Times New Roman"/>
                <w:color w:val="auto"/>
                <w:sz w:val="24"/>
                <w:szCs w:val="24"/>
                <w:highlight w:val="none"/>
                <w:lang w:eastAsia="zh-CN"/>
              </w:rPr>
              <w:t>》</w:t>
            </w:r>
            <w:r>
              <w:rPr>
                <w:color w:val="000000"/>
                <w:sz w:val="24"/>
                <w:highlight w:val="none"/>
              </w:rPr>
              <w:t>非甲烷总烃满足《大气污染物综合排放标准详解》中推荐浓度限值</w:t>
            </w:r>
            <w:r>
              <w:rPr>
                <w:rFonts w:hint="eastAsia"/>
                <w:color w:val="000000"/>
                <w:sz w:val="24"/>
                <w:highlight w:val="none"/>
                <w:lang w:eastAsia="zh-CN"/>
              </w:rPr>
              <w:t>；</w:t>
            </w:r>
            <w:r>
              <w:rPr>
                <w:rFonts w:hint="eastAsia"/>
                <w:color w:val="000000"/>
                <w:sz w:val="24"/>
                <w:highlight w:val="none"/>
                <w:lang w:val="en-US" w:eastAsia="zh-CN"/>
              </w:rPr>
              <w:t>TSP引用《</w:t>
            </w:r>
            <w:r>
              <w:rPr>
                <w:rFonts w:hint="default" w:ascii="Times New Roman" w:hAnsi="Times New Roman" w:eastAsia="宋体" w:cs="Times New Roman"/>
                <w:color w:val="auto"/>
                <w:sz w:val="24"/>
                <w:szCs w:val="24"/>
                <w:highlight w:val="none"/>
              </w:rPr>
              <w:t>安徽皖北康复医院燃气锅炉建设项目</w:t>
            </w:r>
            <w:r>
              <w:rPr>
                <w:rFonts w:hint="eastAsia"/>
                <w:color w:val="000000"/>
                <w:sz w:val="24"/>
                <w:highlight w:val="none"/>
                <w:lang w:val="en-US" w:eastAsia="zh-CN"/>
              </w:rPr>
              <w:t>》，TSP满足</w:t>
            </w:r>
            <w:r>
              <w:rPr>
                <w:rFonts w:ascii="Times New Roman" w:hAnsi="Times New Roman" w:eastAsia="宋体" w:cs="Times New Roman"/>
                <w:color w:val="auto"/>
                <w:sz w:val="24"/>
                <w:highlight w:val="none"/>
                <w:lang w:eastAsia="zh-CN"/>
              </w:rPr>
              <w:t>《环境空气质量标准》（GB3095-2012）中二级标准中的标准限值要求</w:t>
            </w:r>
            <w:r>
              <w:rPr>
                <w:rFonts w:hint="eastAsia" w:cs="Times New Roman"/>
                <w:color w:val="auto"/>
                <w:sz w:val="24"/>
                <w:highlight w:val="none"/>
                <w:lang w:eastAsia="zh-CN"/>
              </w:rPr>
              <w:t>；</w:t>
            </w:r>
            <w:r>
              <w:rPr>
                <w:color w:val="auto"/>
                <w:sz w:val="24"/>
                <w:szCs w:val="24"/>
                <w:highlight w:val="none"/>
              </w:rPr>
              <w:t>根据《</w:t>
            </w:r>
            <w:r>
              <w:rPr>
                <w:rFonts w:hint="eastAsia"/>
                <w:color w:val="auto"/>
                <w:sz w:val="24"/>
                <w:szCs w:val="24"/>
                <w:highlight w:val="none"/>
              </w:rPr>
              <w:t>安徽淮北相山经济开发区环境影响区域评估+环境标准报告</w:t>
            </w:r>
            <w:r>
              <w:rPr>
                <w:color w:val="auto"/>
                <w:sz w:val="24"/>
                <w:szCs w:val="24"/>
                <w:highlight w:val="none"/>
              </w:rPr>
              <w:t>》，</w:t>
            </w:r>
            <w:r>
              <w:rPr>
                <w:rFonts w:hint="eastAsia"/>
                <w:color w:val="auto"/>
                <w:sz w:val="24"/>
                <w:szCs w:val="24"/>
                <w:highlight w:val="none"/>
                <w:lang w:val="en-US" w:eastAsia="zh-CN"/>
              </w:rPr>
              <w:t>本项目评价区域</w:t>
            </w:r>
            <w:r>
              <w:rPr>
                <w:color w:val="auto"/>
                <w:sz w:val="24"/>
                <w:szCs w:val="24"/>
                <w:highlight w:val="none"/>
              </w:rPr>
              <w:t>地表水</w:t>
            </w:r>
            <w:r>
              <w:rPr>
                <w:rFonts w:hint="eastAsia"/>
                <w:color w:val="auto"/>
                <w:sz w:val="24"/>
                <w:szCs w:val="24"/>
                <w:highlight w:val="none"/>
              </w:rPr>
              <w:t>萧濉新</w:t>
            </w:r>
            <w:r>
              <w:rPr>
                <w:color w:val="auto"/>
                <w:sz w:val="24"/>
                <w:szCs w:val="24"/>
                <w:highlight w:val="none"/>
              </w:rPr>
              <w:t>河</w:t>
            </w:r>
            <w:r>
              <w:rPr>
                <w:rFonts w:hint="eastAsia"/>
                <w:color w:val="auto"/>
                <w:sz w:val="24"/>
                <w:szCs w:val="24"/>
                <w:highlight w:val="none"/>
              </w:rPr>
              <w:t>及老濉河</w:t>
            </w:r>
            <w:r>
              <w:rPr>
                <w:color w:val="auto"/>
                <w:sz w:val="24"/>
                <w:szCs w:val="24"/>
                <w:highlight w:val="none"/>
              </w:rPr>
              <w:t>各水质监测因子均符合《地表水环境质量标准》（GB3838-2002）</w:t>
            </w:r>
            <w:r>
              <w:rPr>
                <w:rFonts w:hint="eastAsia"/>
                <w:color w:val="auto"/>
                <w:sz w:val="24"/>
                <w:szCs w:val="24"/>
                <w:highlight w:val="none"/>
                <w:lang w:val="en-US" w:eastAsia="zh-CN"/>
              </w:rPr>
              <w:t>III类</w:t>
            </w:r>
            <w:r>
              <w:rPr>
                <w:color w:val="auto"/>
                <w:sz w:val="24"/>
                <w:szCs w:val="24"/>
                <w:highlight w:val="none"/>
              </w:rPr>
              <w:t>标准要求。</w:t>
            </w:r>
            <w:r>
              <w:rPr>
                <w:color w:val="000000"/>
                <w:sz w:val="24"/>
                <w:highlight w:val="none"/>
              </w:rPr>
              <w:t>区域边界昼夜间噪声均满足《声环境质量标准》（GB3096-2008）中3类区标准</w:t>
            </w:r>
            <w:r>
              <w:rPr>
                <w:rFonts w:hint="eastAsia"/>
                <w:highlight w:val="none"/>
                <w:lang w:eastAsia="zh-CN"/>
              </w:rPr>
              <w:t>。</w:t>
            </w:r>
          </w:p>
          <w:p w14:paraId="1C039123">
            <w:pPr>
              <w:spacing w:line="360" w:lineRule="auto"/>
              <w:ind w:firstLine="480"/>
              <w:rPr>
                <w:rFonts w:ascii="Times New Roman" w:hAnsi="Times New Roman" w:eastAsia="宋体" w:cs="Times New Roman"/>
                <w:color w:val="auto"/>
                <w:sz w:val="24"/>
                <w:szCs w:val="24"/>
                <w:highlight w:val="none"/>
                <w:lang w:eastAsia="zh-CN"/>
              </w:rPr>
            </w:pPr>
            <w:r>
              <w:rPr>
                <w:color w:val="auto"/>
                <w:sz w:val="24"/>
                <w:szCs w:val="24"/>
                <w:highlight w:val="none"/>
              </w:rPr>
              <w:t>本项目</w:t>
            </w:r>
            <w:r>
              <w:rPr>
                <w:rFonts w:hint="default" w:ascii="Times New Roman" w:hAnsi="Times New Roman" w:eastAsia="宋体" w:cs="Times New Roman"/>
                <w:color w:val="auto"/>
                <w:kern w:val="2"/>
                <w:sz w:val="24"/>
                <w:szCs w:val="24"/>
                <w:highlight w:val="none"/>
                <w:shd w:val="clear" w:color="auto" w:fill="auto"/>
                <w:lang w:val="en-US" w:eastAsia="zh-CN" w:bidi="ar-SA"/>
              </w:rPr>
              <w:t>涉及主要大气污染物</w:t>
            </w:r>
            <w:r>
              <w:rPr>
                <w:rFonts w:hint="eastAsia" w:cs="Times New Roman"/>
                <w:color w:val="auto"/>
                <w:kern w:val="2"/>
                <w:sz w:val="24"/>
                <w:szCs w:val="24"/>
                <w:highlight w:val="none"/>
                <w:shd w:val="clear" w:color="auto" w:fill="auto"/>
                <w:lang w:val="en-US" w:eastAsia="zh-CN" w:bidi="ar-SA"/>
              </w:rPr>
              <w:t>主要为颗粒物、非甲烷总烃、二氧化硫和氮氧化物，</w:t>
            </w:r>
            <w:r>
              <w:rPr>
                <w:color w:val="000000"/>
                <w:sz w:val="24"/>
                <w:highlight w:val="none"/>
              </w:rPr>
              <w:t>污染源正常排放下各污染物短期浓度较低，且项目采取严格的废气处理措施，因此本项目对项目区大气环境质量现状影响较小，不改变所在区域功能区属性；</w:t>
            </w:r>
            <w:r>
              <w:rPr>
                <w:color w:val="auto"/>
                <w:sz w:val="24"/>
                <w:szCs w:val="24"/>
                <w:highlight w:val="none"/>
              </w:rPr>
              <w:t>本项目生产过程废水主要为</w:t>
            </w:r>
            <w:r>
              <w:rPr>
                <w:rFonts w:hint="eastAsia"/>
                <w:color w:val="auto"/>
                <w:sz w:val="24"/>
                <w:szCs w:val="24"/>
                <w:highlight w:val="none"/>
                <w:lang w:val="en-US" w:eastAsia="zh-CN"/>
              </w:rPr>
              <w:t>清洗工段产生的清洗废水和员工生活污水，生产废水经自建污水处理站处理后废水回用于脱脂用水，不外排；生活污水经隔油池+化粪池处理后经市政污水管网排入污水处理厂处理。</w:t>
            </w:r>
            <w:r>
              <w:rPr>
                <w:color w:val="auto"/>
                <w:sz w:val="24"/>
                <w:szCs w:val="24"/>
                <w:highlight w:val="none"/>
              </w:rPr>
              <w:t>本项目建成后对区域地表水体影响小。</w:t>
            </w:r>
            <w:r>
              <w:rPr>
                <w:rFonts w:hint="eastAsia"/>
                <w:color w:val="auto"/>
                <w:sz w:val="24"/>
                <w:szCs w:val="24"/>
                <w:highlight w:val="none"/>
                <w:lang w:val="en-US" w:eastAsia="zh-CN"/>
              </w:rPr>
              <w:t>噪声</w:t>
            </w:r>
            <w:r>
              <w:rPr>
                <w:color w:val="000000"/>
                <w:sz w:val="24"/>
                <w:highlight w:val="none"/>
                <w:lang w:val="zh-CN"/>
              </w:rPr>
              <w:t>采取减振、隔声等噪声污染防治措施</w:t>
            </w:r>
            <w:r>
              <w:rPr>
                <w:rFonts w:hint="eastAsia"/>
                <w:color w:val="000000"/>
                <w:sz w:val="24"/>
                <w:highlight w:val="none"/>
                <w:lang w:val="zh-CN"/>
              </w:rPr>
              <w:t>。</w:t>
            </w:r>
            <w:r>
              <w:rPr>
                <w:rFonts w:hint="eastAsia"/>
                <w:color w:val="000000"/>
                <w:sz w:val="24"/>
                <w:highlight w:val="none"/>
                <w:lang w:val="en-US" w:eastAsia="zh-CN"/>
              </w:rPr>
              <w:t>土壤及地下水采取</w:t>
            </w:r>
            <w:r>
              <w:rPr>
                <w:color w:val="000000"/>
                <w:sz w:val="24"/>
                <w:highlight w:val="none"/>
                <w:lang w:val="zh-CN"/>
              </w:rPr>
              <w:t>分区防渗措施</w:t>
            </w:r>
            <w:r>
              <w:rPr>
                <w:color w:val="000000"/>
                <w:sz w:val="24"/>
                <w:highlight w:val="none"/>
              </w:rPr>
              <w:t>。本项目对环境影响可以接受。总体上，</w:t>
            </w:r>
            <w:r>
              <w:rPr>
                <w:sz w:val="24"/>
                <w:highlight w:val="none"/>
              </w:rPr>
              <w:t>本项目废水、废气、固废均得到合理处置，噪声对周边影响较小，不会突破项目所在地的环境质量底线。因此，项目的建设符合环境质量底线标准。</w:t>
            </w:r>
          </w:p>
          <w:p w14:paraId="45E0B84C">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sz w:val="24"/>
                <w:highlight w:val="none"/>
              </w:rPr>
            </w:pPr>
            <w:r>
              <w:rPr>
                <w:rFonts w:ascii="Times New Roman" w:hAnsi="Times New Roman" w:eastAsia="宋体" w:cs="Times New Roman"/>
                <w:color w:val="auto"/>
                <w:sz w:val="24"/>
                <w:szCs w:val="24"/>
                <w:highlight w:val="none"/>
                <w:lang w:eastAsia="zh-CN"/>
              </w:rPr>
              <w:t>（3）资源利用上线</w:t>
            </w:r>
          </w:p>
          <w:p w14:paraId="631AE37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sz w:val="24"/>
                <w:highlight w:val="none"/>
              </w:rPr>
            </w:pPr>
            <w:r>
              <w:rPr>
                <w:sz w:val="24"/>
                <w:highlight w:val="none"/>
              </w:rPr>
              <w:t>项目用水来自市政供水管网；用电由市政电网所供给；用地符合当地土地规划要求。项目对当地资源利用的影响较小，资源利用均在淮北</w:t>
            </w:r>
            <w:r>
              <w:rPr>
                <w:rFonts w:hint="eastAsia"/>
                <w:sz w:val="24"/>
                <w:highlight w:val="none"/>
                <w:lang w:val="en-US" w:eastAsia="zh-CN"/>
              </w:rPr>
              <w:t>相山经济开发区</w:t>
            </w:r>
            <w:r>
              <w:rPr>
                <w:sz w:val="24"/>
                <w:highlight w:val="none"/>
              </w:rPr>
              <w:t>可承受范围内，不会超过划定的资源利用上线。</w:t>
            </w:r>
          </w:p>
          <w:p w14:paraId="0B7A221E">
            <w:pPr>
              <w:widowControl w:val="0"/>
              <w:kinsoku/>
              <w:autoSpaceDE/>
              <w:autoSpaceDN/>
              <w:adjustRightInd/>
              <w:snapToGrid/>
              <w:spacing w:line="360" w:lineRule="auto"/>
              <w:ind w:firstLine="480" w:firstLineChars="200"/>
              <w:textAlignment w:val="auto"/>
              <w:rPr>
                <w:rFonts w:hint="default" w:ascii="Times New Roman" w:hAnsi="Times New Roman" w:cs="Times New Roman"/>
                <w:b/>
                <w:color w:val="auto"/>
                <w:sz w:val="24"/>
                <w:szCs w:val="32"/>
                <w:highlight w:val="none"/>
                <w:lang w:val="en-US"/>
              </w:rPr>
            </w:pPr>
            <w:r>
              <w:rPr>
                <w:rFonts w:ascii="Times New Roman" w:hAnsi="Times New Roman" w:cs="Times New Roman"/>
                <w:color w:val="auto"/>
                <w:sz w:val="24"/>
                <w:szCs w:val="32"/>
                <w:highlight w:val="none"/>
                <w:lang w:eastAsia="zh-CN"/>
              </w:rPr>
              <w:t>（</w:t>
            </w:r>
            <w:r>
              <w:rPr>
                <w:rFonts w:hint="eastAsia" w:cs="Times New Roman"/>
                <w:color w:val="auto"/>
                <w:sz w:val="24"/>
                <w:szCs w:val="32"/>
                <w:highlight w:val="none"/>
                <w:lang w:val="en-US" w:eastAsia="zh-CN"/>
              </w:rPr>
              <w:t>4</w:t>
            </w:r>
            <w:r>
              <w:rPr>
                <w:rFonts w:ascii="Times New Roman" w:hAnsi="Times New Roman" w:cs="Times New Roman"/>
                <w:color w:val="auto"/>
                <w:sz w:val="24"/>
                <w:szCs w:val="32"/>
                <w:highlight w:val="none"/>
                <w:lang w:eastAsia="zh-CN"/>
              </w:rPr>
              <w:t>）</w:t>
            </w:r>
            <w:r>
              <w:rPr>
                <w:rFonts w:hint="eastAsia" w:ascii="Times New Roman" w:hAnsi="Times New Roman" w:cs="Times New Roman"/>
                <w:color w:val="auto"/>
                <w:sz w:val="24"/>
                <w:szCs w:val="32"/>
                <w:highlight w:val="none"/>
                <w:lang w:val="en-US" w:eastAsia="zh-CN"/>
              </w:rPr>
              <w:t>淮北相山经济开发区生态环境准入清单</w:t>
            </w:r>
          </w:p>
          <w:p w14:paraId="4B9BD0DA">
            <w:pPr>
              <w:widowControl w:val="0"/>
              <w:kinsoku/>
              <w:autoSpaceDE/>
              <w:autoSpaceDN/>
              <w:adjustRightInd/>
              <w:snapToGrid/>
              <w:ind w:firstLine="482"/>
              <w:jc w:val="center"/>
              <w:textAlignment w:val="auto"/>
              <w:rPr>
                <w:rFonts w:hint="default" w:ascii="Times New Roman" w:hAnsi="Times New Roman" w:cs="Times New Roman"/>
                <w:b/>
                <w:color w:val="auto"/>
                <w:sz w:val="24"/>
                <w:szCs w:val="32"/>
                <w:highlight w:val="none"/>
                <w:lang w:val="en-US"/>
              </w:rPr>
            </w:pPr>
            <w:r>
              <w:rPr>
                <w:rFonts w:ascii="Times New Roman" w:hAnsi="Times New Roman" w:cs="Times New Roman"/>
                <w:b/>
                <w:color w:val="auto"/>
                <w:sz w:val="24"/>
                <w:szCs w:val="32"/>
                <w:highlight w:val="none"/>
              </w:rPr>
              <w:t>表</w:t>
            </w:r>
            <w:r>
              <w:rPr>
                <w:rFonts w:ascii="Times New Roman" w:hAnsi="Times New Roman" w:cs="Times New Roman"/>
                <w:b/>
                <w:color w:val="auto"/>
                <w:sz w:val="24"/>
                <w:szCs w:val="32"/>
                <w:highlight w:val="none"/>
                <w:lang w:eastAsia="zh-CN"/>
              </w:rPr>
              <w:t>1-</w:t>
            </w:r>
            <w:r>
              <w:rPr>
                <w:rFonts w:hint="eastAsia" w:cs="Times New Roman"/>
                <w:b/>
                <w:color w:val="auto"/>
                <w:sz w:val="24"/>
                <w:szCs w:val="32"/>
                <w:highlight w:val="none"/>
                <w:lang w:val="en-US" w:eastAsia="zh-CN"/>
              </w:rPr>
              <w:t xml:space="preserve">2 </w:t>
            </w:r>
            <w:r>
              <w:rPr>
                <w:rFonts w:ascii="Times New Roman" w:hAnsi="Times New Roman" w:cs="Times New Roman"/>
                <w:b/>
                <w:color w:val="auto"/>
                <w:sz w:val="24"/>
                <w:szCs w:val="32"/>
                <w:highlight w:val="none"/>
                <w:lang w:eastAsia="zh-CN"/>
              </w:rPr>
              <w:t xml:space="preserve"> </w:t>
            </w:r>
            <w:r>
              <w:rPr>
                <w:rFonts w:hint="eastAsia" w:ascii="Times New Roman" w:hAnsi="Times New Roman" w:cs="Times New Roman"/>
                <w:b/>
                <w:color w:val="auto"/>
                <w:sz w:val="24"/>
                <w:szCs w:val="32"/>
                <w:highlight w:val="none"/>
                <w:lang w:val="en-US" w:eastAsia="zh-CN"/>
              </w:rPr>
              <w:t>淮北相山经济开发区生态环境准入清单</w:t>
            </w:r>
          </w:p>
          <w:tbl>
            <w:tblPr>
              <w:tblStyle w:val="26"/>
              <w:tblW w:w="8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
              <w:gridCol w:w="1636"/>
              <w:gridCol w:w="3"/>
              <w:gridCol w:w="1092"/>
              <w:gridCol w:w="4417"/>
              <w:gridCol w:w="134"/>
            </w:tblGrid>
            <w:tr w14:paraId="7E02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pct"/>
                <w:trHeight w:val="397" w:hRule="atLeast"/>
              </w:trPr>
              <w:tc>
                <w:tcPr>
                  <w:tcW w:w="527" w:type="pct"/>
                  <w:vAlign w:val="center"/>
                </w:tcPr>
                <w:p w14:paraId="71C3A8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管控类型</w:t>
                  </w:r>
                </w:p>
              </w:tc>
              <w:tc>
                <w:tcPr>
                  <w:tcW w:w="1006" w:type="pct"/>
                  <w:gridSpan w:val="2"/>
                  <w:vAlign w:val="center"/>
                </w:tcPr>
                <w:p w14:paraId="575EF5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清单要求</w:t>
                  </w:r>
                </w:p>
              </w:tc>
              <w:tc>
                <w:tcPr>
                  <w:tcW w:w="3386" w:type="pct"/>
                  <w:gridSpan w:val="3"/>
                  <w:vAlign w:val="center"/>
                </w:tcPr>
                <w:p w14:paraId="4F1F6C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准入内容</w:t>
                  </w:r>
                </w:p>
              </w:tc>
            </w:tr>
            <w:tr w14:paraId="78B6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pct"/>
                <w:trHeight w:val="397" w:hRule="atLeast"/>
              </w:trPr>
              <w:tc>
                <w:tcPr>
                  <w:tcW w:w="527" w:type="pct"/>
                  <w:vMerge w:val="restart"/>
                  <w:vAlign w:val="center"/>
                </w:tcPr>
                <w:p w14:paraId="0232AB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产业定位</w:t>
                  </w:r>
                </w:p>
              </w:tc>
              <w:tc>
                <w:tcPr>
                  <w:tcW w:w="1006" w:type="pct"/>
                  <w:gridSpan w:val="2"/>
                  <w:vAlign w:val="center"/>
                </w:tcPr>
                <w:p w14:paraId="7AEDC6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信息产业细分方向</w:t>
                  </w:r>
                </w:p>
              </w:tc>
              <w:tc>
                <w:tcPr>
                  <w:tcW w:w="3386" w:type="pct"/>
                  <w:gridSpan w:val="3"/>
                  <w:vAlign w:val="center"/>
                </w:tcPr>
                <w:p w14:paraId="5C87608E">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印制电路板、智能终端、集成电路、虚拟现实（VR）等</w:t>
                  </w:r>
                </w:p>
              </w:tc>
            </w:tr>
            <w:tr w14:paraId="22D0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pct"/>
                <w:trHeight w:val="397" w:hRule="atLeast"/>
              </w:trPr>
              <w:tc>
                <w:tcPr>
                  <w:tcW w:w="527" w:type="pct"/>
                  <w:vMerge w:val="continue"/>
                  <w:vAlign w:val="center"/>
                </w:tcPr>
                <w:p w14:paraId="3A8C6DB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rPr>
                  </w:pPr>
                </w:p>
              </w:tc>
              <w:tc>
                <w:tcPr>
                  <w:tcW w:w="1006" w:type="pct"/>
                  <w:gridSpan w:val="2"/>
                  <w:vAlign w:val="center"/>
                </w:tcPr>
                <w:p w14:paraId="1B1E3C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食品制造细分方向</w:t>
                  </w:r>
                </w:p>
              </w:tc>
              <w:tc>
                <w:tcPr>
                  <w:tcW w:w="3386" w:type="pct"/>
                  <w:gridSpan w:val="3"/>
                  <w:vAlign w:val="center"/>
                </w:tcPr>
                <w:p w14:paraId="07B0828F">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农产品精深加工、休闲食品、软饮料、乳制品、营养保健食品、食品添加剂和配料等</w:t>
                  </w:r>
                </w:p>
              </w:tc>
            </w:tr>
            <w:tr w14:paraId="7A50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pct"/>
                <w:trHeight w:val="397" w:hRule="atLeast"/>
              </w:trPr>
              <w:tc>
                <w:tcPr>
                  <w:tcW w:w="527" w:type="pct"/>
                  <w:vMerge w:val="continue"/>
                  <w:vAlign w:val="center"/>
                </w:tcPr>
                <w:p w14:paraId="66664F6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lang w:eastAsia="zh-CN"/>
                    </w:rPr>
                  </w:pPr>
                </w:p>
              </w:tc>
              <w:tc>
                <w:tcPr>
                  <w:tcW w:w="1006" w:type="pct"/>
                  <w:gridSpan w:val="2"/>
                  <w:vAlign w:val="center"/>
                </w:tcPr>
                <w:p w14:paraId="4C312D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限制引入</w:t>
                  </w:r>
                </w:p>
              </w:tc>
              <w:tc>
                <w:tcPr>
                  <w:tcW w:w="3386" w:type="pct"/>
                  <w:gridSpan w:val="3"/>
                  <w:vAlign w:val="center"/>
                </w:tcPr>
                <w:p w14:paraId="3141B68F">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sz w:val="21"/>
                      <w:szCs w:val="24"/>
                      <w:highlight w:val="none"/>
                      <w:lang w:val="en-US" w:eastAsia="zh-CN" w:bidi="ar-SA"/>
                    </w:rPr>
                    <w:t>（1）</w:t>
                  </w:r>
                  <w:r>
                    <w:rPr>
                      <w:rFonts w:hint="eastAsia" w:ascii="Times New Roman" w:hAnsi="Times New Roman" w:eastAsia="宋体" w:cs="Times New Roman"/>
                      <w:bCs/>
                      <w:color w:val="auto"/>
                      <w:kern w:val="21"/>
                      <w:highlight w:val="none"/>
                      <w:lang w:val="en-US" w:eastAsia="zh-CN"/>
                    </w:rPr>
                    <w:t>在信息产业园污水厂预处理工序完善前，不得引入涉及汞、铬、镉、铅、砷五大重金属产排的项目；</w:t>
                  </w:r>
                </w:p>
                <w:p w14:paraId="0FC91E5D">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eastAsia="宋体" w:cs="Times New Roman"/>
                      <w:bCs/>
                      <w:color w:val="auto"/>
                      <w:kern w:val="21"/>
                      <w:highlight w:val="none"/>
                      <w:lang w:val="en-US" w:eastAsia="zh-CN"/>
                    </w:rPr>
                  </w:pPr>
                  <w:r>
                    <w:rPr>
                      <w:rFonts w:hint="default" w:ascii="Times New Roman" w:hAnsi="Times New Roman" w:eastAsia="宋体" w:cs="Times New Roman"/>
                      <w:bCs/>
                      <w:color w:val="auto"/>
                      <w:kern w:val="21"/>
                      <w:sz w:val="21"/>
                      <w:szCs w:val="24"/>
                      <w:highlight w:val="none"/>
                      <w:lang w:val="en-US" w:eastAsia="zh-CN" w:bidi="ar-SA"/>
                    </w:rPr>
                    <w:t>（2）</w:t>
                  </w:r>
                  <w:r>
                    <w:rPr>
                      <w:rFonts w:hint="eastAsia" w:ascii="Times New Roman" w:hAnsi="Times New Roman" w:eastAsia="宋体" w:cs="Times New Roman"/>
                      <w:bCs/>
                      <w:color w:val="auto"/>
                      <w:kern w:val="21"/>
                      <w:highlight w:val="none"/>
                      <w:lang w:val="en-US" w:eastAsia="zh-CN"/>
                    </w:rPr>
                    <w:t>涉及汞、铬、镉、铅、砷五大重金属排放的项目须在淮北市内申请总量平衡，获得排放总量后才能入驻。</w:t>
                  </w:r>
                </w:p>
              </w:tc>
            </w:tr>
            <w:tr w14:paraId="1799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pct"/>
                <w:trHeight w:val="397" w:hRule="atLeast"/>
              </w:trPr>
              <w:tc>
                <w:tcPr>
                  <w:tcW w:w="527" w:type="pct"/>
                  <w:vMerge w:val="continue"/>
                  <w:vAlign w:val="center"/>
                </w:tcPr>
                <w:p w14:paraId="59384D3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rPr>
                  </w:pPr>
                </w:p>
              </w:tc>
              <w:tc>
                <w:tcPr>
                  <w:tcW w:w="1006" w:type="pct"/>
                  <w:gridSpan w:val="2"/>
                  <w:vMerge w:val="restart"/>
                  <w:vAlign w:val="center"/>
                </w:tcPr>
                <w:p w14:paraId="65E8FF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禁止引入</w:t>
                  </w:r>
                </w:p>
              </w:tc>
              <w:tc>
                <w:tcPr>
                  <w:tcW w:w="3386" w:type="pct"/>
                  <w:gridSpan w:val="3"/>
                  <w:vAlign w:val="center"/>
                </w:tcPr>
                <w:p w14:paraId="11BF8823">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禁止新建《产业结构调整指导目录（2024年版）》规定的限制类和淘汰类产业，现有产业改、扩建不得使用《产业结构调整指导目录（2024年版）》规定的淘汰类规模和生产工艺。</w:t>
                  </w:r>
                </w:p>
              </w:tc>
            </w:tr>
            <w:tr w14:paraId="16A0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pct"/>
                <w:trHeight w:val="397" w:hRule="atLeast"/>
              </w:trPr>
              <w:tc>
                <w:tcPr>
                  <w:tcW w:w="527" w:type="pct"/>
                  <w:vMerge w:val="continue"/>
                  <w:vAlign w:val="center"/>
                </w:tcPr>
                <w:p w14:paraId="254AC90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rPr>
                  </w:pPr>
                </w:p>
              </w:tc>
              <w:tc>
                <w:tcPr>
                  <w:tcW w:w="1006" w:type="pct"/>
                  <w:gridSpan w:val="2"/>
                  <w:vMerge w:val="continue"/>
                  <w:vAlign w:val="center"/>
                </w:tcPr>
                <w:p w14:paraId="09ACABD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kern w:val="21"/>
                      <w:highlight w:val="none"/>
                      <w:lang w:val="en-US" w:eastAsia="zh-CN"/>
                    </w:rPr>
                  </w:pPr>
                </w:p>
              </w:tc>
              <w:tc>
                <w:tcPr>
                  <w:tcW w:w="3386" w:type="pct"/>
                  <w:gridSpan w:val="3"/>
                  <w:vAlign w:val="center"/>
                </w:tcPr>
                <w:p w14:paraId="5B76A567">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禁止建设安徽省“两高”项目管理目录中项目</w:t>
                  </w:r>
                </w:p>
              </w:tc>
            </w:tr>
            <w:tr w14:paraId="1B18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pct"/>
                <w:trHeight w:val="397" w:hRule="atLeast"/>
              </w:trPr>
              <w:tc>
                <w:tcPr>
                  <w:tcW w:w="527" w:type="pct"/>
                  <w:vMerge w:val="continue"/>
                  <w:vAlign w:val="center"/>
                </w:tcPr>
                <w:p w14:paraId="4047BBE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rPr>
                  </w:pPr>
                </w:p>
              </w:tc>
              <w:tc>
                <w:tcPr>
                  <w:tcW w:w="1006" w:type="pct"/>
                  <w:gridSpan w:val="2"/>
                  <w:vMerge w:val="continue"/>
                  <w:vAlign w:val="center"/>
                </w:tcPr>
                <w:p w14:paraId="352ABBE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kern w:val="21"/>
                      <w:highlight w:val="none"/>
                      <w:lang w:val="en-US" w:eastAsia="zh-CN"/>
                    </w:rPr>
                  </w:pPr>
                </w:p>
              </w:tc>
              <w:tc>
                <w:tcPr>
                  <w:tcW w:w="3386" w:type="pct"/>
                  <w:gridSpan w:val="3"/>
                  <w:vAlign w:val="center"/>
                </w:tcPr>
                <w:p w14:paraId="1425F54D">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禁止建设化工项目</w:t>
                  </w:r>
                </w:p>
              </w:tc>
            </w:tr>
            <w:tr w14:paraId="6705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gridSpan w:val="2"/>
                  <w:vMerge w:val="continue"/>
                  <w:vAlign w:val="center"/>
                </w:tcPr>
                <w:p w14:paraId="234CFFF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lang w:eastAsia="zh-CN"/>
                    </w:rPr>
                  </w:pPr>
                </w:p>
              </w:tc>
              <w:tc>
                <w:tcPr>
                  <w:tcW w:w="1006" w:type="pct"/>
                  <w:gridSpan w:val="2"/>
                  <w:vMerge w:val="continue"/>
                  <w:shd w:val="clear" w:color="auto" w:fill="auto"/>
                  <w:vAlign w:val="center"/>
                </w:tcPr>
                <w:p w14:paraId="4C5094C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lang w:eastAsia="zh-CN"/>
                    </w:rPr>
                  </w:pPr>
                </w:p>
              </w:tc>
              <w:tc>
                <w:tcPr>
                  <w:tcW w:w="670" w:type="pct"/>
                  <w:shd w:val="clear" w:color="auto" w:fill="auto"/>
                  <w:vAlign w:val="center"/>
                </w:tcPr>
                <w:p w14:paraId="640A78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信息产业</w:t>
                  </w:r>
                </w:p>
              </w:tc>
              <w:tc>
                <w:tcPr>
                  <w:tcW w:w="2795" w:type="pct"/>
                  <w:gridSpan w:val="2"/>
                  <w:shd w:val="clear" w:color="auto" w:fill="auto"/>
                  <w:vAlign w:val="center"/>
                </w:tcPr>
                <w:p w14:paraId="12CA19CC">
                  <w:pPr>
                    <w:keepNext w:val="0"/>
                    <w:keepLines w:val="0"/>
                    <w:pageBreakBefore w:val="0"/>
                    <w:widowControl/>
                    <w:suppressLineNumbers w:val="0"/>
                    <w:kinsoku/>
                    <w:wordWrap/>
                    <w:overflowPunct/>
                    <w:topLinePunct w:val="0"/>
                    <w:autoSpaceDE/>
                    <w:autoSpaceDN/>
                    <w:bidi w:val="0"/>
                    <w:adjustRightInd/>
                    <w:snapToGrid/>
                    <w:jc w:val="left"/>
                    <w:textAlignment w:val="auto"/>
                    <w:rPr>
                      <w:rFonts w:ascii="Times New Roman" w:hAnsi="Times New Roman" w:eastAsia="宋体" w:cs="Times New Roman"/>
                      <w:bCs/>
                      <w:color w:val="auto"/>
                      <w:kern w:val="21"/>
                      <w:highlight w:val="none"/>
                      <w:lang w:eastAsia="zh-CN"/>
                    </w:rPr>
                  </w:pPr>
                  <w:r>
                    <w:rPr>
                      <w:rFonts w:hint="eastAsia" w:ascii="Times New Roman" w:hAnsi="Times New Roman" w:eastAsia="宋体" w:cs="Times New Roman"/>
                      <w:bCs/>
                      <w:color w:val="auto"/>
                      <w:kern w:val="21"/>
                      <w:highlight w:val="none"/>
                      <w:lang w:val="en-US" w:eastAsia="zh-CN"/>
                    </w:rPr>
                    <w:t>禁止引入涉及化工工艺的项目，如</w:t>
                  </w:r>
                  <w:r>
                    <w:rPr>
                      <w:rFonts w:ascii="瀹嬩綋" w:hAnsi="瀹嬩綋" w:eastAsia="瀹嬩綋" w:cs="瀹嬩綋"/>
                      <w:snapToGrid w:val="0"/>
                      <w:color w:val="auto"/>
                      <w:kern w:val="21"/>
                      <w:sz w:val="21"/>
                      <w:szCs w:val="21"/>
                      <w:highlight w:val="none"/>
                      <w:lang w:val="en-US" w:eastAsia="zh-CN" w:bidi="ar"/>
                    </w:rPr>
                    <w:t>靶材、光刻胶生产中的部分</w:t>
                  </w:r>
                  <w:r>
                    <w:rPr>
                      <w:rFonts w:hint="default" w:ascii="瀹嬩綋" w:hAnsi="瀹嬩綋" w:eastAsia="瀹嬩綋" w:cs="瀹嬩綋"/>
                      <w:snapToGrid w:val="0"/>
                      <w:color w:val="auto"/>
                      <w:kern w:val="21"/>
                      <w:sz w:val="21"/>
                      <w:szCs w:val="21"/>
                      <w:highlight w:val="none"/>
                      <w:lang w:val="en-US" w:eastAsia="zh-CN" w:bidi="ar"/>
                    </w:rPr>
                    <w:t>工序</w:t>
                  </w:r>
                </w:p>
              </w:tc>
            </w:tr>
            <w:tr w14:paraId="0945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pct"/>
                  <w:gridSpan w:val="2"/>
                  <w:vMerge w:val="continue"/>
                  <w:vAlign w:val="center"/>
                </w:tcPr>
                <w:p w14:paraId="3902386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rPr>
                  </w:pPr>
                </w:p>
              </w:tc>
              <w:tc>
                <w:tcPr>
                  <w:tcW w:w="1006" w:type="pct"/>
                  <w:gridSpan w:val="2"/>
                  <w:vMerge w:val="continue"/>
                  <w:shd w:val="clear" w:color="auto" w:fill="auto"/>
                  <w:vAlign w:val="center"/>
                </w:tcPr>
                <w:p w14:paraId="08C045F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1"/>
                      <w:highlight w:val="none"/>
                      <w:lang w:eastAsia="zh-CN"/>
                    </w:rPr>
                  </w:pPr>
                </w:p>
              </w:tc>
              <w:tc>
                <w:tcPr>
                  <w:tcW w:w="670" w:type="pct"/>
                  <w:shd w:val="clear" w:color="auto" w:fill="auto"/>
                  <w:vAlign w:val="center"/>
                </w:tcPr>
                <w:p w14:paraId="253E74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1"/>
                      <w:highlight w:val="none"/>
                      <w:lang w:val="en-US" w:eastAsia="zh-CN"/>
                    </w:rPr>
                  </w:pPr>
                  <w:r>
                    <w:rPr>
                      <w:rFonts w:hint="eastAsia" w:ascii="Times New Roman" w:hAnsi="Times New Roman" w:eastAsia="宋体" w:cs="Times New Roman"/>
                      <w:bCs/>
                      <w:color w:val="auto"/>
                      <w:kern w:val="21"/>
                      <w:highlight w:val="none"/>
                      <w:lang w:val="en-US" w:eastAsia="zh-CN"/>
                    </w:rPr>
                    <w:t>食品产业</w:t>
                  </w:r>
                </w:p>
              </w:tc>
              <w:tc>
                <w:tcPr>
                  <w:tcW w:w="2795" w:type="pct"/>
                  <w:gridSpan w:val="2"/>
                  <w:shd w:val="clear" w:color="auto" w:fill="auto"/>
                  <w:vAlign w:val="center"/>
                </w:tcPr>
                <w:p w14:paraId="179D7660">
                  <w:pPr>
                    <w:keepNext w:val="0"/>
                    <w:keepLines w:val="0"/>
                    <w:pageBreakBefore w:val="0"/>
                    <w:widowControl/>
                    <w:suppressLineNumbers w:val="0"/>
                    <w:kinsoku/>
                    <w:wordWrap/>
                    <w:overflowPunct/>
                    <w:topLinePunct w:val="0"/>
                    <w:autoSpaceDE/>
                    <w:autoSpaceDN/>
                    <w:bidi w:val="0"/>
                    <w:adjustRightInd/>
                    <w:snapToGrid/>
                    <w:jc w:val="left"/>
                    <w:textAlignment w:val="auto"/>
                    <w:rPr>
                      <w:rFonts w:ascii="Times New Roman" w:hAnsi="Times New Roman" w:eastAsia="宋体" w:cs="Times New Roman"/>
                      <w:bCs/>
                      <w:color w:val="auto"/>
                      <w:kern w:val="21"/>
                      <w:highlight w:val="none"/>
                      <w:lang w:eastAsia="zh-CN"/>
                    </w:rPr>
                  </w:pPr>
                  <w:r>
                    <w:rPr>
                      <w:rFonts w:ascii="瀹嬩綋" w:hAnsi="瀹嬩綋" w:eastAsia="瀹嬩綋" w:cs="瀹嬩綋"/>
                      <w:snapToGrid w:val="0"/>
                      <w:color w:val="auto"/>
                      <w:kern w:val="21"/>
                      <w:sz w:val="21"/>
                      <w:szCs w:val="21"/>
                      <w:highlight w:val="none"/>
                      <w:lang w:val="en-US" w:eastAsia="zh-CN" w:bidi="ar"/>
                    </w:rPr>
                    <w:t>禁止引入涉屠宰项目</w:t>
                  </w:r>
                </w:p>
              </w:tc>
            </w:tr>
          </w:tbl>
          <w:p w14:paraId="636F1A3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b/>
                <w:color w:val="auto"/>
                <w:highlight w:val="none"/>
              </w:rPr>
            </w:pPr>
            <w:r>
              <w:rPr>
                <w:rFonts w:hint="eastAsia"/>
                <w:b w:val="0"/>
                <w:bCs/>
                <w:color w:val="auto"/>
                <w:sz w:val="24"/>
                <w:szCs w:val="32"/>
                <w:highlight w:val="none"/>
                <w:lang w:val="en-US" w:eastAsia="zh-CN"/>
              </w:rPr>
              <w:t>本项目主要为金属门窗制造，属于“</w:t>
            </w:r>
            <w:r>
              <w:rPr>
                <w:rFonts w:hint="default"/>
                <w:b w:val="0"/>
                <w:bCs/>
                <w:color w:val="auto"/>
                <w:sz w:val="24"/>
                <w:szCs w:val="32"/>
                <w:highlight w:val="none"/>
                <w:lang w:val="en-US" w:eastAsia="zh-CN"/>
              </w:rPr>
              <w:t>C</w:t>
            </w:r>
            <w:r>
              <w:rPr>
                <w:rFonts w:hint="eastAsia"/>
                <w:b w:val="0"/>
                <w:bCs/>
                <w:color w:val="auto"/>
                <w:sz w:val="24"/>
                <w:szCs w:val="32"/>
                <w:highlight w:val="none"/>
                <w:lang w:val="en-US" w:eastAsia="zh-CN"/>
              </w:rPr>
              <w:t>3312金属门窗制造”，不在安徽淮北相山经济开发区生态环境准入负面清单内，视为允许类。</w:t>
            </w:r>
          </w:p>
          <w:p w14:paraId="38965F9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b w:val="0"/>
                <w:bCs/>
                <w:color w:val="auto"/>
                <w:sz w:val="24"/>
                <w:szCs w:val="32"/>
                <w:highlight w:val="none"/>
                <w:lang w:val="en-US" w:eastAsia="zh-CN"/>
              </w:rPr>
            </w:pPr>
            <w:r>
              <w:rPr>
                <w:rFonts w:hint="eastAsia"/>
                <w:b w:val="0"/>
                <w:bCs/>
                <w:color w:val="auto"/>
                <w:sz w:val="24"/>
                <w:szCs w:val="32"/>
                <w:highlight w:val="none"/>
                <w:lang w:val="en-US" w:eastAsia="zh-CN"/>
              </w:rPr>
              <w:t>（6）与“三线一单”生态环境分区管控相符性</w:t>
            </w:r>
          </w:p>
          <w:p w14:paraId="00CC55A4">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color w:val="auto"/>
                <w:sz w:val="24"/>
                <w:highlight w:val="none"/>
              </w:rPr>
            </w:pPr>
            <w:r>
              <w:rPr>
                <w:rFonts w:hint="eastAsia"/>
                <w:color w:val="auto"/>
                <w:sz w:val="24"/>
                <w:highlight w:val="none"/>
              </w:rPr>
              <w:t>1）水环境分区管控</w:t>
            </w:r>
          </w:p>
          <w:p w14:paraId="6177A2E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sz w:val="24"/>
                <w:highlight w:val="none"/>
                <w:lang w:eastAsia="zh-CN"/>
              </w:rPr>
            </w:pPr>
            <w:r>
              <w:rPr>
                <w:rFonts w:hint="eastAsia"/>
                <w:color w:val="auto"/>
                <w:sz w:val="24"/>
                <w:szCs w:val="24"/>
                <w:highlight w:val="none"/>
              </w:rPr>
              <w:t>对照淮北市水环境分区管控图，项目位于工业污染重点管控区。管理要求</w:t>
            </w:r>
            <w:r>
              <w:rPr>
                <w:rFonts w:hint="eastAsia"/>
                <w:color w:val="auto"/>
                <w:sz w:val="24"/>
                <w:szCs w:val="24"/>
                <w:highlight w:val="none"/>
                <w:lang w:eastAsia="zh-CN"/>
              </w:rPr>
              <w:t>：</w:t>
            </w:r>
            <w:r>
              <w:rPr>
                <w:rFonts w:hint="eastAsia"/>
                <w:color w:val="auto"/>
                <w:sz w:val="24"/>
                <w:szCs w:val="24"/>
                <w:highlight w:val="none"/>
              </w:rPr>
              <w:t>依据《中华人民共和国水污染防治法》</w:t>
            </w:r>
            <w:r>
              <w:rPr>
                <w:rFonts w:hint="eastAsia"/>
                <w:color w:val="auto"/>
                <w:sz w:val="24"/>
                <w:szCs w:val="24"/>
                <w:highlight w:val="none"/>
                <w:lang w:eastAsia="zh-CN"/>
              </w:rPr>
              <w:t>、</w:t>
            </w:r>
            <w:r>
              <w:rPr>
                <w:rFonts w:hint="eastAsia"/>
                <w:color w:val="auto"/>
                <w:sz w:val="24"/>
                <w:szCs w:val="24"/>
                <w:highlight w:val="none"/>
              </w:rPr>
              <w:t>《水污染防治行动计划》</w:t>
            </w:r>
            <w:r>
              <w:rPr>
                <w:rFonts w:hint="eastAsia"/>
                <w:color w:val="auto"/>
                <w:sz w:val="24"/>
                <w:szCs w:val="24"/>
                <w:highlight w:val="none"/>
                <w:lang w:eastAsia="zh-CN"/>
              </w:rPr>
              <w:t>、</w:t>
            </w:r>
            <w:r>
              <w:rPr>
                <w:rFonts w:hint="eastAsia"/>
                <w:color w:val="auto"/>
                <w:sz w:val="24"/>
                <w:szCs w:val="24"/>
                <w:highlight w:val="none"/>
              </w:rPr>
              <w:t>《安徽省水污染防治工作方案》及《淮北市水污染防治工作方案》对重点管控区实施管控</w:t>
            </w:r>
            <w:r>
              <w:rPr>
                <w:rFonts w:hint="eastAsia"/>
                <w:sz w:val="24"/>
                <w:szCs w:val="24"/>
                <w:highlight w:val="none"/>
                <w:lang w:eastAsia="zh-CN"/>
              </w:rPr>
              <w:t>；</w:t>
            </w:r>
            <w:r>
              <w:rPr>
                <w:rFonts w:hint="eastAsia"/>
                <w:color w:val="auto"/>
                <w:sz w:val="24"/>
                <w:highlight w:val="none"/>
              </w:rPr>
              <w:t>依据开发区规划、规划环评及审查意见相关要求对开发区实施管控</w:t>
            </w:r>
            <w:r>
              <w:rPr>
                <w:rFonts w:hint="eastAsia"/>
                <w:color w:val="auto"/>
                <w:sz w:val="24"/>
                <w:highlight w:val="none"/>
                <w:lang w:eastAsia="zh-CN"/>
              </w:rPr>
              <w:t>；</w:t>
            </w:r>
            <w:r>
              <w:rPr>
                <w:rFonts w:hint="eastAsia"/>
                <w:color w:val="auto"/>
                <w:sz w:val="24"/>
                <w:highlight w:val="none"/>
              </w:rPr>
              <w:t>落实《“十四五”生态环境保护规划》</w:t>
            </w:r>
            <w:r>
              <w:rPr>
                <w:rFonts w:hint="eastAsia"/>
                <w:color w:val="auto"/>
                <w:sz w:val="24"/>
                <w:highlight w:val="none"/>
                <w:lang w:eastAsia="zh-CN"/>
              </w:rPr>
              <w:t>、</w:t>
            </w:r>
            <w:r>
              <w:rPr>
                <w:rFonts w:hint="eastAsia"/>
                <w:color w:val="auto"/>
                <w:sz w:val="24"/>
                <w:highlight w:val="none"/>
              </w:rPr>
              <w:t>《安徽省“十</w:t>
            </w:r>
            <w:r>
              <w:rPr>
                <w:rFonts w:hint="eastAsia"/>
                <w:color w:val="auto"/>
                <w:sz w:val="24"/>
                <w:highlight w:val="none"/>
                <w:lang w:val="en-US" w:eastAsia="zh-CN"/>
              </w:rPr>
              <w:t>四</w:t>
            </w:r>
            <w:r>
              <w:rPr>
                <w:rFonts w:hint="eastAsia"/>
                <w:color w:val="auto"/>
                <w:sz w:val="24"/>
                <w:highlight w:val="none"/>
              </w:rPr>
              <w:t>五”环境保护规划》</w:t>
            </w:r>
            <w:r>
              <w:rPr>
                <w:rFonts w:hint="eastAsia"/>
                <w:color w:val="auto"/>
                <w:sz w:val="24"/>
                <w:highlight w:val="none"/>
                <w:lang w:eastAsia="zh-CN"/>
              </w:rPr>
              <w:t>、</w:t>
            </w:r>
            <w:r>
              <w:rPr>
                <w:rFonts w:hint="eastAsia"/>
                <w:color w:val="auto"/>
                <w:sz w:val="24"/>
                <w:highlight w:val="none"/>
              </w:rPr>
              <w:t>《安徽省“十四五”节能减排实施方案》等要求，新建、改建和扩建项目水污染物实施“等量替代”</w:t>
            </w:r>
            <w:r>
              <w:rPr>
                <w:rFonts w:hint="eastAsia"/>
                <w:highlight w:val="none"/>
                <w:lang w:eastAsia="zh-CN"/>
              </w:rPr>
              <w:t>。</w:t>
            </w:r>
          </w:p>
          <w:p w14:paraId="53B52BA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color w:val="auto"/>
                <w:sz w:val="24"/>
                <w:szCs w:val="24"/>
                <w:highlight w:val="none"/>
              </w:rPr>
            </w:pPr>
            <w:r>
              <w:rPr>
                <w:rFonts w:hint="eastAsia"/>
                <w:color w:val="auto"/>
                <w:sz w:val="24"/>
                <w:szCs w:val="24"/>
                <w:highlight w:val="none"/>
                <w:lang w:val="en-US" w:eastAsia="zh-CN"/>
              </w:rPr>
              <w:t>本项目用水来自市政供水管网供给，项目运行期产生的</w:t>
            </w:r>
            <w:r>
              <w:rPr>
                <w:color w:val="auto"/>
                <w:sz w:val="24"/>
                <w:szCs w:val="24"/>
                <w:highlight w:val="none"/>
              </w:rPr>
              <w:t>废水主要为</w:t>
            </w:r>
            <w:r>
              <w:rPr>
                <w:rFonts w:hint="eastAsia"/>
                <w:color w:val="auto"/>
                <w:sz w:val="24"/>
                <w:szCs w:val="24"/>
                <w:highlight w:val="none"/>
                <w:lang w:val="en-US" w:eastAsia="zh-CN"/>
              </w:rPr>
              <w:t>清洗工段产生的清洗废水和员工生活污水，生产废水经自建污水处理站处理后废水回用于脱脂用水，不外排；生活污水经隔油池+化粪池处理后经市政污水管网排入污水处理厂处理。</w:t>
            </w:r>
            <w:r>
              <w:rPr>
                <w:color w:val="auto"/>
                <w:sz w:val="24"/>
                <w:szCs w:val="24"/>
                <w:highlight w:val="none"/>
              </w:rPr>
              <w:t>本项目建成后对区域地表水体影响小。</w:t>
            </w:r>
          </w:p>
          <w:p w14:paraId="6C90C1A9">
            <w:pPr>
              <w:pStyle w:val="35"/>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firstLine="480" w:firstLineChars="200"/>
              <w:jc w:val="both"/>
              <w:textAlignment w:val="auto"/>
              <w:rPr>
                <w:rFonts w:hint="eastAsia"/>
                <w:color w:val="auto"/>
                <w:sz w:val="24"/>
                <w:highlight w:val="none"/>
              </w:rPr>
            </w:pPr>
            <w:r>
              <w:rPr>
                <w:rFonts w:hint="eastAsia" w:ascii="Times New Roman" w:hAnsi="Times New Roman" w:eastAsia="宋体" w:cs="Times New Roman"/>
                <w:color w:val="auto"/>
                <w:sz w:val="24"/>
                <w:szCs w:val="24"/>
                <w:highlight w:val="none"/>
                <w:lang w:val="en-US" w:eastAsia="zh-CN" w:bidi="ar-SA"/>
              </w:rPr>
              <w:t>2）</w:t>
            </w:r>
            <w:r>
              <w:rPr>
                <w:rFonts w:hint="eastAsia"/>
                <w:color w:val="auto"/>
                <w:sz w:val="24"/>
                <w:highlight w:val="none"/>
              </w:rPr>
              <w:t>大气环境分区管控</w:t>
            </w:r>
          </w:p>
          <w:p w14:paraId="21AA1AE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宋体"/>
                <w:color w:val="0000FF"/>
                <w:sz w:val="24"/>
                <w:highlight w:val="none"/>
                <w:lang w:val="en-US" w:eastAsia="zh-CN"/>
              </w:rPr>
            </w:pPr>
            <w:r>
              <w:rPr>
                <w:rFonts w:hint="eastAsia"/>
                <w:color w:val="auto"/>
                <w:sz w:val="24"/>
                <w:highlight w:val="none"/>
              </w:rPr>
              <w:t>对照淮北市大气</w:t>
            </w:r>
            <w:r>
              <w:rPr>
                <w:rFonts w:hint="eastAsia"/>
                <w:color w:val="auto"/>
                <w:sz w:val="24"/>
                <w:highlight w:val="none"/>
                <w:lang w:val="en-US" w:eastAsia="zh-CN"/>
              </w:rPr>
              <w:t>环境分区</w:t>
            </w:r>
            <w:r>
              <w:rPr>
                <w:rFonts w:hint="eastAsia"/>
                <w:color w:val="auto"/>
                <w:sz w:val="24"/>
                <w:highlight w:val="none"/>
              </w:rPr>
              <w:t>管控图，项目位于大气重点管控区</w:t>
            </w:r>
            <w:r>
              <w:rPr>
                <w:rFonts w:hint="eastAsia"/>
                <w:color w:val="auto"/>
                <w:sz w:val="24"/>
                <w:highlight w:val="none"/>
                <w:lang w:eastAsia="zh-CN"/>
              </w:rPr>
              <w:t>（</w:t>
            </w:r>
            <w:r>
              <w:rPr>
                <w:rFonts w:hint="eastAsia"/>
                <w:color w:val="auto"/>
                <w:sz w:val="24"/>
                <w:highlight w:val="none"/>
                <w:lang w:val="en-US" w:eastAsia="zh-CN"/>
              </w:rPr>
              <w:t>见附图</w:t>
            </w:r>
            <w:r>
              <w:rPr>
                <w:rFonts w:hint="eastAsia"/>
                <w:color w:val="auto"/>
                <w:sz w:val="24"/>
                <w:highlight w:val="none"/>
                <w:lang w:eastAsia="zh-CN"/>
              </w:rPr>
              <w:t>）</w:t>
            </w:r>
            <w:r>
              <w:rPr>
                <w:rFonts w:hint="eastAsia"/>
                <w:color w:val="auto"/>
                <w:sz w:val="24"/>
                <w:highlight w:val="none"/>
              </w:rPr>
              <w:t>。具体管理要求:落实《安徽省大气污染防治条例》</w:t>
            </w:r>
            <w:r>
              <w:rPr>
                <w:rFonts w:hint="eastAsia"/>
                <w:color w:val="auto"/>
                <w:sz w:val="24"/>
                <w:highlight w:val="none"/>
                <w:lang w:eastAsia="zh-CN"/>
              </w:rPr>
              <w:t>、</w:t>
            </w:r>
            <w:r>
              <w:rPr>
                <w:rFonts w:hint="eastAsia"/>
                <w:color w:val="auto"/>
                <w:sz w:val="24"/>
                <w:highlight w:val="none"/>
              </w:rPr>
              <w:t>《“十四五”生态环境保护规划》</w:t>
            </w:r>
            <w:r>
              <w:rPr>
                <w:rFonts w:hint="eastAsia"/>
                <w:color w:val="auto"/>
                <w:sz w:val="24"/>
                <w:highlight w:val="none"/>
                <w:lang w:eastAsia="zh-CN"/>
              </w:rPr>
              <w:t>、</w:t>
            </w:r>
            <w:r>
              <w:rPr>
                <w:rFonts w:hint="eastAsia"/>
                <w:color w:val="auto"/>
                <w:sz w:val="24"/>
                <w:highlight w:val="none"/>
              </w:rPr>
              <w:t>《安徽省“十四五”环境保护规划》等要求，严格目标实施计划，加强环境监管，促进生态环境质量好转。上年度PM</w:t>
            </w:r>
            <w:r>
              <w:rPr>
                <w:rFonts w:hint="eastAsia"/>
                <w:color w:val="auto"/>
                <w:sz w:val="24"/>
                <w:highlight w:val="none"/>
                <w:vertAlign w:val="subscript"/>
                <w:lang w:val="en-US" w:eastAsia="zh-CN"/>
              </w:rPr>
              <w:t>2.5</w:t>
            </w:r>
            <w:r>
              <w:rPr>
                <w:rFonts w:hint="eastAsia"/>
                <w:color w:val="auto"/>
                <w:sz w:val="24"/>
                <w:highlight w:val="none"/>
              </w:rPr>
              <w:t>不达标城市新建、改建和扩建项目大气污染物实施“倍量替代”，执行特别排放标准的行业实施提标升级改造</w:t>
            </w:r>
            <w:r>
              <w:rPr>
                <w:rFonts w:hint="eastAsia"/>
                <w:highlight w:val="none"/>
                <w:lang w:eastAsia="zh-CN"/>
              </w:rPr>
              <w:t>。</w:t>
            </w:r>
          </w:p>
          <w:p w14:paraId="6799BD00">
            <w:pPr>
              <w:pStyle w:val="2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firstLine="480"/>
              <w:jc w:val="both"/>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auto"/>
                <w:sz w:val="24"/>
                <w:szCs w:val="24"/>
                <w:highlight w:val="none"/>
              </w:rPr>
              <w:t>本项目</w:t>
            </w:r>
            <w:r>
              <w:rPr>
                <w:rFonts w:hint="default" w:ascii="Times New Roman" w:hAnsi="Times New Roman" w:eastAsia="宋体" w:cs="Times New Roman"/>
                <w:color w:val="auto"/>
                <w:kern w:val="2"/>
                <w:sz w:val="24"/>
                <w:szCs w:val="24"/>
                <w:highlight w:val="none"/>
                <w:shd w:val="clear" w:color="auto" w:fill="auto"/>
                <w:lang w:val="en-US" w:eastAsia="zh-CN" w:bidi="ar-SA"/>
              </w:rPr>
              <w:t>涉及主要大气污染物为</w:t>
            </w:r>
            <w:r>
              <w:rPr>
                <w:rFonts w:hint="default" w:ascii="Times New Roman" w:hAnsi="Times New Roman" w:cs="Times New Roman"/>
                <w:color w:val="auto"/>
                <w:kern w:val="2"/>
                <w:sz w:val="24"/>
                <w:szCs w:val="24"/>
                <w:highlight w:val="none"/>
                <w:shd w:val="clear" w:color="auto" w:fill="auto"/>
                <w:lang w:val="en-US" w:eastAsia="zh-CN" w:bidi="ar-SA"/>
              </w:rPr>
              <w:t>下料切割废气</w:t>
            </w:r>
            <w:r>
              <w:rPr>
                <w:rFonts w:hint="default" w:ascii="Times New Roman" w:hAnsi="Times New Roman" w:eastAsia="宋体" w:cs="Times New Roman"/>
                <w:color w:val="auto"/>
                <w:kern w:val="2"/>
                <w:sz w:val="24"/>
                <w:szCs w:val="24"/>
                <w:highlight w:val="none"/>
                <w:shd w:val="clear" w:color="auto" w:fill="auto"/>
                <w:lang w:val="en-US" w:eastAsia="zh-CN" w:bidi="ar-SA"/>
              </w:rPr>
              <w:t>、</w:t>
            </w:r>
            <w:r>
              <w:rPr>
                <w:rFonts w:hint="default" w:ascii="Times New Roman" w:hAnsi="Times New Roman" w:cs="Times New Roman"/>
                <w:color w:val="auto"/>
                <w:sz w:val="24"/>
                <w:szCs w:val="24"/>
                <w:highlight w:val="none"/>
                <w:lang w:val="en-US" w:eastAsia="zh-CN"/>
              </w:rPr>
              <w:t>打磨抛光</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kern w:val="2"/>
                <w:sz w:val="24"/>
                <w:szCs w:val="24"/>
                <w:highlight w:val="none"/>
                <w:shd w:val="clear" w:color="auto" w:fill="auto"/>
                <w:lang w:val="en-US" w:eastAsia="zh-CN" w:bidi="ar-SA"/>
              </w:rPr>
              <w:t>抛丸</w:t>
            </w:r>
            <w:r>
              <w:rPr>
                <w:rFonts w:hint="default" w:ascii="Times New Roman" w:hAnsi="Times New Roman" w:eastAsia="宋体"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焊接</w:t>
            </w:r>
            <w:r>
              <w:rPr>
                <w:rFonts w:hint="default" w:ascii="Times New Roman" w:hAnsi="Times New Roman" w:eastAsia="宋体" w:cs="Times New Roman"/>
                <w:color w:val="auto"/>
                <w:sz w:val="24"/>
                <w:szCs w:val="24"/>
                <w:highlight w:val="none"/>
                <w:lang w:val="en-US" w:eastAsia="zh-CN"/>
              </w:rPr>
              <w:t>废气、喷漆废气。</w:t>
            </w:r>
            <w:r>
              <w:rPr>
                <w:rFonts w:hint="default" w:ascii="Times New Roman" w:hAnsi="Times New Roman" w:cs="Times New Roman"/>
                <w:color w:val="auto"/>
                <w:sz w:val="24"/>
                <w:szCs w:val="24"/>
                <w:highlight w:val="none"/>
                <w:lang w:val="en-US" w:eastAsia="zh-CN"/>
              </w:rPr>
              <w:t>本项目下料、打磨抛光、焊接废气经集气罩收集后通过布袋除尘器处理后通过15m高排气筒排放（DA001）；抛丸废气经密闭收集后通过设备自带布袋除尘装置处理后</w:t>
            </w:r>
            <w:r>
              <w:rPr>
                <w:rFonts w:hint="default" w:ascii="Times New Roman" w:hAnsi="Times New Roman" w:eastAsia="宋体" w:cs="Times New Roman"/>
                <w:color w:val="auto"/>
                <w:sz w:val="24"/>
                <w:szCs w:val="24"/>
                <w:highlight w:val="none"/>
                <w:lang w:val="en-US" w:eastAsia="zh-CN"/>
              </w:rPr>
              <w:t>通过15m高排气筒排放（DA00</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；喷塑废气经密闭负压收集后通过滤芯除尘+布袋除尘器出后通过15m高排气筒排放（DA003）；天然气燃烧废气由低氮燃烧器处理，固化/烘干废气经集气罩收集+</w:t>
            </w:r>
            <w:r>
              <w:rPr>
                <w:rFonts w:hint="eastAsia" w:ascii="Times New Roman" w:hAnsi="Times New Roman" w:cs="Times New Roman"/>
                <w:color w:val="auto"/>
                <w:sz w:val="24"/>
                <w:szCs w:val="24"/>
                <w:highlight w:val="none"/>
                <w:lang w:val="en-US" w:eastAsia="zh-CN"/>
              </w:rPr>
              <w:t>风冷+</w:t>
            </w:r>
            <w:r>
              <w:rPr>
                <w:rFonts w:hint="default" w:ascii="Times New Roman" w:hAnsi="Times New Roman" w:cs="Times New Roman"/>
                <w:color w:val="auto"/>
                <w:sz w:val="24"/>
                <w:szCs w:val="24"/>
                <w:highlight w:val="none"/>
                <w:lang w:val="en-US" w:eastAsia="zh-CN"/>
              </w:rPr>
              <w:t>二级活性炭吸附处理后通过15m高排气筒排放（DA004）；喷漆废气经密闭负压收集后通过干式过滤+二级活性炭吸附处理后通过15m高排气筒排放（DA005）。</w:t>
            </w:r>
          </w:p>
          <w:p w14:paraId="312A25F8">
            <w:pPr>
              <w:pStyle w:val="2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firstLine="480"/>
              <w:jc w:val="both"/>
              <w:rPr>
                <w:highlight w:val="none"/>
              </w:rPr>
            </w:pPr>
            <w:r>
              <w:rPr>
                <w:rFonts w:hint="eastAsia" w:ascii="Times New Roman" w:hAnsi="Times New Roman" w:cs="Times New Roman"/>
                <w:color w:val="000000"/>
                <w:sz w:val="24"/>
                <w:szCs w:val="24"/>
                <w:highlight w:val="none"/>
                <w:lang w:val="en-US" w:eastAsia="zh-CN"/>
              </w:rPr>
              <w:t>3</w:t>
            </w:r>
            <w:r>
              <w:rPr>
                <w:rFonts w:hint="default" w:ascii="Times New Roman" w:hAnsi="Times New Roman" w:cs="Times New Roman"/>
                <w:color w:val="000000"/>
                <w:sz w:val="24"/>
                <w:szCs w:val="24"/>
                <w:highlight w:val="none"/>
              </w:rPr>
              <w:t>）土壤环境分区管控</w:t>
            </w:r>
          </w:p>
          <w:p w14:paraId="3203090D">
            <w:pPr>
              <w:pStyle w:val="2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highlight w:val="none"/>
              </w:rPr>
            </w:pPr>
            <w:r>
              <w:rPr>
                <w:rFonts w:hint="default" w:ascii="Times New Roman" w:hAnsi="Times New Roman" w:cs="Times New Roman"/>
                <w:color w:val="000000"/>
                <w:sz w:val="24"/>
                <w:szCs w:val="24"/>
                <w:highlight w:val="none"/>
              </w:rPr>
              <w:t>对照淮北市土壤</w:t>
            </w:r>
            <w:r>
              <w:rPr>
                <w:rFonts w:hint="default" w:ascii="Times New Roman" w:hAnsi="Times New Roman" w:cs="Times New Roman"/>
                <w:color w:val="000000"/>
                <w:sz w:val="24"/>
                <w:szCs w:val="24"/>
                <w:highlight w:val="none"/>
                <w:lang w:val="en-US" w:eastAsia="zh-CN"/>
              </w:rPr>
              <w:t>环境分区</w:t>
            </w:r>
            <w:r>
              <w:rPr>
                <w:rFonts w:hint="default" w:ascii="Times New Roman" w:hAnsi="Times New Roman" w:cs="Times New Roman"/>
                <w:color w:val="000000"/>
                <w:sz w:val="24"/>
                <w:szCs w:val="24"/>
                <w:highlight w:val="none"/>
              </w:rPr>
              <w:t>管控图，项目位于一般管控区（</w:t>
            </w:r>
            <w:r>
              <w:rPr>
                <w:rFonts w:hint="eastAsia"/>
                <w:color w:val="auto"/>
                <w:sz w:val="24"/>
                <w:highlight w:val="none"/>
                <w:lang w:val="en-US" w:eastAsia="zh-CN"/>
              </w:rPr>
              <w:t>见附图</w:t>
            </w:r>
            <w:r>
              <w:rPr>
                <w:rFonts w:hint="default" w:ascii="Times New Roman" w:hAnsi="Times New Roman" w:cs="Times New Roman"/>
                <w:color w:val="000000"/>
                <w:sz w:val="24"/>
                <w:szCs w:val="24"/>
                <w:highlight w:val="none"/>
              </w:rPr>
              <w:t>）。具体管理要求：</w:t>
            </w:r>
            <w:r>
              <w:rPr>
                <w:rFonts w:hint="eastAsia" w:ascii="宋体" w:hAnsi="宋体" w:eastAsia="宋体" w:cs="宋体"/>
                <w:color w:val="000000"/>
                <w:sz w:val="24"/>
                <w:szCs w:val="24"/>
                <w:highlight w:val="none"/>
              </w:rPr>
              <w:t>依据《中华人民共和国土壤污染防治法》</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《土壤污染防治行动计划》</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《安徽省土壤污染防治工作方案》</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《安徽省“十四五”环境保护规划》</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《安徽省“十四五”土壤、地下水和农村生态环境保护规划》</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《安徽省重金属污染防控工作方案》</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《安徽省“十四五”危险废物工业固体废物污染防治规划》</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《安徽省土壤污染防治工作方案》</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《淮北市“十四五”土壤（地下水）和农村生态环境保护规划》等要求对一般管控区实施管控。</w:t>
            </w:r>
          </w:p>
          <w:p w14:paraId="076F8B85">
            <w:pPr>
              <w:pStyle w:val="23"/>
              <w:widowControl w:val="0"/>
              <w:spacing w:before="0" w:beforeAutospacing="0" w:after="0" w:afterAutospacing="0" w:line="360" w:lineRule="auto"/>
              <w:ind w:firstLine="480"/>
              <w:jc w:val="both"/>
              <w:rPr>
                <w:rFonts w:hint="eastAsia"/>
                <w:color w:val="0000FF"/>
                <w:sz w:val="24"/>
                <w:highlight w:val="none"/>
                <w:lang w:val="en-US" w:eastAsia="zh-CN"/>
              </w:rPr>
            </w:pPr>
            <w:r>
              <w:rPr>
                <w:rFonts w:ascii="Times New Roman" w:hAnsi="Times New Roman" w:cs="Times New Roman"/>
                <w:color w:val="000000" w:themeColor="text1"/>
                <w:sz w:val="24"/>
                <w:szCs w:val="24"/>
                <w:highlight w:val="none"/>
                <w14:textFill>
                  <w14:solidFill>
                    <w14:schemeClr w14:val="tx1"/>
                  </w14:solidFill>
                </w14:textFill>
              </w:rPr>
              <w:t>本项目建设不占用永久基本农田；项目对可能产生地下水、土壤影响的各项途径均进行有效预防，</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本项目针对</w:t>
            </w:r>
            <w:r>
              <w:rPr>
                <w:rFonts w:hint="eastAsia" w:eastAsia="宋体"/>
                <w:color w:val="auto"/>
                <w:highlight w:val="none"/>
                <w:lang w:val="en-US" w:eastAsia="zh-CN"/>
              </w:rPr>
              <w:t>危废库</w:t>
            </w:r>
            <w:r>
              <w:rPr>
                <w:rFonts w:hint="eastAsia"/>
                <w:color w:val="auto"/>
                <w:highlight w:val="none"/>
                <w:lang w:val="en-US" w:eastAsia="zh-CN"/>
              </w:rPr>
              <w:t>、喷漆房、固化房、表面处理区域和事故池</w:t>
            </w:r>
            <w:r>
              <w:rPr>
                <w:rFonts w:hint="eastAsia" w:eastAsia="宋体"/>
                <w:color w:val="auto"/>
                <w:highlight w:val="none"/>
                <w:lang w:val="en-US" w:eastAsia="zh-CN"/>
              </w:rPr>
              <w:t>按要求做好重点防渗措施；一般工业固废暂存间、原料库、成品库做好一般防渗，其他区域采取水泥硬化地面，符合土壤环境一般管控区的相关管控要求。</w:t>
            </w:r>
          </w:p>
          <w:p w14:paraId="114D4736">
            <w:pPr>
              <w:pStyle w:val="35"/>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cs="Times New Roman"/>
                <w:b/>
                <w:bCs/>
                <w:color w:val="auto"/>
                <w:sz w:val="24"/>
                <w:szCs w:val="24"/>
                <w:highlight w:val="none"/>
                <w:lang w:val="en-US" w:eastAsia="zh-CN"/>
              </w:rPr>
            </w:pPr>
            <w:r>
              <w:rPr>
                <w:rFonts w:hint="eastAsia" w:ascii="Times New Roman" w:hAnsi="Times New Roman" w:cs="Times New Roman"/>
                <w:b/>
                <w:color w:val="auto"/>
                <w:highlight w:val="none"/>
              </w:rPr>
              <w:t>4、</w:t>
            </w:r>
            <w:r>
              <w:rPr>
                <w:rFonts w:hint="eastAsia"/>
                <w:b/>
                <w:color w:val="auto"/>
                <w:highlight w:val="none"/>
              </w:rPr>
              <w:t>项目与</w:t>
            </w:r>
            <w:r>
              <w:rPr>
                <w:rFonts w:hint="eastAsia" w:ascii="Times New Roman" w:hAnsi="Times New Roman" w:cs="Times New Roman"/>
                <w:b/>
                <w:color w:val="auto"/>
                <w:highlight w:val="none"/>
              </w:rPr>
              <w:t>其他相关法规政策相符性分析</w:t>
            </w:r>
          </w:p>
          <w:p w14:paraId="0FD6ED4C">
            <w:pPr>
              <w:widowControl w:val="0"/>
              <w:kinsoku/>
              <w:autoSpaceDE/>
              <w:autoSpaceDN/>
              <w:adjustRightInd/>
              <w:snapToGrid/>
              <w:spacing w:line="360" w:lineRule="auto"/>
              <w:ind w:firstLine="482" w:firstLineChars="200"/>
              <w:textAlignment w:val="auto"/>
              <w:rPr>
                <w:rFonts w:ascii="Times New Roman" w:hAnsi="Times New Roman" w:eastAsia="宋体" w:cs="Times New Roman"/>
                <w:b/>
                <w:bCs/>
                <w:color w:val="auto"/>
                <w:sz w:val="24"/>
                <w:szCs w:val="32"/>
                <w:highlight w:val="none"/>
                <w:lang w:eastAsia="zh-CN"/>
              </w:rPr>
            </w:pPr>
            <w:r>
              <w:rPr>
                <w:rFonts w:hint="eastAsia" w:cs="Times New Roman"/>
                <w:b/>
                <w:bCs/>
                <w:color w:val="auto"/>
                <w:sz w:val="24"/>
                <w:szCs w:val="32"/>
                <w:highlight w:val="none"/>
                <w:lang w:eastAsia="zh-CN"/>
              </w:rPr>
              <w:t>（</w:t>
            </w:r>
            <w:r>
              <w:rPr>
                <w:rFonts w:hint="eastAsia" w:cs="Times New Roman"/>
                <w:b/>
                <w:bCs/>
                <w:color w:val="auto"/>
                <w:sz w:val="24"/>
                <w:szCs w:val="32"/>
                <w:highlight w:val="none"/>
                <w:lang w:val="en-US" w:eastAsia="zh-CN"/>
              </w:rPr>
              <w:t>1）</w:t>
            </w:r>
            <w:r>
              <w:rPr>
                <w:rFonts w:ascii="Times New Roman" w:hAnsi="Times New Roman" w:cs="Times New Roman"/>
                <w:b/>
                <w:bCs/>
                <w:color w:val="auto"/>
                <w:sz w:val="24"/>
                <w:szCs w:val="32"/>
                <w:highlight w:val="none"/>
                <w:lang w:eastAsia="zh-CN"/>
              </w:rPr>
              <w:t>与</w:t>
            </w:r>
            <w:r>
              <w:rPr>
                <w:rFonts w:ascii="Times New Roman" w:hAnsi="Times New Roman" w:cs="Times New Roman"/>
                <w:b/>
                <w:bCs/>
                <w:color w:val="auto"/>
                <w:sz w:val="24"/>
                <w:szCs w:val="32"/>
                <w:highlight w:val="none"/>
              </w:rPr>
              <w:t>《</w:t>
            </w:r>
            <w:r>
              <w:rPr>
                <w:rFonts w:hint="eastAsia" w:ascii="Times New Roman" w:hAnsi="Times New Roman" w:eastAsia="宋体" w:cs="Times New Roman"/>
                <w:b/>
                <w:bCs/>
                <w:color w:val="auto"/>
                <w:sz w:val="24"/>
                <w:szCs w:val="32"/>
                <w:highlight w:val="none"/>
                <w:lang w:val="en-US" w:eastAsia="zh-CN"/>
              </w:rPr>
              <w:t>安徽省生态环境厅关于强化2024-2025秋冬季大气污染防治攻坚工作的通知</w:t>
            </w:r>
            <w:r>
              <w:rPr>
                <w:rFonts w:ascii="Times New Roman" w:hAnsi="Times New Roman" w:cs="Times New Roman"/>
                <w:b/>
                <w:bCs/>
                <w:color w:val="auto"/>
                <w:sz w:val="24"/>
                <w:szCs w:val="32"/>
                <w:highlight w:val="none"/>
              </w:rPr>
              <w:t>》的</w:t>
            </w:r>
            <w:r>
              <w:rPr>
                <w:rFonts w:ascii="Times New Roman" w:hAnsi="Times New Roman" w:cs="Times New Roman"/>
                <w:b/>
                <w:bCs/>
                <w:color w:val="auto"/>
                <w:sz w:val="24"/>
                <w:szCs w:val="32"/>
                <w:highlight w:val="none"/>
                <w:lang w:eastAsia="zh-CN"/>
              </w:rPr>
              <w:t>相符性分析</w:t>
            </w:r>
          </w:p>
          <w:p w14:paraId="1017B42E">
            <w:pPr>
              <w:pStyle w:val="40"/>
              <w:widowControl w:val="0"/>
              <w:kinsoku/>
              <w:autoSpaceDE/>
              <w:autoSpaceDN/>
              <w:adjustRightInd/>
              <w:snapToGrid/>
              <w:textAlignment w:val="auto"/>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表1-</w:t>
            </w:r>
            <w:r>
              <w:rPr>
                <w:rFonts w:hint="eastAsia" w:cs="Times New Roman"/>
                <w:color w:val="auto"/>
                <w:sz w:val="24"/>
                <w:szCs w:val="32"/>
                <w:highlight w:val="none"/>
                <w:lang w:val="en-US" w:eastAsia="zh-CN"/>
              </w:rPr>
              <w:t>1</w:t>
            </w:r>
            <w:r>
              <w:rPr>
                <w:rFonts w:hint="default" w:ascii="Times New Roman" w:hAnsi="Times New Roman" w:eastAsia="宋体" w:cs="Times New Roman"/>
                <w:color w:val="auto"/>
                <w:sz w:val="24"/>
                <w:szCs w:val="32"/>
                <w:highlight w:val="none"/>
                <w:lang w:eastAsia="zh-CN"/>
              </w:rPr>
              <w:t xml:space="preserve"> 与</w:t>
            </w:r>
            <w:r>
              <w:rPr>
                <w:rFonts w:hint="default" w:ascii="Times New Roman" w:hAnsi="Times New Roman" w:cs="Times New Roman"/>
                <w:color w:val="auto"/>
                <w:sz w:val="24"/>
                <w:szCs w:val="32"/>
                <w:highlight w:val="none"/>
              </w:rPr>
              <w:t>《</w:t>
            </w:r>
            <w:r>
              <w:rPr>
                <w:rFonts w:hint="eastAsia" w:ascii="Times New Roman" w:hAnsi="Times New Roman" w:eastAsia="宋体" w:cs="Times New Roman"/>
                <w:b/>
                <w:bCs/>
                <w:color w:val="auto"/>
                <w:sz w:val="24"/>
                <w:szCs w:val="32"/>
                <w:highlight w:val="none"/>
                <w:lang w:val="en-US" w:eastAsia="zh-CN"/>
              </w:rPr>
              <w:t>安徽省生态环境厅关于强化2024-2025秋冬季大气污染防治攻坚工作的通知</w:t>
            </w:r>
            <w:r>
              <w:rPr>
                <w:rFonts w:hint="default" w:ascii="Times New Roman" w:hAnsi="Times New Roman" w:cs="Times New Roman"/>
                <w:color w:val="auto"/>
                <w:sz w:val="24"/>
                <w:szCs w:val="32"/>
                <w:highlight w:val="none"/>
              </w:rPr>
              <w:t>》</w:t>
            </w:r>
            <w:r>
              <w:rPr>
                <w:rFonts w:hint="default" w:ascii="Times New Roman" w:hAnsi="Times New Roman" w:cs="Times New Roman"/>
                <w:color w:val="auto"/>
                <w:sz w:val="24"/>
                <w:szCs w:val="32"/>
                <w:highlight w:val="none"/>
                <w:lang w:eastAsia="zh-CN"/>
              </w:rPr>
              <w:t>相符性分析</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9"/>
              <w:gridCol w:w="1677"/>
              <w:gridCol w:w="1036"/>
            </w:tblGrid>
            <w:tr w14:paraId="396E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6" w:type="pct"/>
                  <w:vAlign w:val="center"/>
                </w:tcPr>
                <w:p w14:paraId="7C76EB4B">
                  <w:pPr>
                    <w:widowControl w:val="0"/>
                    <w:kinsoku/>
                    <w:autoSpaceDE/>
                    <w:autoSpaceDN/>
                    <w:adjustRightInd/>
                    <w:snapToGrid/>
                    <w:jc w:val="center"/>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与本项目相关的要求</w:t>
                  </w:r>
                </w:p>
              </w:tc>
              <w:tc>
                <w:tcPr>
                  <w:tcW w:w="1046" w:type="pct"/>
                  <w:vAlign w:val="center"/>
                </w:tcPr>
                <w:p w14:paraId="435B7B4F">
                  <w:pPr>
                    <w:widowControl w:val="0"/>
                    <w:kinsoku/>
                    <w:autoSpaceDE/>
                    <w:autoSpaceDN/>
                    <w:adjustRightInd/>
                    <w:snapToGrid/>
                    <w:jc w:val="center"/>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本项目情况</w:t>
                  </w:r>
                </w:p>
              </w:tc>
              <w:tc>
                <w:tcPr>
                  <w:tcW w:w="646" w:type="pct"/>
                  <w:vAlign w:val="center"/>
                </w:tcPr>
                <w:p w14:paraId="090473BC">
                  <w:pPr>
                    <w:widowControl w:val="0"/>
                    <w:kinsoku/>
                    <w:autoSpaceDE/>
                    <w:autoSpaceDN/>
                    <w:adjustRightInd/>
                    <w:snapToGrid/>
                    <w:jc w:val="center"/>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相符性</w:t>
                  </w:r>
                </w:p>
              </w:tc>
            </w:tr>
            <w:tr w14:paraId="729C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6" w:type="pct"/>
                  <w:vAlign w:val="center"/>
                </w:tcPr>
                <w:p w14:paraId="50A8A2C1">
                  <w:pPr>
                    <w:widowControl w:val="0"/>
                    <w:numPr>
                      <w:ilvl w:val="0"/>
                      <w:numId w:val="3"/>
                    </w:numPr>
                    <w:kinsoku/>
                    <w:autoSpaceDE/>
                    <w:autoSpaceDN/>
                    <w:adjustRightInd/>
                    <w:snapToGrid/>
                    <w:jc w:val="center"/>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加快淘汰燃煤小锅炉等高污染设施。对应当淘汰的燃煤小锅炉、燃煤热风炉和种植业、养殖业散煤等抓紧淘汰，依据淘汰的组织“回头看”防止死灰复燃。</w:t>
                  </w:r>
                </w:p>
              </w:tc>
              <w:tc>
                <w:tcPr>
                  <w:tcW w:w="1046" w:type="pct"/>
                  <w:vAlign w:val="center"/>
                </w:tcPr>
                <w:p w14:paraId="2095F11D">
                  <w:pPr>
                    <w:widowControl w:val="0"/>
                    <w:kinsoku/>
                    <w:autoSpaceDE/>
                    <w:autoSpaceDN/>
                    <w:adjustRightInd/>
                    <w:snapToGrid/>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本项目不涉及锅炉</w:t>
                  </w:r>
                  <w:r>
                    <w:rPr>
                      <w:rFonts w:hint="eastAsia" w:cs="Times New Roman"/>
                      <w:color w:val="auto"/>
                      <w:highlight w:val="none"/>
                      <w:lang w:val="en-US" w:eastAsia="zh-CN"/>
                    </w:rPr>
                    <w:t>。</w:t>
                  </w:r>
                </w:p>
              </w:tc>
              <w:tc>
                <w:tcPr>
                  <w:tcW w:w="646" w:type="pct"/>
                  <w:vAlign w:val="center"/>
                </w:tcPr>
                <w:p w14:paraId="5C803584">
                  <w:pPr>
                    <w:widowControl w:val="0"/>
                    <w:kinsoku/>
                    <w:autoSpaceDE/>
                    <w:autoSpaceDN/>
                    <w:adjustRightInd/>
                    <w:snapToGrid/>
                    <w:jc w:val="center"/>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相符</w:t>
                  </w:r>
                </w:p>
              </w:tc>
            </w:tr>
            <w:tr w14:paraId="70C5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6" w:type="pct"/>
                  <w:vAlign w:val="center"/>
                </w:tcPr>
                <w:p w14:paraId="3A6310DC">
                  <w:pPr>
                    <w:widowControl w:val="0"/>
                    <w:kinsoku/>
                    <w:autoSpaceDE/>
                    <w:autoSpaceDN/>
                    <w:adjustRightInd/>
                    <w:snapToGrid/>
                    <w:jc w:val="both"/>
                    <w:textAlignment w:val="auto"/>
                    <w:rPr>
                      <w:rFonts w:hint="default"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eastAsia="zh-CN"/>
                    </w:rPr>
                    <w:t>2、加强挥发性有机物管控。积极督促指导VOCs年排量1吨及以上企业对照挥发性有机物综合治理“一企一策”方案，对原辅材料替代、过程控制、末端治理及环境监管等环节逐一梳理，及时排查整治跑冒滴漏问题</w:t>
                  </w:r>
                  <w:r>
                    <w:rPr>
                      <w:rFonts w:hint="eastAsia" w:cs="Times New Roman"/>
                      <w:color w:val="auto"/>
                      <w:highlight w:val="none"/>
                      <w:lang w:val="en-US" w:eastAsia="zh-CN"/>
                    </w:rPr>
                    <w:t>。</w:t>
                  </w:r>
                </w:p>
              </w:tc>
              <w:tc>
                <w:tcPr>
                  <w:tcW w:w="1046" w:type="pct"/>
                  <w:vAlign w:val="center"/>
                </w:tcPr>
                <w:p w14:paraId="54D6D3F2">
                  <w:pPr>
                    <w:widowControl w:val="0"/>
                    <w:kinsoku/>
                    <w:autoSpaceDE/>
                    <w:autoSpaceDN/>
                    <w:adjustRightInd/>
                    <w:snapToGrid/>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本项目使用的涂料为低VOCs水性漆和塑粉，有机废气由二级活性炭吸附处理。</w:t>
                  </w:r>
                </w:p>
              </w:tc>
              <w:tc>
                <w:tcPr>
                  <w:tcW w:w="646" w:type="pct"/>
                  <w:vAlign w:val="center"/>
                </w:tcPr>
                <w:p w14:paraId="271257E1">
                  <w:pPr>
                    <w:widowControl w:val="0"/>
                    <w:kinsoku/>
                    <w:autoSpaceDE/>
                    <w:autoSpaceDN/>
                    <w:adjustRightInd/>
                    <w:snapToGrid/>
                    <w:jc w:val="center"/>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相符</w:t>
                  </w:r>
                </w:p>
              </w:tc>
            </w:tr>
          </w:tbl>
          <w:p w14:paraId="7C30D2B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zCs w:val="24"/>
                <w:highlight w:val="none"/>
              </w:rPr>
            </w:pP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本项目与《淮北市生态环境保护“十四五”规划》（2022年1月，淮环〔2022〕1号）的相符性分析</w:t>
            </w:r>
          </w:p>
          <w:p w14:paraId="6EA1300A">
            <w:pPr>
              <w:pStyle w:val="4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表1-</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 xml:space="preserve">  项目与《淮北市生态环境保护“十四五”规划》相符性分析</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4227"/>
              <w:gridCol w:w="2594"/>
              <w:gridCol w:w="779"/>
            </w:tblGrid>
            <w:tr w14:paraId="636B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Align w:val="center"/>
                </w:tcPr>
                <w:p w14:paraId="272419C9">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2637" w:type="pct"/>
                  <w:vAlign w:val="center"/>
                </w:tcPr>
                <w:p w14:paraId="337E24C0">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规划要求</w:t>
                  </w:r>
                </w:p>
              </w:tc>
              <w:tc>
                <w:tcPr>
                  <w:tcW w:w="1618" w:type="pct"/>
                  <w:vAlign w:val="center"/>
                </w:tcPr>
                <w:p w14:paraId="239B70F4">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本项目情况</w:t>
                  </w:r>
                </w:p>
              </w:tc>
              <w:tc>
                <w:tcPr>
                  <w:tcW w:w="486" w:type="pct"/>
                  <w:vAlign w:val="center"/>
                </w:tcPr>
                <w:p w14:paraId="079714A6">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是否符合</w:t>
                  </w:r>
                </w:p>
              </w:tc>
            </w:tr>
            <w:tr w14:paraId="22F4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Align w:val="center"/>
                </w:tcPr>
                <w:p w14:paraId="21F6066A">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637" w:type="pct"/>
                  <w:vAlign w:val="center"/>
                </w:tcPr>
                <w:p w14:paraId="7FD9E659">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协同推进，持续改善环境空气质量。以降低PM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污染为环境空气质量改善的核心目标，推动O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污染的协同控制，以质量改善目标引领大气污染防治布局，采取多种手段推动环境空气质量持续改善。</w:t>
                  </w:r>
                </w:p>
              </w:tc>
              <w:tc>
                <w:tcPr>
                  <w:tcW w:w="1618" w:type="pct"/>
                  <w:vAlign w:val="center"/>
                </w:tcPr>
                <w:p w14:paraId="6FF77C6F">
                  <w:pPr>
                    <w:pStyle w:val="41"/>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项目生产过程产生的废气均采取有效措施并有组织排放。</w:t>
                  </w:r>
                </w:p>
              </w:tc>
              <w:tc>
                <w:tcPr>
                  <w:tcW w:w="486" w:type="pct"/>
                  <w:vAlign w:val="center"/>
                </w:tcPr>
                <w:p w14:paraId="7C37D20D">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相符</w:t>
                  </w:r>
                </w:p>
              </w:tc>
            </w:tr>
            <w:tr w14:paraId="23F1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Align w:val="center"/>
                </w:tcPr>
                <w:p w14:paraId="0E3ABD46">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637" w:type="pct"/>
                  <w:vAlign w:val="center"/>
                </w:tcPr>
                <w:p w14:paraId="3B7FF10A">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推进移动源污染防治。推进重型柴油车远程排放在线监管，基本消除柴油货车和工程机械冒黑烟现象，基本完成非道路移动机械编码登记和上牌，推广使用新能源和清洁能源非道路移动机械。</w:t>
                  </w:r>
                </w:p>
              </w:tc>
              <w:tc>
                <w:tcPr>
                  <w:tcW w:w="1618" w:type="pct"/>
                  <w:vAlign w:val="center"/>
                </w:tcPr>
                <w:p w14:paraId="178C9D40">
                  <w:pPr>
                    <w:pStyle w:val="41"/>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本项目原辅材料及产品运输不使用国</w:t>
                  </w:r>
                  <w:r>
                    <w:rPr>
                      <w:rFonts w:hint="default" w:ascii="Times New Roman" w:hAnsi="Times New Roman" w:cs="Times New Roman"/>
                      <w:color w:val="auto"/>
                      <w:sz w:val="21"/>
                      <w:szCs w:val="21"/>
                      <w:highlight w:val="none"/>
                      <w:lang w:eastAsia="ja-JP"/>
                    </w:rPr>
                    <w:t>Ⅳ</w:t>
                  </w:r>
                  <w:r>
                    <w:rPr>
                      <w:rFonts w:hint="default" w:ascii="Times New Roman" w:hAnsi="Times New Roman" w:cs="Times New Roman"/>
                      <w:color w:val="auto"/>
                      <w:sz w:val="21"/>
                      <w:szCs w:val="21"/>
                      <w:highlight w:val="none"/>
                    </w:rPr>
                    <w:t>以下车辆运输，环评要求使用符合污染控制要求的运输机械</w:t>
                  </w:r>
                  <w:r>
                    <w:rPr>
                      <w:rFonts w:hint="eastAsia" w:cs="Times New Roman"/>
                      <w:color w:val="auto"/>
                      <w:sz w:val="21"/>
                      <w:szCs w:val="21"/>
                      <w:highlight w:val="none"/>
                      <w:lang w:eastAsia="zh-CN"/>
                    </w:rPr>
                    <w:t>。</w:t>
                  </w:r>
                </w:p>
              </w:tc>
              <w:tc>
                <w:tcPr>
                  <w:tcW w:w="486" w:type="pct"/>
                  <w:vAlign w:val="center"/>
                </w:tcPr>
                <w:p w14:paraId="57EEA218">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相符</w:t>
                  </w:r>
                </w:p>
              </w:tc>
            </w:tr>
            <w:tr w14:paraId="73E5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Align w:val="center"/>
                </w:tcPr>
                <w:p w14:paraId="6B3B2C29">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637" w:type="pct"/>
                  <w:vAlign w:val="center"/>
                </w:tcPr>
                <w:p w14:paraId="3CB621A7">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强化面源污染治理。加强施工扬尘综合治理，严格落实“六个百分之百”扬尘防控长效机制。</w:t>
                  </w:r>
                </w:p>
              </w:tc>
              <w:tc>
                <w:tcPr>
                  <w:tcW w:w="1618" w:type="pct"/>
                  <w:vAlign w:val="center"/>
                </w:tcPr>
                <w:p w14:paraId="2E509587">
                  <w:pPr>
                    <w:pStyle w:val="41"/>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本项目租赁已建厂房建设，</w:t>
                  </w:r>
                  <w:r>
                    <w:rPr>
                      <w:rFonts w:hint="eastAsia" w:cs="Times New Roman"/>
                      <w:color w:val="auto"/>
                      <w:sz w:val="21"/>
                      <w:szCs w:val="21"/>
                      <w:highlight w:val="none"/>
                      <w:lang w:val="en-US" w:eastAsia="zh-CN"/>
                    </w:rPr>
                    <w:t>仅对车间内进行分区防渗和</w:t>
                  </w:r>
                  <w:r>
                    <w:rPr>
                      <w:rFonts w:hint="default" w:ascii="Times New Roman" w:hAnsi="Times New Roman" w:cs="Times New Roman"/>
                      <w:color w:val="auto"/>
                      <w:sz w:val="21"/>
                      <w:szCs w:val="21"/>
                      <w:highlight w:val="none"/>
                    </w:rPr>
                    <w:t>安装设备</w:t>
                  </w:r>
                  <w:r>
                    <w:rPr>
                      <w:rFonts w:hint="eastAsia"/>
                      <w:highlight w:val="none"/>
                      <w:lang w:eastAsia="zh-CN"/>
                    </w:rPr>
                    <w:t>。</w:t>
                  </w:r>
                </w:p>
              </w:tc>
              <w:tc>
                <w:tcPr>
                  <w:tcW w:w="486" w:type="pct"/>
                  <w:vAlign w:val="center"/>
                </w:tcPr>
                <w:p w14:paraId="54D430B9">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相符</w:t>
                  </w:r>
                </w:p>
              </w:tc>
            </w:tr>
            <w:tr w14:paraId="6682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Align w:val="center"/>
                </w:tcPr>
                <w:p w14:paraId="090F9AD1">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637" w:type="pct"/>
                  <w:vAlign w:val="center"/>
                </w:tcPr>
                <w:p w14:paraId="56657D11">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固定源污染综合治理。深入开展锅炉综合整治，全面淘汰35蒸吨/小时以下燃煤锅炉，持续开展燃气锅炉低氮改造和建成区生物质锅炉超低排放改造或淘汰。城市建成区原则上不再新建每小时65蒸吨以下的燃煤锅炉，65蒸吨/小时及以上燃煤锅炉完成超低排放改造，主要污染物排放达到超低排放标准要求，安装大气污染源自动监控设备，并与省、市生态环境部门联网。</w:t>
                  </w:r>
                </w:p>
              </w:tc>
              <w:tc>
                <w:tcPr>
                  <w:tcW w:w="1618" w:type="pct"/>
                  <w:vAlign w:val="center"/>
                </w:tcPr>
                <w:p w14:paraId="76E821C7">
                  <w:pPr>
                    <w:pStyle w:val="4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项目</w:t>
                  </w:r>
                  <w:r>
                    <w:rPr>
                      <w:rFonts w:hint="eastAsia"/>
                      <w:highlight w:val="none"/>
                      <w:lang w:val="en-US" w:eastAsia="zh-CN"/>
                    </w:rPr>
                    <w:t>涉及工业炉窑，能源为天然气，项目对燃气炉窑采取低氮燃烧，污染物可达到超低排放的要求。</w:t>
                  </w:r>
                </w:p>
              </w:tc>
              <w:tc>
                <w:tcPr>
                  <w:tcW w:w="486" w:type="pct"/>
                  <w:vAlign w:val="center"/>
                </w:tcPr>
                <w:p w14:paraId="2A39A5F6">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相符</w:t>
                  </w:r>
                </w:p>
              </w:tc>
            </w:tr>
          </w:tbl>
          <w:p w14:paraId="4CDC3436">
            <w:pPr>
              <w:keepNext w:val="0"/>
              <w:keepLines w:val="0"/>
              <w:pageBreakBefore w:val="0"/>
              <w:widowControl/>
              <w:kinsoku/>
              <w:wordWrap/>
              <w:overflowPunct/>
              <w:topLinePunct w:val="0"/>
              <w:autoSpaceDE w:val="0"/>
              <w:autoSpaceDN w:val="0"/>
              <w:bidi w:val="0"/>
              <w:adjustRightInd/>
              <w:snapToGrid/>
              <w:spacing w:line="360" w:lineRule="auto"/>
              <w:ind w:firstLine="482" w:firstLineChars="200"/>
              <w:jc w:val="left"/>
              <w:textAlignment w:val="baseline"/>
              <w:rPr>
                <w:rFonts w:hint="eastAsia"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eastAsia="zh-CN"/>
              </w:rPr>
              <w:t>《安徽省低挥发性有机物含量原辅材料替代工作方案》(皖环发[2024]1号)相符性分析</w:t>
            </w:r>
          </w:p>
          <w:p w14:paraId="7CDEACB1">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表1-</w:t>
            </w:r>
            <w:r>
              <w:rPr>
                <w:rFonts w:hint="eastAsia" w:cs="Times New Roman"/>
                <w:b/>
                <w:bCs/>
                <w:color w:val="auto"/>
                <w:sz w:val="24"/>
                <w:szCs w:val="24"/>
                <w:highlight w:val="none"/>
                <w:lang w:val="en-US" w:eastAsia="zh-CN"/>
              </w:rPr>
              <w:t xml:space="preserve">3  </w:t>
            </w:r>
            <w:r>
              <w:rPr>
                <w:rFonts w:hint="eastAsia" w:ascii="Times New Roman" w:hAnsi="Times New Roman" w:eastAsia="宋体" w:cs="Times New Roman"/>
                <w:b/>
                <w:bCs/>
                <w:color w:val="auto"/>
                <w:sz w:val="24"/>
                <w:szCs w:val="24"/>
                <w:highlight w:val="none"/>
                <w:lang w:eastAsia="zh-CN"/>
              </w:rPr>
              <w:t>与《安徽省低挥发性有机物含量原辅材料替代工作方案》(皖环发[2024]1号)相符性分析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4"/>
              <w:gridCol w:w="1818"/>
              <w:gridCol w:w="732"/>
            </w:tblGrid>
            <w:tr w14:paraId="7C63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08" w:type="pct"/>
                  <w:tcBorders>
                    <w:top w:val="single" w:color="auto" w:sz="4" w:space="0"/>
                    <w:left w:val="single" w:color="auto" w:sz="4" w:space="0"/>
                    <w:right w:val="single" w:color="auto" w:sz="4" w:space="0"/>
                  </w:tcBorders>
                  <w:vAlign w:val="center"/>
                </w:tcPr>
                <w:p w14:paraId="05E4BAD2">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rPr>
                  </w:pPr>
                  <w:r>
                    <w:rPr>
                      <w:b w:val="0"/>
                      <w:bCs w:val="0"/>
                      <w:color w:val="auto"/>
                      <w:highlight w:val="none"/>
                    </w:rPr>
                    <w:t>政策要求</w:t>
                  </w:r>
                </w:p>
              </w:tc>
              <w:tc>
                <w:tcPr>
                  <w:tcW w:w="1134" w:type="pct"/>
                  <w:tcBorders>
                    <w:top w:val="single" w:color="auto" w:sz="4" w:space="0"/>
                    <w:left w:val="nil"/>
                    <w:bottom w:val="single" w:color="auto" w:sz="4" w:space="0"/>
                    <w:right w:val="single" w:color="auto" w:sz="4" w:space="0"/>
                  </w:tcBorders>
                  <w:vAlign w:val="center"/>
                </w:tcPr>
                <w:p w14:paraId="6EF7B8F2">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rPr>
                  </w:pPr>
                  <w:r>
                    <w:rPr>
                      <w:b w:val="0"/>
                      <w:bCs w:val="0"/>
                      <w:color w:val="auto"/>
                      <w:highlight w:val="none"/>
                    </w:rPr>
                    <w:t>本项目</w:t>
                  </w:r>
                </w:p>
              </w:tc>
              <w:tc>
                <w:tcPr>
                  <w:tcW w:w="456" w:type="pct"/>
                  <w:tcBorders>
                    <w:top w:val="single" w:color="auto" w:sz="4" w:space="0"/>
                    <w:left w:val="nil"/>
                    <w:bottom w:val="single" w:color="auto" w:sz="4" w:space="0"/>
                    <w:right w:val="single" w:color="auto" w:sz="4" w:space="0"/>
                  </w:tcBorders>
                  <w:vAlign w:val="center"/>
                </w:tcPr>
                <w:p w14:paraId="7253820B">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rPr>
                  </w:pPr>
                  <w:r>
                    <w:rPr>
                      <w:b w:val="0"/>
                      <w:bCs w:val="0"/>
                      <w:color w:val="auto"/>
                      <w:highlight w:val="none"/>
                    </w:rPr>
                    <w:t>符合性</w:t>
                  </w:r>
                </w:p>
              </w:tc>
            </w:tr>
            <w:tr w14:paraId="14AF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8" w:type="pct"/>
                  <w:tcBorders>
                    <w:top w:val="single" w:color="auto" w:sz="4" w:space="0"/>
                    <w:left w:val="single" w:color="auto" w:sz="4" w:space="0"/>
                    <w:bottom w:val="single" w:color="auto" w:sz="4" w:space="0"/>
                    <w:right w:val="single" w:color="auto" w:sz="4" w:space="0"/>
                  </w:tcBorders>
                  <w:vAlign w:val="center"/>
                </w:tcPr>
                <w:p w14:paraId="2D8EC225">
                  <w:pPr>
                    <w:pStyle w:val="23"/>
                    <w:keepNext w:val="0"/>
                    <w:keepLines w:val="0"/>
                    <w:pageBreakBefore w:val="0"/>
                    <w:widowControl/>
                    <w:kinsoku/>
                    <w:wordWrap/>
                    <w:overflowPunct/>
                    <w:topLinePunct w:val="0"/>
                    <w:autoSpaceDE w:val="0"/>
                    <w:autoSpaceDN w:val="0"/>
                    <w:bidi w:val="0"/>
                    <w:adjustRightInd/>
                    <w:snapToGrid/>
                    <w:spacing w:before="0" w:beforeAutospacing="0" w:after="0" w:afterAutospacing="0"/>
                    <w:jc w:val="center"/>
                    <w:textAlignment w:val="baseline"/>
                    <w:rPr>
                      <w:rFonts w:hint="default" w:ascii="Times New Roman" w:hAnsi="Times New Roman" w:cs="Times New Roman" w:eastAsiaTheme="minorEastAsia"/>
                      <w:color w:val="auto"/>
                      <w:sz w:val="21"/>
                      <w:szCs w:val="21"/>
                      <w:highlight w:val="none"/>
                      <w:lang w:eastAsia="zh-CN"/>
                    </w:rPr>
                  </w:pP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一</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加强替代管理。工业涂装、包装印刷、竹木加工、家具制造、汽车修理与维护、鞋和皮革制品制造等重点行业企业，要按照《低挥发性有机物含量原辅材料源头替代技术指引</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试行</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附件3</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要求，开展低VOCs原辅材料和生产方式替代，优化管控台账及档案管理，持续提升环境管理水平。各地要根据《关于深入开展挥发性有机物污染治理工作的通知》</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皖大气办</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2021</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4号</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要求，在认真梳理2021至2023年度VOCs源头削减治理项目清单基础上，对涉VOCs重点行业和使用溶剂型涂料、油墨、胶粘剂、清洗剂以及涉及有机化工生产的产业集群进行再排查，将含VOCs原辅材料使用企业全面纳入源头替代企业排查台账</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附件2</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，对具备替代条件的，加强调度指导</w:t>
                  </w:r>
                  <w:r>
                    <w:rPr>
                      <w:rFonts w:hint="eastAsia" w:ascii="Times New Roman" w:hAnsi="Times New Roman" w:cs="Times New Roman" w:eastAsiaTheme="minorEastAsia"/>
                      <w:color w:val="auto"/>
                      <w:kern w:val="10"/>
                      <w:sz w:val="21"/>
                      <w:szCs w:val="21"/>
                      <w:highlight w:val="none"/>
                      <w:lang w:eastAsia="zh-CN"/>
                    </w:rPr>
                    <w:t>；</w:t>
                  </w:r>
                  <w:r>
                    <w:rPr>
                      <w:rFonts w:hint="default" w:ascii="Times New Roman" w:hAnsi="Times New Roman" w:cs="Times New Roman" w:eastAsiaTheme="minorEastAsia"/>
                      <w:color w:val="auto"/>
                      <w:kern w:val="10"/>
                      <w:sz w:val="21"/>
                      <w:szCs w:val="21"/>
                      <w:highlight w:val="none"/>
                      <w:lang w:eastAsia="zh-CN"/>
                    </w:rPr>
                    <w:t>对无法替代的，要开展论证核实，严格把关并逐一说明。</w:t>
                  </w:r>
                </w:p>
              </w:tc>
              <w:tc>
                <w:tcPr>
                  <w:tcW w:w="1134" w:type="pct"/>
                  <w:vMerge w:val="restart"/>
                  <w:tcBorders>
                    <w:top w:val="single" w:color="auto" w:sz="4" w:space="0"/>
                    <w:left w:val="nil"/>
                    <w:right w:val="single" w:color="auto" w:sz="4" w:space="0"/>
                  </w:tcBorders>
                  <w:vAlign w:val="center"/>
                </w:tcPr>
                <w:p w14:paraId="2700B776">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rFonts w:ascii="Times New Roman" w:hAnsi="Times New Roman" w:eastAsia="宋体" w:cs="Times New Roman"/>
                      <w:color w:val="auto"/>
                      <w:highlight w:val="none"/>
                    </w:rPr>
                  </w:pPr>
                  <w:r>
                    <w:rPr>
                      <w:rFonts w:hint="default" w:ascii="Times New Roman" w:hAnsi="Times New Roman" w:cs="Times New Roman"/>
                      <w:color w:val="auto"/>
                      <w:highlight w:val="none"/>
                    </w:rPr>
                    <w:t>本项目产品使用水性涂料，且本项目使用的涂料</w:t>
                  </w:r>
                  <w:r>
                    <w:rPr>
                      <w:rFonts w:hint="eastAsia" w:cs="Times New Roman"/>
                      <w:color w:val="auto"/>
                      <w:highlight w:val="none"/>
                      <w:lang w:val="en-US" w:eastAsia="zh-CN"/>
                    </w:rPr>
                    <w:t>VOCs含量分别为底漆80g/L，面漆113g/L，</w:t>
                  </w:r>
                  <w:r>
                    <w:rPr>
                      <w:rFonts w:hint="default" w:ascii="Times New Roman" w:hAnsi="Times New Roman" w:cs="Times New Roman"/>
                      <w:color w:val="auto"/>
                      <w:highlight w:val="none"/>
                    </w:rPr>
                    <w:t>满足《安徽省低挥发性有机物含量原辅</w:t>
                  </w:r>
                  <w:r>
                    <w:rPr>
                      <w:rFonts w:hint="eastAsia" w:cs="Times New Roman"/>
                      <w:color w:val="auto"/>
                      <w:highlight w:val="none"/>
                      <w:lang w:eastAsia="zh-CN"/>
                    </w:rPr>
                    <w:t>材料</w:t>
                  </w:r>
                  <w:r>
                    <w:rPr>
                      <w:rFonts w:hint="default" w:ascii="Times New Roman" w:hAnsi="Times New Roman" w:cs="Times New Roman"/>
                      <w:color w:val="auto"/>
                      <w:highlight w:val="none"/>
                    </w:rPr>
                    <w:t>替代工作方案》(皖环发[2024]1号)低VOCs含量原辅材料含量限值、《低挥发性有机化合物含量涂料产品技术要求》(GB/T38597-2020)</w:t>
                  </w:r>
                  <w:r>
                    <w:rPr>
                      <w:rFonts w:hint="default" w:ascii="Times New Roman" w:hAnsi="Times New Roman" w:eastAsia="宋体" w:cs="Times New Roman"/>
                      <w:color w:val="auto"/>
                      <w:sz w:val="21"/>
                      <w:szCs w:val="21"/>
                      <w:highlight w:val="none"/>
                    </w:rPr>
                    <w:t>底漆≤</w:t>
                  </w:r>
                  <w:r>
                    <w:rPr>
                      <w:rFonts w:hint="default" w:ascii="Times New Roman" w:hAnsi="Times New Roman" w:eastAsia="宋体" w:cs="Times New Roman"/>
                      <w:color w:val="auto"/>
                      <w:sz w:val="21"/>
                      <w:szCs w:val="21"/>
                      <w:highlight w:val="none"/>
                      <w:lang w:val="en-US" w:eastAsia="zh-CN"/>
                    </w:rPr>
                    <w:t>250</w:t>
                  </w:r>
                  <w:r>
                    <w:rPr>
                      <w:rFonts w:hint="default" w:ascii="Times New Roman" w:hAnsi="Times New Roman" w:eastAsia="宋体" w:cs="Times New Roman"/>
                      <w:color w:val="auto"/>
                      <w:sz w:val="21"/>
                      <w:szCs w:val="21"/>
                      <w:highlight w:val="none"/>
                    </w:rPr>
                    <w:t>g/L，面漆单组分≤</w:t>
                  </w:r>
                  <w:r>
                    <w:rPr>
                      <w:rFonts w:hint="default" w:ascii="Times New Roman" w:hAnsi="Times New Roman" w:eastAsia="宋体"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rPr>
                    <w:t>g/L</w:t>
                  </w:r>
                  <w:r>
                    <w:rPr>
                      <w:rFonts w:hint="default" w:ascii="Times New Roman" w:hAnsi="Times New Roman" w:cs="Times New Roman"/>
                      <w:color w:val="auto"/>
                      <w:highlight w:val="none"/>
                    </w:rPr>
                    <w:t>的要求。</w:t>
                  </w:r>
                </w:p>
              </w:tc>
              <w:tc>
                <w:tcPr>
                  <w:tcW w:w="456" w:type="pct"/>
                  <w:tcBorders>
                    <w:top w:val="single" w:color="auto" w:sz="4" w:space="0"/>
                    <w:left w:val="nil"/>
                    <w:bottom w:val="single" w:color="auto" w:sz="4" w:space="0"/>
                    <w:right w:val="single" w:color="auto" w:sz="4" w:space="0"/>
                  </w:tcBorders>
                  <w:vAlign w:val="center"/>
                </w:tcPr>
                <w:p w14:paraId="00B34E5C">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rFonts w:ascii="Times New Roman" w:hAnsi="Times New Roman" w:eastAsia="宋体" w:cs="Times New Roman"/>
                      <w:color w:val="auto"/>
                      <w:highlight w:val="none"/>
                    </w:rPr>
                  </w:pPr>
                  <w:r>
                    <w:rPr>
                      <w:rFonts w:ascii="Times New Roman" w:hAnsi="Times New Roman" w:eastAsia="宋体" w:cs="Times New Roman"/>
                      <w:color w:val="auto"/>
                      <w:highlight w:val="none"/>
                    </w:rPr>
                    <w:t>符合</w:t>
                  </w:r>
                </w:p>
              </w:tc>
            </w:tr>
            <w:tr w14:paraId="58D4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8" w:type="pct"/>
                  <w:tcBorders>
                    <w:top w:val="single" w:color="auto" w:sz="4" w:space="0"/>
                    <w:left w:val="single" w:color="auto" w:sz="4" w:space="0"/>
                    <w:bottom w:val="single" w:color="auto" w:sz="4" w:space="0"/>
                    <w:right w:val="single" w:color="auto" w:sz="4" w:space="0"/>
                  </w:tcBorders>
                  <w:vAlign w:val="center"/>
                </w:tcPr>
                <w:p w14:paraId="7B83BD2C">
                  <w:pPr>
                    <w:pStyle w:val="23"/>
                    <w:keepNext w:val="0"/>
                    <w:keepLines w:val="0"/>
                    <w:pageBreakBefore w:val="0"/>
                    <w:widowControl/>
                    <w:kinsoku/>
                    <w:wordWrap/>
                    <w:overflowPunct/>
                    <w:topLinePunct w:val="0"/>
                    <w:autoSpaceDE w:val="0"/>
                    <w:autoSpaceDN w:val="0"/>
                    <w:bidi w:val="0"/>
                    <w:adjustRightInd/>
                    <w:snapToGrid/>
                    <w:spacing w:before="0" w:beforeAutospacing="0" w:after="0" w:afterAutospacing="0"/>
                    <w:jc w:val="center"/>
                    <w:textAlignment w:val="baseline"/>
                    <w:rPr>
                      <w:rFonts w:hint="default" w:ascii="Times New Roman" w:hAnsi="Times New Roman" w:cs="Times New Roman" w:eastAsiaTheme="minorEastAsia"/>
                      <w:snapToGrid w:val="0"/>
                      <w:color w:val="auto"/>
                      <w:kern w:val="2"/>
                      <w:sz w:val="21"/>
                      <w:szCs w:val="21"/>
                      <w:highlight w:val="none"/>
                      <w:lang w:val="en-US" w:eastAsia="zh-CN" w:bidi="ar-SA"/>
                    </w:rPr>
                  </w:pP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二</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严格项目准入。根据《低挥发性有机化合物含量涂料产品技术要求》</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GB/T 38597-2020</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要求，进一步完善VOCs排放管控地方标准建设，细化相关行业涂料</w:t>
                  </w:r>
                  <w:r>
                    <w:rPr>
                      <w:rFonts w:hint="eastAsia" w:ascii="Times New Roman" w:hAnsi="Times New Roman" w:cs="Times New Roman" w:eastAsiaTheme="minorEastAsia"/>
                      <w:snapToGrid w:val="0"/>
                      <w:color w:val="auto"/>
                      <w:kern w:val="2"/>
                      <w:sz w:val="21"/>
                      <w:szCs w:val="21"/>
                      <w:highlight w:val="none"/>
                      <w:lang w:val="en-US" w:eastAsia="zh-CN" w:bidi="ar-SA"/>
                    </w:rPr>
                    <w:t>分类</w:t>
                  </w:r>
                  <w:r>
                    <w:rPr>
                      <w:rFonts w:hint="default" w:ascii="Times New Roman" w:hAnsi="Times New Roman" w:cs="Times New Roman" w:eastAsiaTheme="minorEastAsia"/>
                      <w:snapToGrid w:val="0"/>
                      <w:color w:val="auto"/>
                      <w:kern w:val="2"/>
                      <w:sz w:val="21"/>
                      <w:szCs w:val="21"/>
                      <w:highlight w:val="none"/>
                      <w:lang w:val="en-US" w:eastAsia="zh-CN" w:bidi="ar-SA"/>
                    </w:rPr>
                    <w:t>及各项污染物指标限值，编制实施固定源挥发性有机物综合排放标准和制鞋、汽修、木材等行业大气污染物排放标准。禁止建设生产和使用高VOCs含量的溶剂型涂料、油墨、胶黏剂等项目，全省工业涂装、包装印刷等重点行业和涂料、油墨等生产企业的新</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改、扩</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建项目需满足低</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无</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VOC</w:t>
                  </w:r>
                  <w:r>
                    <w:rPr>
                      <w:rFonts w:hint="eastAsia" w:ascii="Times New Roman" w:hAnsi="Times New Roman" w:cs="Times New Roman" w:eastAsiaTheme="minorEastAsia"/>
                      <w:snapToGrid w:val="0"/>
                      <w:color w:val="auto"/>
                      <w:kern w:val="2"/>
                      <w:sz w:val="21"/>
                      <w:szCs w:val="21"/>
                      <w:highlight w:val="none"/>
                      <w:lang w:val="en-US" w:eastAsia="zh-CN" w:bidi="ar-SA"/>
                    </w:rPr>
                    <w:t>s</w:t>
                  </w:r>
                  <w:r>
                    <w:rPr>
                      <w:rFonts w:hint="default" w:ascii="Times New Roman" w:hAnsi="Times New Roman" w:cs="Times New Roman" w:eastAsiaTheme="minorEastAsia"/>
                      <w:snapToGrid w:val="0"/>
                      <w:color w:val="auto"/>
                      <w:kern w:val="2"/>
                      <w:sz w:val="21"/>
                      <w:szCs w:val="21"/>
                      <w:highlight w:val="none"/>
                      <w:lang w:val="en-US" w:eastAsia="zh-CN" w:bidi="ar-SA"/>
                    </w:rPr>
                    <w:t>含量限值要求。省内市场上流通的水性涂料等低VOCs含量涂料产品，执行《低挥发性有机化合物含量涂料产品技术要求》，应在包装标志或产品说明上标明符合标准的分类、产品类别及产品类型</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或施涂方式</w:t>
                  </w:r>
                  <w:r>
                    <w:rPr>
                      <w:rFonts w:hint="eastAsia" w:ascii="Times New Roman" w:hAnsi="Times New Roman" w:cs="Times New Roman" w:eastAsiaTheme="minorEastAsia"/>
                      <w:snapToGrid w:val="0"/>
                      <w:color w:val="auto"/>
                      <w:kern w:val="2"/>
                      <w:sz w:val="21"/>
                      <w:szCs w:val="21"/>
                      <w:highlight w:val="none"/>
                      <w:lang w:val="en-US" w:eastAsia="zh-CN" w:bidi="ar-SA"/>
                    </w:rPr>
                    <w:t>）</w:t>
                  </w:r>
                  <w:r>
                    <w:rPr>
                      <w:rFonts w:hint="default" w:ascii="Times New Roman" w:hAnsi="Times New Roman" w:cs="Times New Roman" w:eastAsiaTheme="minorEastAsia"/>
                      <w:snapToGrid w:val="0"/>
                      <w:color w:val="auto"/>
                      <w:kern w:val="2"/>
                      <w:sz w:val="21"/>
                      <w:szCs w:val="21"/>
                      <w:highlight w:val="none"/>
                      <w:lang w:val="en-US" w:eastAsia="zh-CN" w:bidi="ar-SA"/>
                    </w:rPr>
                    <w:t>。</w:t>
                  </w:r>
                </w:p>
              </w:tc>
              <w:tc>
                <w:tcPr>
                  <w:tcW w:w="1134" w:type="pct"/>
                  <w:vMerge w:val="continue"/>
                  <w:tcBorders>
                    <w:left w:val="nil"/>
                    <w:bottom w:val="single" w:color="auto" w:sz="4" w:space="0"/>
                    <w:right w:val="single" w:color="auto" w:sz="4" w:space="0"/>
                  </w:tcBorders>
                  <w:vAlign w:val="center"/>
                </w:tcPr>
                <w:p w14:paraId="408AC30A">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rFonts w:ascii="Times New Roman" w:hAnsi="Times New Roman" w:eastAsia="宋体" w:cs="Times New Roman"/>
                      <w:color w:val="auto"/>
                      <w:highlight w:val="none"/>
                      <w:lang w:eastAsia="zh-CN"/>
                    </w:rPr>
                  </w:pPr>
                </w:p>
              </w:tc>
              <w:tc>
                <w:tcPr>
                  <w:tcW w:w="456" w:type="pct"/>
                  <w:tcBorders>
                    <w:top w:val="single" w:color="auto" w:sz="4" w:space="0"/>
                    <w:left w:val="nil"/>
                    <w:bottom w:val="single" w:color="auto" w:sz="4" w:space="0"/>
                    <w:right w:val="single" w:color="auto" w:sz="4" w:space="0"/>
                  </w:tcBorders>
                  <w:vAlign w:val="center"/>
                </w:tcPr>
                <w:p w14:paraId="7A25A432">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rFonts w:ascii="Times New Roman" w:hAnsi="Times New Roman" w:eastAsia="宋体" w:cs="Times New Roman"/>
                      <w:color w:val="auto"/>
                      <w:highlight w:val="none"/>
                    </w:rPr>
                  </w:pPr>
                  <w:r>
                    <w:rPr>
                      <w:rFonts w:ascii="Times New Roman" w:hAnsi="Times New Roman" w:eastAsia="宋体" w:cs="Times New Roman"/>
                      <w:color w:val="auto"/>
                      <w:highlight w:val="none"/>
                    </w:rPr>
                    <w:t>符合</w:t>
                  </w:r>
                </w:p>
              </w:tc>
            </w:tr>
          </w:tbl>
          <w:p w14:paraId="5287952A">
            <w:pPr>
              <w:keepNext w:val="0"/>
              <w:keepLines w:val="0"/>
              <w:pageBreakBefore w:val="0"/>
              <w:widowControl/>
              <w:kinsoku/>
              <w:wordWrap/>
              <w:overflowPunct/>
              <w:topLinePunct w:val="0"/>
              <w:autoSpaceDE w:val="0"/>
              <w:autoSpaceDN w:val="0"/>
              <w:bidi w:val="0"/>
              <w:adjustRightInd/>
              <w:snapToGrid/>
              <w:spacing w:line="360" w:lineRule="auto"/>
              <w:ind w:firstLine="482" w:firstLineChars="200"/>
              <w:jc w:val="both"/>
              <w:textAlignment w:val="baseline"/>
              <w:rPr>
                <w:rFonts w:ascii="Times New Roman" w:hAnsi="Times New Roman" w:eastAsia="宋体" w:cs="Times New Roman"/>
                <w:b/>
                <w:color w:val="auto"/>
                <w:szCs w:val="24"/>
                <w:highlight w:val="none"/>
                <w:lang w:eastAsia="zh-CN"/>
              </w:rPr>
            </w:pPr>
            <w:r>
              <w:rPr>
                <w:rFonts w:hint="eastAsia" w:cs="Times New Roman"/>
                <w:b/>
                <w:color w:val="auto"/>
                <w:sz w:val="24"/>
                <w:szCs w:val="24"/>
                <w:highlight w:val="none"/>
                <w:lang w:val="en-US" w:eastAsia="zh-CN"/>
              </w:rPr>
              <w:t>（4）</w:t>
            </w:r>
            <w:r>
              <w:rPr>
                <w:rFonts w:ascii="Times New Roman" w:hAnsi="Times New Roman" w:eastAsia="宋体" w:cs="Times New Roman"/>
                <w:b/>
                <w:color w:val="auto"/>
                <w:sz w:val="24"/>
                <w:szCs w:val="24"/>
                <w:highlight w:val="none"/>
                <w:lang w:eastAsia="zh-CN"/>
              </w:rPr>
              <w:t>与《低挥发性有机化合物含量涂料产品技术要求》（GB/T38597-2020）相容性</w:t>
            </w:r>
          </w:p>
          <w:p w14:paraId="76A74712">
            <w:pPr>
              <w:pStyle w:val="12"/>
              <w:keepNext w:val="0"/>
              <w:keepLines w:val="0"/>
              <w:pageBreakBefore w:val="0"/>
              <w:kinsoku/>
              <w:wordWrap/>
              <w:overflowPunct/>
              <w:topLinePunct w:val="0"/>
              <w:bidi w:val="0"/>
              <w:adjustRightInd/>
              <w:snapToGrid/>
              <w:spacing w:after="0"/>
              <w:ind w:left="0" w:leftChars="0"/>
              <w:jc w:val="center"/>
              <w:rPr>
                <w:rFonts w:ascii="Times New Roman" w:hAnsi="Times New Roman" w:eastAsia="宋体" w:cs="Times New Roman"/>
                <w:color w:val="auto"/>
                <w:szCs w:val="24"/>
                <w:highlight w:val="none"/>
                <w:lang w:eastAsia="zh-CN"/>
              </w:rPr>
            </w:pPr>
            <w:r>
              <w:rPr>
                <w:rFonts w:ascii="Times New Roman" w:hAnsi="Times New Roman" w:eastAsia="宋体" w:cs="Times New Roman"/>
                <w:b/>
                <w:color w:val="auto"/>
                <w:szCs w:val="24"/>
                <w:highlight w:val="none"/>
                <w:lang w:eastAsia="zh-CN"/>
              </w:rPr>
              <w:t>表1-</w:t>
            </w:r>
            <w:r>
              <w:rPr>
                <w:rFonts w:hint="eastAsia" w:cs="Times New Roman"/>
                <w:b/>
                <w:color w:val="auto"/>
                <w:szCs w:val="24"/>
                <w:highlight w:val="none"/>
                <w:lang w:val="en-US" w:eastAsia="zh-CN"/>
              </w:rPr>
              <w:t>4</w:t>
            </w:r>
            <w:r>
              <w:rPr>
                <w:rFonts w:hint="eastAsia" w:ascii="Times New Roman" w:hAnsi="Times New Roman" w:eastAsia="宋体" w:cs="Times New Roman"/>
                <w:b/>
                <w:color w:val="auto"/>
                <w:szCs w:val="24"/>
                <w:highlight w:val="none"/>
                <w:lang w:val="en-US" w:eastAsia="zh-CN"/>
              </w:rPr>
              <w:t xml:space="preserve"> 与</w:t>
            </w:r>
            <w:r>
              <w:rPr>
                <w:rFonts w:ascii="Times New Roman" w:hAnsi="Times New Roman" w:eastAsia="宋体" w:cs="Times New Roman"/>
                <w:b/>
                <w:color w:val="auto"/>
                <w:szCs w:val="24"/>
                <w:highlight w:val="none"/>
                <w:lang w:eastAsia="zh-CN"/>
              </w:rPr>
              <w:t>《低挥发性有机化合物含量涂料产品技术要求》（GB/T38597-2020）符合性分析</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9"/>
              <w:gridCol w:w="3890"/>
              <w:gridCol w:w="1212"/>
            </w:tblGrid>
            <w:tr w14:paraId="7DCE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5" w:type="pct"/>
                  <w:vAlign w:val="center"/>
                </w:tcPr>
                <w:p w14:paraId="6FDDD75B">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rPr>
                  </w:pPr>
                  <w:r>
                    <w:rPr>
                      <w:b w:val="0"/>
                      <w:bCs w:val="0"/>
                      <w:color w:val="auto"/>
                      <w:highlight w:val="none"/>
                    </w:rPr>
                    <w:t>文件要求</w:t>
                  </w:r>
                </w:p>
              </w:tc>
              <w:tc>
                <w:tcPr>
                  <w:tcW w:w="2427" w:type="pct"/>
                  <w:vAlign w:val="center"/>
                </w:tcPr>
                <w:p w14:paraId="04341199">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lang w:eastAsia="zh-CN"/>
                    </w:rPr>
                  </w:pPr>
                  <w:r>
                    <w:rPr>
                      <w:b w:val="0"/>
                      <w:bCs w:val="0"/>
                      <w:color w:val="auto"/>
                      <w:highlight w:val="none"/>
                    </w:rPr>
                    <w:t>本项目建设内容</w:t>
                  </w:r>
                </w:p>
              </w:tc>
              <w:tc>
                <w:tcPr>
                  <w:tcW w:w="756" w:type="pct"/>
                  <w:vAlign w:val="center"/>
                </w:tcPr>
                <w:p w14:paraId="485CE6A6">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rPr>
                  </w:pPr>
                  <w:r>
                    <w:rPr>
                      <w:b w:val="0"/>
                      <w:bCs w:val="0"/>
                      <w:color w:val="auto"/>
                      <w:highlight w:val="none"/>
                    </w:rPr>
                    <w:t>符合性</w:t>
                  </w:r>
                </w:p>
              </w:tc>
            </w:tr>
            <w:tr w14:paraId="5E48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5" w:type="pct"/>
                  <w:vAlign w:val="center"/>
                </w:tcPr>
                <w:p w14:paraId="2071F604">
                  <w:pPr>
                    <w:keepNext w:val="0"/>
                    <w:keepLines w:val="0"/>
                    <w:pageBreakBefore w:val="0"/>
                    <w:widowControl/>
                    <w:kinsoku/>
                    <w:wordWrap/>
                    <w:overflowPunct/>
                    <w:topLinePunct w:val="0"/>
                    <w:autoSpaceDE w:val="0"/>
                    <w:autoSpaceDN w:val="0"/>
                    <w:bidi w:val="0"/>
                    <w:adjustRightInd/>
                    <w:snapToGrid/>
                    <w:jc w:val="center"/>
                    <w:textAlignment w:val="baseline"/>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1水性漆</w:t>
                  </w:r>
                  <w:r>
                    <w:rPr>
                      <w:rFonts w:hint="default" w:ascii="Times New Roman" w:hAnsi="Times New Roman" w:eastAsia="宋体" w:cs="Times New Roman"/>
                      <w:color w:val="auto"/>
                      <w:sz w:val="21"/>
                      <w:szCs w:val="21"/>
                      <w:highlight w:val="none"/>
                    </w:rPr>
                    <w:t>涂料中VOC含量的要求中“工业防护涂料（机械设备涂料）工程机械和农业机械涂料”，底漆≤</w:t>
                  </w:r>
                  <w:r>
                    <w:rPr>
                      <w:rFonts w:hint="default" w:ascii="Times New Roman" w:hAnsi="Times New Roman" w:eastAsia="宋体" w:cs="Times New Roman"/>
                      <w:color w:val="auto"/>
                      <w:sz w:val="21"/>
                      <w:szCs w:val="21"/>
                      <w:highlight w:val="none"/>
                      <w:lang w:val="en-US" w:eastAsia="zh-CN"/>
                    </w:rPr>
                    <w:t>250</w:t>
                  </w:r>
                  <w:r>
                    <w:rPr>
                      <w:rFonts w:hint="default" w:ascii="Times New Roman" w:hAnsi="Times New Roman" w:eastAsia="宋体" w:cs="Times New Roman"/>
                      <w:color w:val="auto"/>
                      <w:sz w:val="21"/>
                      <w:szCs w:val="21"/>
                      <w:highlight w:val="none"/>
                    </w:rPr>
                    <w:t>g/L，面漆单组分≤</w:t>
                  </w:r>
                  <w:r>
                    <w:rPr>
                      <w:rFonts w:hint="default" w:ascii="Times New Roman" w:hAnsi="Times New Roman" w:eastAsia="宋体"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rPr>
                    <w:t>g/L</w:t>
                  </w:r>
                  <w:r>
                    <w:rPr>
                      <w:rFonts w:hint="eastAsia" w:ascii="Times New Roman" w:hAnsi="Times New Roman" w:eastAsia="宋体" w:cs="Times New Roman"/>
                      <w:color w:val="auto"/>
                      <w:sz w:val="21"/>
                      <w:szCs w:val="21"/>
                      <w:highlight w:val="none"/>
                      <w:lang w:eastAsia="zh-CN"/>
                    </w:rPr>
                    <w:t>。</w:t>
                  </w:r>
                </w:p>
              </w:tc>
              <w:tc>
                <w:tcPr>
                  <w:tcW w:w="2427" w:type="pct"/>
                  <w:vAlign w:val="center"/>
                </w:tcPr>
                <w:p w14:paraId="7FDD5129">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highlight w:val="none"/>
                      <w:lang w:eastAsia="zh-CN"/>
                    </w:rPr>
                  </w:pPr>
                  <w:r>
                    <w:rPr>
                      <w:rFonts w:hint="eastAsia" w:cs="Times New Roman"/>
                      <w:color w:val="auto"/>
                      <w:sz w:val="21"/>
                      <w:szCs w:val="21"/>
                      <w:highlight w:val="none"/>
                      <w:lang w:val="en-US" w:eastAsia="zh-CN"/>
                    </w:rPr>
                    <w:t>根据企业通过的水性漆检测报告，项目所</w:t>
                  </w:r>
                  <w:r>
                    <w:rPr>
                      <w:rFonts w:ascii="Times New Roman" w:hAnsi="Times New Roman" w:eastAsia="宋体" w:cs="Times New Roman"/>
                      <w:color w:val="auto"/>
                      <w:sz w:val="21"/>
                      <w:szCs w:val="21"/>
                      <w:highlight w:val="none"/>
                      <w:lang w:eastAsia="zh-CN"/>
                    </w:rPr>
                    <w:t>使用的</w:t>
                  </w:r>
                  <w:r>
                    <w:rPr>
                      <w:rFonts w:hint="eastAsia" w:ascii="Times New Roman" w:hAnsi="Times New Roman" w:eastAsia="宋体" w:cs="Times New Roman"/>
                      <w:color w:val="auto"/>
                      <w:sz w:val="21"/>
                      <w:szCs w:val="21"/>
                      <w:highlight w:val="none"/>
                      <w:lang w:val="en-US" w:eastAsia="zh-CN"/>
                    </w:rPr>
                    <w:t>水性漆面漆</w:t>
                  </w:r>
                  <w:r>
                    <w:rPr>
                      <w:rFonts w:ascii="Times New Roman" w:hAnsi="Times New Roman" w:eastAsia="宋体" w:cs="Times New Roman"/>
                      <w:color w:val="auto"/>
                      <w:sz w:val="21"/>
                      <w:szCs w:val="21"/>
                      <w:highlight w:val="none"/>
                      <w:lang w:eastAsia="zh-CN"/>
                    </w:rPr>
                    <w:t>VOC含量为</w:t>
                  </w:r>
                  <w:r>
                    <w:rPr>
                      <w:rFonts w:hint="default" w:ascii="Times New Roman" w:hAnsi="Times New Roman" w:cs="Times New Roman"/>
                      <w:color w:val="auto"/>
                      <w:kern w:val="2"/>
                      <w:sz w:val="21"/>
                      <w:szCs w:val="21"/>
                      <w:highlight w:val="none"/>
                      <w:lang w:val="en-US" w:eastAsia="zh-CN"/>
                    </w:rPr>
                    <w:t>1</w:t>
                  </w:r>
                  <w:r>
                    <w:rPr>
                      <w:rFonts w:hint="eastAsia" w:ascii="Times New Roman" w:hAnsi="Times New Roman" w:cs="Times New Roman"/>
                      <w:color w:val="auto"/>
                      <w:kern w:val="2"/>
                      <w:sz w:val="21"/>
                      <w:szCs w:val="21"/>
                      <w:highlight w:val="none"/>
                      <w:lang w:val="en-US" w:eastAsia="zh-CN"/>
                    </w:rPr>
                    <w:t>13</w:t>
                  </w:r>
                  <w:r>
                    <w:rPr>
                      <w:rFonts w:hint="default" w:ascii="Times New Roman" w:hAnsi="Times New Roman" w:cs="Times New Roman"/>
                      <w:color w:val="auto"/>
                      <w:kern w:val="2"/>
                      <w:sz w:val="21"/>
                      <w:szCs w:val="21"/>
                      <w:highlight w:val="none"/>
                      <w:lang w:val="en-US" w:eastAsia="zh-CN"/>
                    </w:rPr>
                    <w:t>g/L</w:t>
                  </w:r>
                  <w:r>
                    <w:rPr>
                      <w:rFonts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底漆含量为</w:t>
                  </w:r>
                  <w:r>
                    <w:rPr>
                      <w:rFonts w:hint="eastAsia" w:cs="Times New Roman"/>
                      <w:color w:val="auto"/>
                      <w:sz w:val="21"/>
                      <w:szCs w:val="21"/>
                      <w:highlight w:val="none"/>
                      <w:lang w:val="en-US" w:eastAsia="zh-CN"/>
                    </w:rPr>
                    <w:t>80</w:t>
                  </w:r>
                  <w:r>
                    <w:rPr>
                      <w:rFonts w:hint="eastAsia" w:ascii="Times New Roman" w:hAnsi="Times New Roman" w:eastAsia="宋体" w:cs="Times New Roman"/>
                      <w:color w:val="auto"/>
                      <w:sz w:val="21"/>
                      <w:szCs w:val="21"/>
                      <w:highlight w:val="none"/>
                      <w:lang w:val="en-US" w:eastAsia="zh-CN"/>
                    </w:rPr>
                    <w:t>g/L。</w:t>
                  </w:r>
                  <w:r>
                    <w:rPr>
                      <w:rFonts w:hint="eastAsia"/>
                      <w:color w:val="auto"/>
                      <w:sz w:val="21"/>
                      <w:szCs w:val="21"/>
                      <w:highlight w:val="none"/>
                      <w:lang w:val="en-US" w:eastAsia="zh-CN"/>
                    </w:rPr>
                    <w:t>符合文件要求。</w:t>
                  </w:r>
                </w:p>
              </w:tc>
              <w:tc>
                <w:tcPr>
                  <w:tcW w:w="756" w:type="pct"/>
                  <w:vAlign w:val="center"/>
                </w:tcPr>
                <w:p w14:paraId="3B5BF8BF">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bl>
          <w:p w14:paraId="716324F1">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ascii="Times New Roman" w:hAnsi="Times New Roman" w:eastAsia="宋体" w:cs="Times New Roman"/>
                <w:b/>
                <w:bCs/>
                <w:color w:val="auto"/>
                <w:highlight w:val="none"/>
                <w:lang w:eastAsia="zh-CN"/>
              </w:rPr>
            </w:pPr>
            <w:r>
              <w:rPr>
                <w:rFonts w:hint="eastAsia" w:cs="Times New Roman"/>
                <w:b/>
                <w:bCs/>
                <w:color w:val="auto"/>
                <w:sz w:val="24"/>
                <w:szCs w:val="24"/>
                <w:highlight w:val="none"/>
                <w:lang w:val="en-US" w:eastAsia="zh-CN"/>
              </w:rPr>
              <w:t>（5）</w:t>
            </w:r>
            <w:r>
              <w:rPr>
                <w:rFonts w:ascii="Times New Roman" w:hAnsi="Times New Roman" w:eastAsia="宋体" w:cs="Times New Roman"/>
                <w:b/>
                <w:bCs/>
                <w:color w:val="auto"/>
                <w:sz w:val="24"/>
                <w:szCs w:val="24"/>
                <w:highlight w:val="none"/>
                <w:lang w:eastAsia="zh-CN"/>
              </w:rPr>
              <w:t>与安徽省《重点行业挥发性有机物治理环境管理技术规范》相符性分析</w:t>
            </w:r>
          </w:p>
          <w:p w14:paraId="62584471">
            <w:pPr>
              <w:pStyle w:val="12"/>
              <w:keepNext w:val="0"/>
              <w:keepLines w:val="0"/>
              <w:pageBreakBefore w:val="0"/>
              <w:kinsoku/>
              <w:wordWrap/>
              <w:overflowPunct/>
              <w:topLinePunct w:val="0"/>
              <w:bidi w:val="0"/>
              <w:adjustRightInd/>
              <w:snapToGrid/>
              <w:spacing w:after="0"/>
              <w:ind w:left="0" w:leftChars="0"/>
              <w:jc w:val="both"/>
              <w:rPr>
                <w:rFonts w:ascii="Times New Roman" w:hAnsi="Times New Roman" w:eastAsia="宋体" w:cs="Times New Roman"/>
                <w:color w:val="auto"/>
                <w:szCs w:val="24"/>
                <w:highlight w:val="none"/>
              </w:rPr>
            </w:pPr>
            <w:r>
              <w:rPr>
                <w:rFonts w:ascii="Times New Roman" w:hAnsi="Times New Roman" w:eastAsia="宋体" w:cs="Times New Roman"/>
                <w:b/>
                <w:color w:val="auto"/>
                <w:szCs w:val="24"/>
                <w:highlight w:val="none"/>
                <w:lang w:eastAsia="zh-CN"/>
              </w:rPr>
              <w:t>表1-</w:t>
            </w:r>
            <w:r>
              <w:rPr>
                <w:rFonts w:hint="eastAsia" w:cs="Times New Roman"/>
                <w:b/>
                <w:color w:val="auto"/>
                <w:szCs w:val="24"/>
                <w:highlight w:val="none"/>
                <w:lang w:val="en-US" w:eastAsia="zh-CN"/>
              </w:rPr>
              <w:t xml:space="preserve">5  </w:t>
            </w:r>
            <w:r>
              <w:rPr>
                <w:rFonts w:ascii="Times New Roman" w:hAnsi="Times New Roman" w:eastAsia="宋体" w:cs="Times New Roman"/>
                <w:b/>
                <w:color w:val="auto"/>
                <w:szCs w:val="24"/>
                <w:highlight w:val="none"/>
                <w:lang w:eastAsia="zh-CN"/>
              </w:rPr>
              <w:t>与安徽省《重点行业挥发性有机物治理环境管理技术规范》</w:t>
            </w:r>
            <w:r>
              <w:rPr>
                <w:rFonts w:ascii="Times New Roman" w:hAnsi="Times New Roman" w:eastAsia="宋体" w:cs="Times New Roman"/>
                <w:b/>
                <w:color w:val="auto"/>
                <w:szCs w:val="24"/>
                <w:highlight w:val="none"/>
              </w:rPr>
              <w:t>相符性分析</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6"/>
              <w:gridCol w:w="3122"/>
              <w:gridCol w:w="913"/>
            </w:tblGrid>
            <w:tr w14:paraId="5728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81" w:type="pct"/>
                  <w:vAlign w:val="center"/>
                </w:tcPr>
                <w:p w14:paraId="40D373EA">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rPr>
                  </w:pPr>
                  <w:r>
                    <w:rPr>
                      <w:b w:val="0"/>
                      <w:bCs w:val="0"/>
                      <w:color w:val="auto"/>
                      <w:highlight w:val="none"/>
                    </w:rPr>
                    <w:t>文件要求</w:t>
                  </w:r>
                </w:p>
              </w:tc>
              <w:tc>
                <w:tcPr>
                  <w:tcW w:w="1948" w:type="pct"/>
                  <w:vAlign w:val="center"/>
                </w:tcPr>
                <w:p w14:paraId="40E92BE2">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rPr>
                  </w:pPr>
                  <w:r>
                    <w:rPr>
                      <w:b w:val="0"/>
                      <w:bCs w:val="0"/>
                      <w:color w:val="auto"/>
                      <w:highlight w:val="none"/>
                    </w:rPr>
                    <w:t>本项目建设内容</w:t>
                  </w:r>
                </w:p>
              </w:tc>
              <w:tc>
                <w:tcPr>
                  <w:tcW w:w="570" w:type="pct"/>
                  <w:vAlign w:val="center"/>
                </w:tcPr>
                <w:p w14:paraId="32B52A63">
                  <w:pPr>
                    <w:keepNext w:val="0"/>
                    <w:keepLines w:val="0"/>
                    <w:pageBreakBefore w:val="0"/>
                    <w:widowControl/>
                    <w:kinsoku/>
                    <w:wordWrap/>
                    <w:overflowPunct/>
                    <w:topLinePunct w:val="0"/>
                    <w:autoSpaceDE w:val="0"/>
                    <w:autoSpaceDN w:val="0"/>
                    <w:bidi w:val="0"/>
                    <w:adjustRightInd/>
                    <w:snapToGrid/>
                    <w:spacing w:beforeAutospacing="0" w:afterAutospacing="0"/>
                    <w:jc w:val="center"/>
                    <w:textAlignment w:val="baseline"/>
                    <w:rPr>
                      <w:b w:val="0"/>
                      <w:bCs w:val="0"/>
                      <w:color w:val="auto"/>
                      <w:highlight w:val="none"/>
                    </w:rPr>
                  </w:pPr>
                  <w:r>
                    <w:rPr>
                      <w:b w:val="0"/>
                      <w:bCs w:val="0"/>
                      <w:color w:val="auto"/>
                      <w:highlight w:val="none"/>
                    </w:rPr>
                    <w:t>符合性</w:t>
                  </w:r>
                </w:p>
              </w:tc>
            </w:tr>
            <w:tr w14:paraId="4249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2481" w:type="pct"/>
                  <w:vAlign w:val="center"/>
                </w:tcPr>
                <w:p w14:paraId="38933C08">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kern w:val="2"/>
                      <w:highlight w:val="none"/>
                      <w:lang w:eastAsia="zh-CN"/>
                    </w:rPr>
                  </w:pPr>
                  <w:r>
                    <w:rPr>
                      <w:rFonts w:ascii="Times New Roman" w:hAnsi="Times New Roman" w:eastAsia="宋体" w:cs="Times New Roman"/>
                      <w:color w:val="auto"/>
                      <w:highlight w:val="none"/>
                      <w:lang w:eastAsia="zh-CN"/>
                    </w:rPr>
                    <w:t>源头削减：涂料、胶粘剂、清洗剂中VOCs含量限值应符合GB18581、GB24409、GB30981、GB33372、GB38469和GB38508的要求。</w:t>
                  </w:r>
                  <w:r>
                    <w:rPr>
                      <w:rFonts w:ascii="Times New Roman" w:hAnsi="Times New Roman" w:eastAsia="宋体" w:cs="Times New Roman"/>
                      <w:color w:val="auto"/>
                      <w:kern w:val="2"/>
                      <w:highlight w:val="none"/>
                      <w:lang w:eastAsia="zh-CN"/>
                    </w:rPr>
                    <w:t>除大型工件特殊作业外，禁止敞开式喷涂、</w:t>
                  </w:r>
                  <w:r>
                    <w:rPr>
                      <w:rFonts w:hint="eastAsia" w:ascii="Times New Roman" w:hAnsi="Times New Roman" w:eastAsia="宋体" w:cs="Times New Roman"/>
                      <w:color w:val="auto"/>
                      <w:kern w:val="2"/>
                      <w:highlight w:val="none"/>
                      <w:lang w:eastAsia="zh-CN"/>
                    </w:rPr>
                    <w:t>晾干</w:t>
                  </w:r>
                  <w:r>
                    <w:rPr>
                      <w:rFonts w:ascii="Times New Roman" w:hAnsi="Times New Roman" w:eastAsia="宋体" w:cs="Times New Roman"/>
                      <w:color w:val="auto"/>
                      <w:kern w:val="2"/>
                      <w:highlight w:val="none"/>
                      <w:lang w:eastAsia="zh-CN"/>
                    </w:rPr>
                    <w:t>作业。</w:t>
                  </w:r>
                </w:p>
              </w:tc>
              <w:tc>
                <w:tcPr>
                  <w:tcW w:w="1948" w:type="pct"/>
                  <w:vAlign w:val="center"/>
                </w:tcPr>
                <w:p w14:paraId="2D568F62">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kern w:val="2"/>
                      <w:highlight w:val="none"/>
                      <w:lang w:eastAsia="zh-CN"/>
                    </w:rPr>
                  </w:pPr>
                  <w:r>
                    <w:rPr>
                      <w:rFonts w:ascii="Times New Roman" w:hAnsi="Times New Roman" w:eastAsia="宋体" w:cs="Times New Roman"/>
                      <w:color w:val="auto"/>
                      <w:kern w:val="2"/>
                      <w:highlight w:val="none"/>
                      <w:lang w:eastAsia="zh-CN"/>
                    </w:rPr>
                    <w:t>本项目使用</w:t>
                  </w:r>
                  <w:r>
                    <w:rPr>
                      <w:rFonts w:hint="eastAsia" w:ascii="Times New Roman" w:hAnsi="Times New Roman" w:eastAsia="宋体" w:cs="Times New Roman"/>
                      <w:color w:val="auto"/>
                      <w:kern w:val="2"/>
                      <w:highlight w:val="none"/>
                      <w:lang w:eastAsia="zh-CN"/>
                    </w:rPr>
                    <w:t>的</w:t>
                  </w:r>
                  <w:r>
                    <w:rPr>
                      <w:rFonts w:hint="eastAsia" w:ascii="Times New Roman" w:hAnsi="Times New Roman" w:eastAsia="宋体" w:cs="Times New Roman"/>
                      <w:color w:val="auto"/>
                      <w:kern w:val="2"/>
                      <w:highlight w:val="none"/>
                      <w:lang w:val="en-US" w:eastAsia="zh-CN"/>
                    </w:rPr>
                    <w:t>水性漆</w:t>
                  </w:r>
                  <w:r>
                    <w:rPr>
                      <w:rFonts w:ascii="Times New Roman" w:hAnsi="Times New Roman" w:eastAsia="宋体" w:cs="Times New Roman"/>
                      <w:color w:val="auto"/>
                      <w:kern w:val="2"/>
                      <w:highlight w:val="none"/>
                      <w:lang w:eastAsia="zh-CN"/>
                    </w:rPr>
                    <w:t>符合GB30981和GB/T38597中要求。</w:t>
                  </w:r>
                </w:p>
                <w:p w14:paraId="5AD13B31">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kern w:val="2"/>
                      <w:highlight w:val="none"/>
                      <w:lang w:eastAsia="zh-CN"/>
                    </w:rPr>
                    <w:t>本项目设置密闭式喷漆房，不进行敞开式作业</w:t>
                  </w:r>
                  <w:r>
                    <w:rPr>
                      <w:rFonts w:hint="eastAsia" w:cs="Times New Roman"/>
                      <w:color w:val="auto"/>
                      <w:kern w:val="2"/>
                      <w:highlight w:val="none"/>
                      <w:lang w:eastAsia="zh-CN"/>
                    </w:rPr>
                    <w:t>。</w:t>
                  </w:r>
                </w:p>
              </w:tc>
              <w:tc>
                <w:tcPr>
                  <w:tcW w:w="570" w:type="pct"/>
                  <w:vAlign w:val="center"/>
                </w:tcPr>
                <w:p w14:paraId="4C34758D">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符合</w:t>
                  </w:r>
                </w:p>
              </w:tc>
            </w:tr>
            <w:tr w14:paraId="45B5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81" w:type="pct"/>
                  <w:vAlign w:val="center"/>
                </w:tcPr>
                <w:p w14:paraId="22D63A0C">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储存：涂料、稀释剂、清洗剂、固化剂、胶粘剂、密封胶等VOCs物料密闭储存。盛装VOCs物料的容器或包装袋应存放于室内，或存放于设置有雨棚、遮阳和防渗设施的专用场地。容器在非取用状态时应加盖、封口，保持密闭。</w:t>
                  </w:r>
                </w:p>
              </w:tc>
              <w:tc>
                <w:tcPr>
                  <w:tcW w:w="1948" w:type="pct"/>
                  <w:vAlign w:val="center"/>
                </w:tcPr>
                <w:p w14:paraId="56F3074C">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lang w:eastAsia="zh-CN"/>
                    </w:rPr>
                    <w:t>本项目</w:t>
                  </w:r>
                  <w:r>
                    <w:rPr>
                      <w:rFonts w:hint="eastAsia" w:ascii="Times New Roman" w:hAnsi="Times New Roman" w:eastAsia="宋体" w:cs="Times New Roman"/>
                      <w:color w:val="auto"/>
                      <w:highlight w:val="none"/>
                      <w:lang w:val="en-US" w:eastAsia="zh-CN"/>
                    </w:rPr>
                    <w:t>水性漆存放于漆库，</w:t>
                  </w:r>
                  <w:r>
                    <w:rPr>
                      <w:rFonts w:hint="eastAsia" w:cs="Times New Roman"/>
                      <w:color w:val="auto"/>
                      <w:highlight w:val="none"/>
                      <w:lang w:val="en-US" w:eastAsia="zh-CN"/>
                    </w:rPr>
                    <w:t>由包装桶密闭储存。</w:t>
                  </w:r>
                  <w:r>
                    <w:rPr>
                      <w:rFonts w:ascii="Times New Roman" w:hAnsi="Times New Roman" w:eastAsia="宋体" w:cs="Times New Roman"/>
                      <w:color w:val="auto"/>
                      <w:highlight w:val="none"/>
                      <w:lang w:eastAsia="zh-CN"/>
                    </w:rPr>
                    <w:t>非取用状态时应加盖、封口，保持密闭。</w:t>
                  </w:r>
                </w:p>
              </w:tc>
              <w:tc>
                <w:tcPr>
                  <w:tcW w:w="570" w:type="pct"/>
                  <w:vAlign w:val="center"/>
                </w:tcPr>
                <w:p w14:paraId="026A3EDB">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符合</w:t>
                  </w:r>
                </w:p>
              </w:tc>
            </w:tr>
            <w:tr w14:paraId="2800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1" w:type="pct"/>
                  <w:vAlign w:val="center"/>
                </w:tcPr>
                <w:p w14:paraId="4DBFBC11">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转移和输送：采用密闭管道或密闭容器。</w:t>
                  </w:r>
                </w:p>
              </w:tc>
              <w:tc>
                <w:tcPr>
                  <w:tcW w:w="1948" w:type="pct"/>
                  <w:vAlign w:val="center"/>
                </w:tcPr>
                <w:p w14:paraId="26114DDE">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w:t>
                  </w:r>
                  <w:r>
                    <w:rPr>
                      <w:rFonts w:hint="eastAsia" w:ascii="Times New Roman" w:hAnsi="Times New Roman" w:eastAsia="宋体" w:cs="Times New Roman"/>
                      <w:color w:val="auto"/>
                      <w:highlight w:val="none"/>
                      <w:lang w:val="en-US" w:eastAsia="zh-CN"/>
                    </w:rPr>
                    <w:t>水性漆</w:t>
                  </w:r>
                  <w:r>
                    <w:rPr>
                      <w:rFonts w:hint="eastAsia" w:cs="Times New Roman"/>
                      <w:color w:val="auto"/>
                      <w:highlight w:val="none"/>
                      <w:lang w:val="en-US" w:eastAsia="zh-CN"/>
                    </w:rPr>
                    <w:t>采用密闭容器转移和输送</w:t>
                  </w:r>
                  <w:r>
                    <w:rPr>
                      <w:rFonts w:ascii="Times New Roman" w:hAnsi="Times New Roman" w:eastAsia="宋体" w:cs="Times New Roman"/>
                      <w:color w:val="auto"/>
                      <w:highlight w:val="none"/>
                      <w:lang w:eastAsia="zh-CN"/>
                    </w:rPr>
                    <w:t>。</w:t>
                  </w:r>
                </w:p>
              </w:tc>
              <w:tc>
                <w:tcPr>
                  <w:tcW w:w="570" w:type="pct"/>
                  <w:vAlign w:val="center"/>
                </w:tcPr>
                <w:p w14:paraId="4EB821A2">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符合</w:t>
                  </w:r>
                </w:p>
              </w:tc>
            </w:tr>
            <w:tr w14:paraId="2E6C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1" w:type="pct"/>
                  <w:vAlign w:val="center"/>
                </w:tcPr>
                <w:p w14:paraId="10DA7257">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调配：采用密闭设备或在密闭空间内操作，废气排至废气收集系统。</w:t>
                  </w:r>
                </w:p>
              </w:tc>
              <w:tc>
                <w:tcPr>
                  <w:tcW w:w="1948" w:type="pct"/>
                  <w:vAlign w:val="center"/>
                </w:tcPr>
                <w:p w14:paraId="6DDC3BB2">
                  <w:pPr>
                    <w:keepNext w:val="0"/>
                    <w:keepLines w:val="0"/>
                    <w:pageBreakBefore w:val="0"/>
                    <w:widowControl/>
                    <w:kinsoku/>
                    <w:wordWrap/>
                    <w:overflowPunct/>
                    <w:topLinePunct w:val="0"/>
                    <w:autoSpaceDE w:val="0"/>
                    <w:autoSpaceDN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本项目不涉及调配</w:t>
                  </w:r>
                  <w:r>
                    <w:rPr>
                      <w:rFonts w:hint="eastAsia"/>
                      <w:highlight w:val="none"/>
                      <w:lang w:eastAsia="zh-CN"/>
                    </w:rPr>
                    <w:t>。</w:t>
                  </w:r>
                </w:p>
              </w:tc>
              <w:tc>
                <w:tcPr>
                  <w:tcW w:w="570" w:type="pct"/>
                  <w:vAlign w:val="center"/>
                </w:tcPr>
                <w:p w14:paraId="3F6866A0">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符合</w:t>
                  </w:r>
                </w:p>
              </w:tc>
            </w:tr>
            <w:tr w14:paraId="1C64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81" w:type="pct"/>
                  <w:vAlign w:val="center"/>
                </w:tcPr>
                <w:p w14:paraId="1A1CFD47">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喷涂：1、喷涂过程应采用密闭设备</w:t>
                  </w:r>
                  <w:r>
                    <w:rPr>
                      <w:rFonts w:hint="eastAsia" w:ascii="Times New Roman" w:hAnsi="Times New Roman" w:eastAsia="宋体" w:cs="Times New Roman"/>
                      <w:color w:val="auto"/>
                      <w:highlight w:val="none"/>
                      <w:lang w:eastAsia="zh-CN"/>
                    </w:rPr>
                    <w:t>或在</w:t>
                  </w:r>
                  <w:r>
                    <w:rPr>
                      <w:rFonts w:ascii="Times New Roman" w:hAnsi="Times New Roman" w:eastAsia="宋体" w:cs="Times New Roman"/>
                      <w:color w:val="auto"/>
                      <w:highlight w:val="none"/>
                      <w:lang w:eastAsia="zh-CN"/>
                    </w:rPr>
                    <w:t>密闭空间内操作，废气应排至废气收集处理系统处理，无法密闭的应采取局部气体收集措施，废气应排至废气收集处理系统处理。</w:t>
                  </w:r>
                </w:p>
                <w:p w14:paraId="0CBF4ECD">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2、宜建设干式喷漆房，优先使用全自动喷漆和循环风工艺。</w:t>
                  </w:r>
                </w:p>
              </w:tc>
              <w:tc>
                <w:tcPr>
                  <w:tcW w:w="1948" w:type="pct"/>
                  <w:vAlign w:val="center"/>
                </w:tcPr>
                <w:p w14:paraId="48D1DCD8">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本项目设置密闭式喷漆房，喷漆废气收集后经</w:t>
                  </w:r>
                  <w:r>
                    <w:rPr>
                      <w:rFonts w:hint="eastAsia" w:ascii="Times New Roman" w:hAnsi="Times New Roman" w:eastAsia="宋体" w:cs="Times New Roman"/>
                      <w:color w:val="auto"/>
                      <w:highlight w:val="none"/>
                      <w:lang w:eastAsia="zh-CN"/>
                    </w:rPr>
                    <w:t>干式过滤+</w:t>
                  </w:r>
                  <w:r>
                    <w:rPr>
                      <w:rFonts w:ascii="Times New Roman" w:hAnsi="Times New Roman" w:eastAsia="宋体" w:cs="Times New Roman"/>
                      <w:color w:val="auto"/>
                      <w:highlight w:val="none"/>
                      <w:lang w:eastAsia="zh-CN"/>
                    </w:rPr>
                    <w:t>二级活性炭吸附装置处理，喷漆房为干式喷漆房</w:t>
                  </w:r>
                  <w:r>
                    <w:rPr>
                      <w:rFonts w:hint="eastAsia" w:cs="Times New Roman"/>
                      <w:color w:val="auto"/>
                      <w:highlight w:val="none"/>
                      <w:lang w:eastAsia="zh-CN"/>
                    </w:rPr>
                    <w:t>。</w:t>
                  </w:r>
                </w:p>
              </w:tc>
              <w:tc>
                <w:tcPr>
                  <w:tcW w:w="570" w:type="pct"/>
                  <w:vAlign w:val="center"/>
                </w:tcPr>
                <w:p w14:paraId="0C64BEE7">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符合</w:t>
                  </w:r>
                </w:p>
              </w:tc>
            </w:tr>
            <w:tr w14:paraId="3617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1" w:type="pct"/>
                  <w:vAlign w:val="center"/>
                </w:tcPr>
                <w:p w14:paraId="6FC62707">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流平、干燥：应在密闭空间内操作，废气应排至废气收集处理系统处理，无法密闭的应采取局部气体收集措施，废气应排至废气收集处理系统处理。</w:t>
                  </w:r>
                </w:p>
              </w:tc>
              <w:tc>
                <w:tcPr>
                  <w:tcW w:w="1948" w:type="pct"/>
                  <w:vAlign w:val="center"/>
                </w:tcPr>
                <w:p w14:paraId="17C08B7D">
                  <w:pPr>
                    <w:keepNext w:val="0"/>
                    <w:keepLines w:val="0"/>
                    <w:pageBreakBefore w:val="0"/>
                    <w:widowControl/>
                    <w:kinsoku/>
                    <w:wordWrap/>
                    <w:overflowPunct/>
                    <w:topLinePunct w:val="0"/>
                    <w:autoSpaceDE w:val="0"/>
                    <w:autoSpaceDN w:val="0"/>
                    <w:bidi w:val="0"/>
                    <w:adjustRightInd/>
                    <w:snapToGrid/>
                    <w:jc w:val="center"/>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lang w:eastAsia="zh-CN"/>
                    </w:rPr>
                    <w:t>本项目</w:t>
                  </w:r>
                  <w:r>
                    <w:rPr>
                      <w:rFonts w:hint="eastAsia" w:cs="Times New Roman"/>
                      <w:color w:val="auto"/>
                      <w:highlight w:val="none"/>
                      <w:lang w:val="en-US" w:eastAsia="zh-CN"/>
                    </w:rPr>
                    <w:t>不涉及流平工序，烘干在密闭空间内进行，废气经集气罩收集后通过二级活性炭吸附装置处理后排放。</w:t>
                  </w:r>
                </w:p>
              </w:tc>
              <w:tc>
                <w:tcPr>
                  <w:tcW w:w="570" w:type="pct"/>
                  <w:vAlign w:val="center"/>
                </w:tcPr>
                <w:p w14:paraId="45C3807D">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符合</w:t>
                  </w:r>
                </w:p>
              </w:tc>
            </w:tr>
            <w:tr w14:paraId="4B7C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81" w:type="pct"/>
                  <w:vAlign w:val="center"/>
                </w:tcPr>
                <w:p w14:paraId="1334F4EA">
                  <w:pPr>
                    <w:keepNext w:val="0"/>
                    <w:keepLines w:val="0"/>
                    <w:pageBreakBefore w:val="0"/>
                    <w:widowControl/>
                    <w:kinsoku/>
                    <w:wordWrap/>
                    <w:overflowPunct/>
                    <w:topLinePunct w:val="0"/>
                    <w:autoSpaceDE w:val="0"/>
                    <w:autoSpaceDN w:val="0"/>
                    <w:bidi w:val="0"/>
                    <w:adjustRightInd/>
                    <w:snapToGrid/>
                    <w:ind w:firstLine="420" w:firstLineChars="200"/>
                    <w:jc w:val="center"/>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末端治理：1、喷涂、晾干废气应设置高效漆雾处理装置，宜采用文丘里/水旋/水幕湿法漆雾捕集+多级干式过滤除湿联合装置，或采用干式漆雾捕集过滤系统；宜采用吸附浓缩+燃烧或其他等效方式处理，小风量低浓度或不适宜浓缩吸附的废气可采用活性炭吸附等工艺。</w:t>
                  </w:r>
                </w:p>
                <w:p w14:paraId="5D90E4DD">
                  <w:pPr>
                    <w:pStyle w:val="9"/>
                    <w:keepNext w:val="0"/>
                    <w:keepLines w:val="0"/>
                    <w:pageBreakBefore w:val="0"/>
                    <w:widowControl/>
                    <w:kinsoku/>
                    <w:wordWrap/>
                    <w:overflowPunct/>
                    <w:topLinePunct w:val="0"/>
                    <w:autoSpaceDE w:val="0"/>
                    <w:autoSpaceDN w:val="0"/>
                    <w:bidi w:val="0"/>
                    <w:adjustRightInd/>
                    <w:snapToGrid/>
                    <w:spacing w:before="0" w:after="0" w:line="240" w:lineRule="auto"/>
                    <w:ind w:right="0" w:firstLine="420" w:firstLineChars="200"/>
                    <w:jc w:val="center"/>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kern w:val="2"/>
                      <w:sz w:val="21"/>
                      <w:szCs w:val="24"/>
                      <w:highlight w:val="none"/>
                      <w:lang w:val="en-US" w:eastAsia="zh-CN" w:bidi="ar-SA"/>
                    </w:rPr>
                    <w:t>2、调配、流平废气宜采用吸附方式或其他等效方式处理，或与喷涂、晾干废气一并处理。</w:t>
                  </w:r>
                </w:p>
              </w:tc>
              <w:tc>
                <w:tcPr>
                  <w:tcW w:w="1948" w:type="pct"/>
                  <w:vAlign w:val="center"/>
                </w:tcPr>
                <w:p w14:paraId="14CE4C36">
                  <w:pPr>
                    <w:keepNext w:val="0"/>
                    <w:keepLines w:val="0"/>
                    <w:pageBreakBefore w:val="0"/>
                    <w:widowControl/>
                    <w:kinsoku/>
                    <w:wordWrap/>
                    <w:overflowPunct/>
                    <w:topLinePunct w:val="0"/>
                    <w:autoSpaceDE w:val="0"/>
                    <w:autoSpaceDN w:val="0"/>
                    <w:bidi w:val="0"/>
                    <w:adjustRightInd/>
                    <w:snapToGrid/>
                    <w:jc w:val="center"/>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本项目喷涂位于</w:t>
                  </w:r>
                  <w:r>
                    <w:rPr>
                      <w:rFonts w:hint="eastAsia" w:cs="Times New Roman"/>
                      <w:color w:val="auto"/>
                      <w:highlight w:val="none"/>
                      <w:lang w:val="en-US" w:eastAsia="zh-CN"/>
                    </w:rPr>
                    <w:t>密闭</w:t>
                  </w:r>
                  <w:r>
                    <w:rPr>
                      <w:rFonts w:hint="eastAsia" w:ascii="Times New Roman" w:hAnsi="Times New Roman" w:eastAsia="宋体" w:cs="Times New Roman"/>
                      <w:color w:val="auto"/>
                      <w:highlight w:val="none"/>
                      <w:lang w:eastAsia="zh-CN"/>
                    </w:rPr>
                    <w:t>喷漆房</w:t>
                  </w:r>
                  <w:r>
                    <w:rPr>
                      <w:rFonts w:ascii="Times New Roman" w:hAnsi="Times New Roman" w:eastAsia="宋体" w:cs="Times New Roman"/>
                      <w:color w:val="auto"/>
                      <w:highlight w:val="none"/>
                      <w:lang w:eastAsia="zh-CN"/>
                    </w:rPr>
                    <w:t>内，</w:t>
                  </w:r>
                  <w:r>
                    <w:rPr>
                      <w:rFonts w:hint="eastAsia" w:cs="Times New Roman"/>
                      <w:color w:val="auto"/>
                      <w:highlight w:val="none"/>
                      <w:lang w:val="en-US" w:eastAsia="zh-CN"/>
                    </w:rPr>
                    <w:t>有机废气</w:t>
                  </w:r>
                  <w:r>
                    <w:rPr>
                      <w:rFonts w:hint="eastAsia" w:ascii="Times New Roman" w:hAnsi="Times New Roman" w:eastAsia="宋体" w:cs="Times New Roman"/>
                      <w:color w:val="auto"/>
                      <w:highlight w:val="none"/>
                      <w:lang w:eastAsia="zh-CN"/>
                    </w:rPr>
                    <w:t>采用</w:t>
                  </w:r>
                  <w:r>
                    <w:rPr>
                      <w:rFonts w:ascii="Times New Roman" w:hAnsi="Times New Roman" w:eastAsia="宋体" w:cs="Times New Roman"/>
                      <w:color w:val="auto"/>
                      <w:highlight w:val="none"/>
                      <w:lang w:eastAsia="zh-CN"/>
                    </w:rPr>
                    <w:t>干式过滤系统+二级活性炭吸附装置处理后排放</w:t>
                  </w:r>
                  <w:r>
                    <w:rPr>
                      <w:rFonts w:hint="eastAsia" w:cs="Times New Roman"/>
                      <w:color w:val="auto"/>
                      <w:highlight w:val="none"/>
                      <w:lang w:eastAsia="zh-CN"/>
                    </w:rPr>
                    <w:t>。</w:t>
                  </w:r>
                </w:p>
              </w:tc>
              <w:tc>
                <w:tcPr>
                  <w:tcW w:w="570" w:type="pct"/>
                  <w:vAlign w:val="center"/>
                </w:tcPr>
                <w:p w14:paraId="6695B4AB">
                  <w:pPr>
                    <w:keepNext w:val="0"/>
                    <w:keepLines w:val="0"/>
                    <w:pageBreakBefore w:val="0"/>
                    <w:widowControl/>
                    <w:kinsoku/>
                    <w:wordWrap/>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bl>
          <w:p w14:paraId="1BB60FF2">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（6）</w:t>
            </w:r>
            <w:r>
              <w:rPr>
                <w:rFonts w:ascii="Times New Roman" w:hAnsi="Times New Roman" w:eastAsia="宋体" w:cs="Times New Roman"/>
                <w:b/>
                <w:bCs/>
                <w:color w:val="auto"/>
                <w:sz w:val="24"/>
                <w:szCs w:val="24"/>
                <w:highlight w:val="none"/>
                <w:lang w:eastAsia="zh-CN"/>
              </w:rPr>
              <w:t>与《重点行业挥发性有机物治理环境管理技术规范 第一部分：通则》（DB34/T 4230.1-2022）相符性分析</w:t>
            </w:r>
          </w:p>
          <w:p w14:paraId="6D494BE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表1-</w:t>
            </w: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 xml:space="preserve"> </w:t>
            </w:r>
            <w:r>
              <w:rPr>
                <w:rFonts w:ascii="Times New Roman" w:hAnsi="Times New Roman" w:eastAsia="宋体" w:cs="Times New Roman"/>
                <w:b/>
                <w:bCs/>
                <w:color w:val="auto"/>
                <w:sz w:val="24"/>
                <w:szCs w:val="24"/>
                <w:highlight w:val="none"/>
                <w:lang w:eastAsia="zh-CN"/>
              </w:rPr>
              <w:t>与《重点行业挥发性有机物治理环境管理技术规范 第一部分：通则》（DB34/T 4230.1-2022）相符性分析</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2622"/>
              <w:gridCol w:w="869"/>
            </w:tblGrid>
            <w:tr w14:paraId="5708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0" w:type="pct"/>
                  <w:vAlign w:val="center"/>
                </w:tcPr>
                <w:p w14:paraId="322CA31C">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文件要求</w:t>
                  </w:r>
                </w:p>
              </w:tc>
              <w:tc>
                <w:tcPr>
                  <w:tcW w:w="1636" w:type="pct"/>
                  <w:vAlign w:val="center"/>
                </w:tcPr>
                <w:p w14:paraId="70D14A5C">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本项目建设内容</w:t>
                  </w:r>
                </w:p>
              </w:tc>
              <w:tc>
                <w:tcPr>
                  <w:tcW w:w="542" w:type="pct"/>
                  <w:vAlign w:val="center"/>
                </w:tcPr>
                <w:p w14:paraId="262B6123">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符合性</w:t>
                  </w:r>
                </w:p>
              </w:tc>
            </w:tr>
            <w:tr w14:paraId="4FCF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0" w:type="pct"/>
                  <w:vAlign w:val="center"/>
                </w:tcPr>
                <w:p w14:paraId="3C6FAE76">
                  <w:pPr>
                    <w:pStyle w:val="9"/>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kern w:val="2"/>
                      <w:sz w:val="21"/>
                      <w:szCs w:val="21"/>
                      <w:highlight w:val="none"/>
                      <w:lang w:eastAsia="zh-CN"/>
                    </w:rPr>
                  </w:pPr>
                  <w:r>
                    <w:rPr>
                      <w:rFonts w:ascii="Times New Roman" w:hAnsi="Times New Roman" w:eastAsia="宋体" w:cs="Times New Roman"/>
                      <w:color w:val="auto"/>
                      <w:sz w:val="21"/>
                      <w:szCs w:val="21"/>
                      <w:highlight w:val="none"/>
                      <w:lang w:val="zh-CN" w:eastAsia="zh-CN"/>
                    </w:rPr>
                    <w:t>涂料、油墨、颜料及类似产品制造业、制鞋工业、家具制造工业、汽车制造业、其他工业涂装行业、包装印刷业、印刷和记录媒介复制业等溶剂使用的，优采用源头削减替代，且溶剂使用应满足GB 19340、GB/T 30779、GB 30981、GB 33372、GB 38507和GB 38508的要求；石油化学工业、石油炼制工业、合成树脂工业、炼焦化学工业、专用化学产品制造工业、日用化学产品制造工业、橡胶制品工业、医药制造工业、农药制造工业、化学纤维制</w:t>
                  </w:r>
                  <w:r>
                    <w:rPr>
                      <w:rFonts w:hint="eastAsia" w:ascii="Times New Roman" w:hAnsi="Times New Roman" w:eastAsia="宋体" w:cs="Times New Roman"/>
                      <w:color w:val="auto"/>
                      <w:sz w:val="21"/>
                      <w:szCs w:val="21"/>
                      <w:highlight w:val="none"/>
                      <w:lang w:val="zh-CN" w:eastAsia="zh-CN"/>
                    </w:rPr>
                    <w:t>造工</w:t>
                  </w:r>
                  <w:r>
                    <w:rPr>
                      <w:rFonts w:ascii="Times New Roman" w:hAnsi="Times New Roman" w:eastAsia="宋体" w:cs="Times New Roman"/>
                      <w:color w:val="auto"/>
                      <w:sz w:val="21"/>
                      <w:szCs w:val="21"/>
                      <w:highlight w:val="none"/>
                      <w:lang w:val="zh-CN" w:eastAsia="zh-CN"/>
                    </w:rPr>
                    <w:t>业等应强化过程控制；无法实施源头削减和过程控制的，宜采用吸附、焚烧等高效治理技术。</w:t>
                  </w:r>
                </w:p>
              </w:tc>
              <w:tc>
                <w:tcPr>
                  <w:tcW w:w="1636" w:type="pct"/>
                  <w:vAlign w:val="center"/>
                </w:tcPr>
                <w:p w14:paraId="43ED84D7">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本项目属于</w:t>
                  </w:r>
                  <w:r>
                    <w:rPr>
                      <w:rFonts w:hint="default" w:ascii="Times New Roman" w:hAnsi="Times New Roman" w:eastAsia="宋体" w:cs="宋体"/>
                      <w:color w:val="auto"/>
                      <w:szCs w:val="21"/>
                      <w:highlight w:val="none"/>
                    </w:rPr>
                    <w:t>C</w:t>
                  </w:r>
                  <w:r>
                    <w:rPr>
                      <w:rFonts w:hint="eastAsia" w:ascii="Times New Roman" w:hAnsi="Times New Roman" w:eastAsia="宋体" w:cs="宋体"/>
                      <w:color w:val="auto"/>
                      <w:szCs w:val="21"/>
                      <w:highlight w:val="none"/>
                      <w:lang w:val="en-US" w:eastAsia="zh-CN"/>
                    </w:rPr>
                    <w:t>3312金属门窗制造</w:t>
                  </w:r>
                  <w:r>
                    <w:rPr>
                      <w:rFonts w:ascii="Times New Roman" w:hAnsi="Times New Roman" w:eastAsia="宋体" w:cs="Times New Roman"/>
                      <w:color w:val="auto"/>
                      <w:sz w:val="21"/>
                      <w:szCs w:val="21"/>
                      <w:highlight w:val="none"/>
                      <w:lang w:eastAsia="zh-CN"/>
                    </w:rPr>
                    <w:t>，项目使用的涂料</w:t>
                  </w:r>
                  <w:r>
                    <w:rPr>
                      <w:rFonts w:hint="eastAsia" w:cs="Times New Roman"/>
                      <w:color w:val="auto"/>
                      <w:sz w:val="21"/>
                      <w:szCs w:val="21"/>
                      <w:highlight w:val="none"/>
                      <w:lang w:val="en-US" w:eastAsia="zh-CN"/>
                    </w:rPr>
                    <w:t>VOCs含量分别为底漆80g/L，面漆113g/L，</w:t>
                  </w:r>
                  <w:r>
                    <w:rPr>
                      <w:rFonts w:ascii="Times New Roman" w:hAnsi="Times New Roman" w:eastAsia="宋体" w:cs="Times New Roman"/>
                      <w:color w:val="auto"/>
                      <w:sz w:val="21"/>
                      <w:szCs w:val="21"/>
                      <w:highlight w:val="none"/>
                      <w:lang w:eastAsia="zh-CN"/>
                    </w:rPr>
                    <w:t>满足《低挥发性有机化合物含量涂料产品技术要求》（GB/T38597-2020）、《工业防护涂料中有害物质限量》（GB30981-2020）的要求</w:t>
                  </w:r>
                  <w:r>
                    <w:rPr>
                      <w:rFonts w:hint="eastAsia" w:cs="Times New Roman"/>
                      <w:color w:val="auto"/>
                      <w:sz w:val="21"/>
                      <w:szCs w:val="21"/>
                      <w:highlight w:val="none"/>
                      <w:lang w:eastAsia="zh-CN"/>
                    </w:rPr>
                    <w:t>。</w:t>
                  </w:r>
                </w:p>
              </w:tc>
              <w:tc>
                <w:tcPr>
                  <w:tcW w:w="542" w:type="pct"/>
                  <w:vAlign w:val="center"/>
                </w:tcPr>
                <w:p w14:paraId="144C551A">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7C9E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0" w:type="pct"/>
                  <w:vAlign w:val="center"/>
                </w:tcPr>
                <w:p w14:paraId="2B7EF299">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val="zh-CN" w:eastAsia="zh-CN"/>
                    </w:rPr>
                    <w:t>含VOCs物料（包括含VOCs原辅材料、产品、废料等）储存、转移和输送、设备与管线组件泄漏、敞开液面逸散以及工艺过程等五类排放源应实施有效管控。宜使用先进生产工艺，采用全密闭、连续化、自动化等生产技术以及高效工艺与设备等，减少工艺过程无组织排放。</w:t>
                  </w:r>
                </w:p>
              </w:tc>
              <w:tc>
                <w:tcPr>
                  <w:tcW w:w="1636" w:type="pct"/>
                  <w:vAlign w:val="center"/>
                </w:tcPr>
                <w:p w14:paraId="2197C3EC">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本项目</w:t>
                  </w:r>
                  <w:r>
                    <w:rPr>
                      <w:rFonts w:hint="eastAsia" w:ascii="Times New Roman" w:hAnsi="Times New Roman" w:eastAsia="宋体" w:cs="Times New Roman"/>
                      <w:color w:val="auto"/>
                      <w:sz w:val="21"/>
                      <w:szCs w:val="21"/>
                      <w:highlight w:val="none"/>
                      <w:lang w:eastAsia="zh-CN"/>
                    </w:rPr>
                    <w:t>采用</w:t>
                  </w:r>
                  <w:r>
                    <w:rPr>
                      <w:rFonts w:ascii="Times New Roman" w:hAnsi="Times New Roman" w:eastAsia="宋体" w:cs="Times New Roman"/>
                      <w:color w:val="auto"/>
                      <w:sz w:val="21"/>
                      <w:szCs w:val="21"/>
                      <w:highlight w:val="none"/>
                      <w:lang w:eastAsia="zh-CN"/>
                    </w:rPr>
                    <w:t>先进生产工艺，</w:t>
                  </w:r>
                  <w:r>
                    <w:rPr>
                      <w:rFonts w:ascii="Times New Roman" w:hAnsi="Times New Roman" w:eastAsia="宋体" w:cs="Times New Roman"/>
                      <w:color w:val="auto"/>
                      <w:sz w:val="21"/>
                      <w:szCs w:val="21"/>
                      <w:highlight w:val="none"/>
                      <w:lang w:val="zh-CN" w:eastAsia="zh-CN"/>
                    </w:rPr>
                    <w:t>含VOCs物料密闭储存，喷漆</w:t>
                  </w:r>
                  <w:r>
                    <w:rPr>
                      <w:rFonts w:hint="eastAsia" w:ascii="Times New Roman" w:hAnsi="Times New Roman" w:eastAsia="宋体" w:cs="Times New Roman"/>
                      <w:color w:val="auto"/>
                      <w:sz w:val="21"/>
                      <w:szCs w:val="21"/>
                      <w:highlight w:val="none"/>
                      <w:lang w:val="en-US" w:eastAsia="zh-CN"/>
                    </w:rPr>
                    <w:t>/烘干</w:t>
                  </w:r>
                  <w:r>
                    <w:rPr>
                      <w:rFonts w:ascii="Times New Roman" w:hAnsi="Times New Roman" w:eastAsia="宋体" w:cs="Times New Roman"/>
                      <w:color w:val="auto"/>
                      <w:sz w:val="21"/>
                      <w:szCs w:val="21"/>
                      <w:highlight w:val="none"/>
                      <w:lang w:val="zh-CN" w:eastAsia="zh-CN"/>
                    </w:rPr>
                    <w:t>均在密闭喷漆房内进行，废气能够有效收集</w:t>
                  </w:r>
                  <w:r>
                    <w:rPr>
                      <w:rFonts w:hint="eastAsia" w:cs="Times New Roman"/>
                      <w:color w:val="auto"/>
                      <w:sz w:val="21"/>
                      <w:szCs w:val="21"/>
                      <w:highlight w:val="none"/>
                      <w:lang w:val="zh-CN" w:eastAsia="zh-CN"/>
                    </w:rPr>
                    <w:t>。</w:t>
                  </w:r>
                </w:p>
              </w:tc>
              <w:tc>
                <w:tcPr>
                  <w:tcW w:w="542" w:type="pct"/>
                  <w:vAlign w:val="center"/>
                </w:tcPr>
                <w:p w14:paraId="20050B30">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6026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0" w:type="pct"/>
                  <w:vAlign w:val="center"/>
                </w:tcPr>
                <w:p w14:paraId="5495B156">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lang w:val="zh-CN" w:eastAsia="zh-CN"/>
                    </w:rPr>
                  </w:pPr>
                  <w:r>
                    <w:rPr>
                      <w:rFonts w:ascii="Times New Roman" w:hAnsi="Times New Roman" w:eastAsia="宋体" w:cs="Times New Roman"/>
                      <w:color w:val="auto"/>
                      <w:sz w:val="21"/>
                      <w:szCs w:val="21"/>
                      <w:highlight w:val="none"/>
                      <w:lang w:val="zh-CN" w:eastAsia="zh-CN"/>
                    </w:rPr>
                    <w:t>提高VOCs收集效率，科学设计废气收集系统，将无组织排放转变为有组织排放进行控制。</w:t>
                  </w:r>
                </w:p>
              </w:tc>
              <w:tc>
                <w:tcPr>
                  <w:tcW w:w="1636" w:type="pct"/>
                  <w:vAlign w:val="center"/>
                </w:tcPr>
                <w:p w14:paraId="15454032">
                  <w:pPr>
                    <w:pStyle w:val="51"/>
                    <w:keepNext w:val="0"/>
                    <w:keepLines w:val="0"/>
                    <w:pageBreakBefore w:val="0"/>
                    <w:widowControl/>
                    <w:kinsoku/>
                    <w:wordWrap/>
                    <w:overflowPunct/>
                    <w:topLinePunct w:val="0"/>
                    <w:autoSpaceDE w:val="0"/>
                    <w:autoSpaceDN w:val="0"/>
                    <w:bidi w:val="0"/>
                    <w:adjustRightInd/>
                    <w:snapToGrid/>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本项目有机废气</w:t>
                  </w:r>
                  <w:r>
                    <w:rPr>
                      <w:rFonts w:ascii="Times New Roman" w:hAnsi="Times New Roman" w:eastAsia="宋体" w:cs="Times New Roman"/>
                      <w:color w:val="auto"/>
                      <w:sz w:val="21"/>
                      <w:szCs w:val="21"/>
                      <w:highlight w:val="none"/>
                      <w:lang w:val="zh-CN" w:eastAsia="zh-CN"/>
                    </w:rPr>
                    <w:t>收集效率达</w:t>
                  </w:r>
                  <w:r>
                    <w:rPr>
                      <w:rFonts w:ascii="Times New Roman" w:hAnsi="Times New Roman" w:eastAsia="宋体" w:cs="Times New Roman"/>
                      <w:color w:val="auto"/>
                      <w:sz w:val="21"/>
                      <w:szCs w:val="21"/>
                      <w:highlight w:val="none"/>
                      <w:lang w:eastAsia="zh-CN"/>
                    </w:rPr>
                    <w:t>90%以上</w:t>
                  </w:r>
                  <w:r>
                    <w:rPr>
                      <w:rFonts w:hint="eastAsia" w:ascii="Times New Roman" w:hAnsi="Times New Roman" w:eastAsia="宋体" w:cs="Times New Roman"/>
                      <w:color w:val="auto"/>
                      <w:sz w:val="21"/>
                      <w:szCs w:val="21"/>
                      <w:highlight w:val="none"/>
                      <w:lang w:eastAsia="zh-CN"/>
                    </w:rPr>
                    <w:t>。</w:t>
                  </w:r>
                </w:p>
              </w:tc>
              <w:tc>
                <w:tcPr>
                  <w:tcW w:w="542" w:type="pct"/>
                  <w:vAlign w:val="center"/>
                </w:tcPr>
                <w:p w14:paraId="23B2A205">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14:paraId="63F7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0" w:type="pct"/>
                  <w:vAlign w:val="center"/>
                </w:tcPr>
                <w:p w14:paraId="4DFCA25E">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lang w:val="zh-CN" w:eastAsia="zh-CN"/>
                    </w:rPr>
                  </w:pPr>
                  <w:r>
                    <w:rPr>
                      <w:rFonts w:ascii="Times New Roman" w:hAnsi="Times New Roman" w:eastAsia="宋体" w:cs="Times New Roman"/>
                      <w:color w:val="auto"/>
                      <w:sz w:val="21"/>
                      <w:szCs w:val="21"/>
                      <w:highlight w:val="none"/>
                      <w:lang w:val="zh-CN" w:eastAsia="zh-CN"/>
                    </w:rPr>
                    <w:t>高浓度VOCs优先进行溶剂回收，难以回收的，宜采用高温焚烧、催化燃烧等技术；低浓度大风量VOCs宜采用沸石转轮吸附、活性炭吸附、减风增浓等浓缩技术，提高V</w:t>
                  </w:r>
                  <w:r>
                    <w:rPr>
                      <w:rFonts w:hint="eastAsia" w:cs="Times New Roman"/>
                      <w:color w:val="auto"/>
                      <w:sz w:val="21"/>
                      <w:szCs w:val="21"/>
                      <w:highlight w:val="none"/>
                      <w:lang w:val="en-US" w:eastAsia="zh-CN"/>
                    </w:rPr>
                    <w:t>O</w:t>
                  </w:r>
                  <w:r>
                    <w:rPr>
                      <w:rFonts w:ascii="Times New Roman" w:hAnsi="Times New Roman" w:eastAsia="宋体" w:cs="Times New Roman"/>
                      <w:color w:val="auto"/>
                      <w:sz w:val="21"/>
                      <w:szCs w:val="21"/>
                      <w:highlight w:val="none"/>
                      <w:lang w:val="zh-CN" w:eastAsia="zh-CN"/>
                    </w:rPr>
                    <w:t>Cs浓度后再净化处理；油气（溶剂）回收宜采用吸附、冷凝+吸附、吸附+吸收、膜分离+吸附等技术。</w:t>
                  </w:r>
                </w:p>
              </w:tc>
              <w:tc>
                <w:tcPr>
                  <w:tcW w:w="1636" w:type="pct"/>
                  <w:vAlign w:val="center"/>
                </w:tcPr>
                <w:p w14:paraId="081CE215">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本项目产生的有机废气较少，</w:t>
                  </w:r>
                  <w:r>
                    <w:rPr>
                      <w:rFonts w:hint="eastAsia" w:ascii="Times New Roman" w:hAnsi="Times New Roman" w:eastAsia="宋体" w:cs="Times New Roman"/>
                      <w:color w:val="auto"/>
                      <w:sz w:val="21"/>
                      <w:szCs w:val="21"/>
                      <w:highlight w:val="none"/>
                      <w:lang w:val="en-US" w:eastAsia="zh-CN" w:bidi="ar"/>
                    </w:rPr>
                    <w:t>固化</w:t>
                  </w:r>
                  <w:r>
                    <w:rPr>
                      <w:rFonts w:hint="eastAsia" w:cs="Times New Roman"/>
                      <w:color w:val="auto"/>
                      <w:sz w:val="21"/>
                      <w:szCs w:val="21"/>
                      <w:highlight w:val="none"/>
                      <w:lang w:val="en-US" w:eastAsia="zh-CN" w:bidi="ar"/>
                    </w:rPr>
                    <w:t>/烘干</w:t>
                  </w:r>
                  <w:r>
                    <w:rPr>
                      <w:rFonts w:hint="eastAsia" w:ascii="Times New Roman" w:hAnsi="Times New Roman" w:eastAsia="宋体" w:cs="Times New Roman"/>
                      <w:color w:val="auto"/>
                      <w:sz w:val="21"/>
                      <w:szCs w:val="21"/>
                      <w:highlight w:val="none"/>
                      <w:lang w:val="en-US" w:eastAsia="zh-CN" w:bidi="ar"/>
                    </w:rPr>
                    <w:t>废气经“密闭收集+二级活性炭吸附装置处理”，喷漆废气经</w:t>
                  </w:r>
                  <w:r>
                    <w:rPr>
                      <w:rFonts w:hint="eastAsia" w:cs="Times New Roman"/>
                      <w:color w:val="auto"/>
                      <w:sz w:val="21"/>
                      <w:szCs w:val="21"/>
                      <w:highlight w:val="none"/>
                      <w:lang w:val="en-US" w:eastAsia="zh-CN" w:bidi="ar"/>
                    </w:rPr>
                    <w:t>“密闭负压收集+</w:t>
                  </w:r>
                  <w:r>
                    <w:rPr>
                      <w:rFonts w:hint="eastAsia" w:ascii="Times New Roman" w:hAnsi="Times New Roman" w:eastAsia="宋体" w:cs="Times New Roman"/>
                      <w:color w:val="auto"/>
                      <w:sz w:val="21"/>
                      <w:szCs w:val="21"/>
                      <w:highlight w:val="none"/>
                      <w:lang w:val="en-US" w:eastAsia="zh-CN" w:bidi="ar"/>
                    </w:rPr>
                    <w:t>干式过滤+二级活性炭吸附</w:t>
                  </w:r>
                  <w:r>
                    <w:rPr>
                      <w:rFonts w:hint="eastAsia" w:cs="Times New Roman"/>
                      <w:color w:val="auto"/>
                      <w:sz w:val="21"/>
                      <w:szCs w:val="21"/>
                      <w:highlight w:val="none"/>
                      <w:lang w:val="en-US" w:eastAsia="zh-CN" w:bidi="ar"/>
                    </w:rPr>
                    <w:t>”。</w:t>
                  </w:r>
                </w:p>
              </w:tc>
              <w:tc>
                <w:tcPr>
                  <w:tcW w:w="542" w:type="pct"/>
                  <w:vAlign w:val="center"/>
                </w:tcPr>
                <w:p w14:paraId="4DC65610">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符合</w:t>
                  </w:r>
                </w:p>
              </w:tc>
            </w:tr>
          </w:tbl>
          <w:p w14:paraId="2DBC87EC">
            <w:pPr>
              <w:pageBreakBefore w:val="0"/>
              <w:kinsoku/>
              <w:wordWrap/>
              <w:overflowPunct/>
              <w:topLinePunct w:val="0"/>
              <w:autoSpaceDE w:val="0"/>
              <w:autoSpaceDN w:val="0"/>
              <w:bidi w:val="0"/>
              <w:adjustRightInd/>
              <w:snapToGrid/>
              <w:spacing w:line="360" w:lineRule="auto"/>
              <w:ind w:firstLine="482" w:firstLineChars="200"/>
              <w:rPr>
                <w:rFonts w:hint="eastAsia" w:cs="宋体"/>
                <w:b/>
                <w:bCs/>
                <w:color w:val="auto"/>
                <w:sz w:val="24"/>
                <w:szCs w:val="32"/>
                <w:highlight w:val="none"/>
              </w:rPr>
            </w:pPr>
            <w:r>
              <w:rPr>
                <w:rFonts w:hint="eastAsia" w:cs="宋体"/>
                <w:b/>
                <w:bCs/>
                <w:color w:val="auto"/>
                <w:kern w:val="0"/>
                <w:sz w:val="24"/>
                <w:szCs w:val="32"/>
                <w:highlight w:val="none"/>
                <w:lang w:val="en-US" w:eastAsia="zh-CN"/>
              </w:rPr>
              <w:t>（7）</w:t>
            </w:r>
            <w:r>
              <w:rPr>
                <w:rFonts w:hint="eastAsia" w:cs="宋体"/>
                <w:b/>
                <w:bCs/>
                <w:color w:val="auto"/>
                <w:kern w:val="0"/>
                <w:sz w:val="24"/>
                <w:szCs w:val="32"/>
                <w:highlight w:val="none"/>
              </w:rPr>
              <w:t>项目与《工业炉窑大气污染综合治理方案》</w:t>
            </w:r>
            <w:r>
              <w:rPr>
                <w:rFonts w:hint="eastAsia" w:cs="宋体"/>
                <w:b/>
                <w:bCs/>
                <w:color w:val="auto"/>
                <w:sz w:val="24"/>
                <w:szCs w:val="32"/>
                <w:highlight w:val="none"/>
              </w:rPr>
              <w:t>（环大气〔</w:t>
            </w:r>
            <w:r>
              <w:rPr>
                <w:b/>
                <w:bCs/>
                <w:color w:val="auto"/>
                <w:sz w:val="24"/>
                <w:szCs w:val="32"/>
                <w:highlight w:val="none"/>
              </w:rPr>
              <w:t>2019</w:t>
            </w:r>
            <w:r>
              <w:rPr>
                <w:rFonts w:hint="eastAsia" w:cs="宋体"/>
                <w:b/>
                <w:bCs/>
                <w:color w:val="auto"/>
                <w:sz w:val="24"/>
                <w:szCs w:val="32"/>
                <w:highlight w:val="none"/>
              </w:rPr>
              <w:t>〕</w:t>
            </w:r>
            <w:r>
              <w:rPr>
                <w:b/>
                <w:bCs/>
                <w:color w:val="auto"/>
                <w:sz w:val="24"/>
                <w:szCs w:val="32"/>
                <w:highlight w:val="none"/>
              </w:rPr>
              <w:t>56</w:t>
            </w:r>
            <w:r>
              <w:rPr>
                <w:rFonts w:hint="eastAsia" w:cs="宋体"/>
                <w:b/>
                <w:bCs/>
                <w:color w:val="auto"/>
                <w:sz w:val="24"/>
                <w:szCs w:val="32"/>
                <w:highlight w:val="none"/>
              </w:rPr>
              <w:t>号）</w:t>
            </w:r>
            <w:r>
              <w:rPr>
                <w:rFonts w:hint="eastAsia" w:cs="宋体"/>
                <w:b/>
                <w:bCs/>
                <w:color w:val="auto"/>
                <w:kern w:val="0"/>
                <w:sz w:val="24"/>
                <w:szCs w:val="32"/>
                <w:highlight w:val="none"/>
              </w:rPr>
              <w:t>符合性分析</w:t>
            </w:r>
          </w:p>
          <w:p w14:paraId="1266A8A5">
            <w:pPr>
              <w:pageBreakBefore w:val="0"/>
              <w:kinsoku/>
              <w:wordWrap/>
              <w:overflowPunct/>
              <w:topLinePunct w:val="0"/>
              <w:bidi w:val="0"/>
              <w:adjustRightInd/>
              <w:snapToGrid/>
              <w:jc w:val="center"/>
              <w:rPr>
                <w:rFonts w:cs="宋体"/>
                <w:b/>
                <w:bCs/>
                <w:color w:val="auto"/>
                <w:sz w:val="24"/>
                <w:szCs w:val="32"/>
                <w:highlight w:val="none"/>
              </w:rPr>
            </w:pPr>
            <w:r>
              <w:rPr>
                <w:rFonts w:hint="eastAsia" w:cs="宋体"/>
                <w:b/>
                <w:bCs/>
                <w:color w:val="auto"/>
                <w:sz w:val="24"/>
                <w:szCs w:val="32"/>
                <w:highlight w:val="none"/>
              </w:rPr>
              <w:t>表1-</w:t>
            </w:r>
            <w:r>
              <w:rPr>
                <w:rFonts w:hint="eastAsia" w:cs="宋体"/>
                <w:b/>
                <w:bCs/>
                <w:color w:val="auto"/>
                <w:sz w:val="24"/>
                <w:szCs w:val="32"/>
                <w:highlight w:val="none"/>
                <w:lang w:val="en-US" w:eastAsia="zh-CN"/>
              </w:rPr>
              <w:t xml:space="preserve">7 </w:t>
            </w:r>
            <w:r>
              <w:rPr>
                <w:rFonts w:hint="eastAsia" w:cs="宋体"/>
                <w:b/>
                <w:bCs/>
                <w:color w:val="auto"/>
                <w:sz w:val="24"/>
                <w:szCs w:val="32"/>
                <w:highlight w:val="none"/>
              </w:rPr>
              <w:t xml:space="preserve"> 与《工业炉窑大气污染综合治理方案》符合性判定</w:t>
            </w:r>
          </w:p>
          <w:tbl>
            <w:tblPr>
              <w:tblStyle w:val="25"/>
              <w:tblW w:w="4995"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4521"/>
              <w:gridCol w:w="2031"/>
              <w:gridCol w:w="859"/>
            </w:tblGrid>
            <w:tr w14:paraId="6785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tcBorders>
                    <w:top w:val="single" w:color="auto" w:sz="4" w:space="0"/>
                    <w:left w:val="single" w:color="auto" w:sz="4" w:space="0"/>
                    <w:bottom w:val="single" w:color="auto" w:sz="4" w:space="0"/>
                    <w:right w:val="single" w:color="auto" w:sz="4" w:space="0"/>
                  </w:tcBorders>
                  <w:vAlign w:val="center"/>
                </w:tcPr>
                <w:p w14:paraId="122642C1">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序号</w:t>
                  </w:r>
                </w:p>
              </w:tc>
              <w:tc>
                <w:tcPr>
                  <w:tcW w:w="2823" w:type="pct"/>
                  <w:tcBorders>
                    <w:top w:val="single" w:color="auto" w:sz="4" w:space="0"/>
                    <w:left w:val="single" w:color="auto" w:sz="4" w:space="0"/>
                    <w:bottom w:val="single" w:color="auto" w:sz="4" w:space="0"/>
                    <w:right w:val="single" w:color="auto" w:sz="4" w:space="0"/>
                  </w:tcBorders>
                  <w:vAlign w:val="center"/>
                </w:tcPr>
                <w:p w14:paraId="4BDA74F2">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《工业炉窑大气污染综合治理方案》要求内容</w:t>
                  </w:r>
                </w:p>
              </w:tc>
              <w:tc>
                <w:tcPr>
                  <w:tcW w:w="1268" w:type="pct"/>
                  <w:tcBorders>
                    <w:top w:val="single" w:color="auto" w:sz="4" w:space="0"/>
                    <w:left w:val="single" w:color="auto" w:sz="4" w:space="0"/>
                    <w:bottom w:val="single" w:color="auto" w:sz="4" w:space="0"/>
                    <w:right w:val="single" w:color="auto" w:sz="4" w:space="0"/>
                  </w:tcBorders>
                  <w:vAlign w:val="center"/>
                </w:tcPr>
                <w:p w14:paraId="147AC643">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本项目</w:t>
                  </w:r>
                </w:p>
              </w:tc>
              <w:tc>
                <w:tcPr>
                  <w:tcW w:w="536" w:type="pct"/>
                  <w:tcBorders>
                    <w:top w:val="single" w:color="auto" w:sz="4" w:space="0"/>
                    <w:left w:val="single" w:color="auto" w:sz="4" w:space="0"/>
                    <w:bottom w:val="single" w:color="auto" w:sz="4" w:space="0"/>
                    <w:right w:val="single" w:color="auto" w:sz="4" w:space="0"/>
                  </w:tcBorders>
                  <w:vAlign w:val="center"/>
                </w:tcPr>
                <w:p w14:paraId="33C495D2">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相符性</w:t>
                  </w:r>
                </w:p>
              </w:tc>
            </w:tr>
            <w:tr w14:paraId="5D75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top w:val="single" w:color="auto" w:sz="4" w:space="0"/>
                    <w:left w:val="single" w:color="auto" w:sz="4" w:space="0"/>
                    <w:bottom w:val="single" w:color="auto" w:sz="4" w:space="0"/>
                    <w:right w:val="single" w:color="auto" w:sz="4" w:space="0"/>
                  </w:tcBorders>
                  <w:vAlign w:val="center"/>
                </w:tcPr>
                <w:p w14:paraId="0100B5FC">
                  <w:pPr>
                    <w:pageBreakBefore w:val="0"/>
                    <w:kinsoku/>
                    <w:wordWrap/>
                    <w:overflowPunct/>
                    <w:topLinePunct w:val="0"/>
                    <w:bidi w:val="0"/>
                    <w:adjustRightInd/>
                    <w:snapToGrid/>
                    <w:jc w:val="center"/>
                    <w:rPr>
                      <w:color w:val="auto"/>
                      <w:szCs w:val="21"/>
                      <w:highlight w:val="none"/>
                    </w:rPr>
                  </w:pPr>
                  <w:r>
                    <w:rPr>
                      <w:color w:val="auto"/>
                      <w:szCs w:val="21"/>
                      <w:highlight w:val="none"/>
                    </w:rPr>
                    <w:t>1</w:t>
                  </w:r>
                </w:p>
              </w:tc>
              <w:tc>
                <w:tcPr>
                  <w:tcW w:w="2823" w:type="pct"/>
                  <w:tcBorders>
                    <w:top w:val="single" w:color="auto" w:sz="4" w:space="0"/>
                    <w:left w:val="single" w:color="auto" w:sz="4" w:space="0"/>
                    <w:bottom w:val="single" w:color="auto" w:sz="4" w:space="0"/>
                    <w:right w:val="single" w:color="auto" w:sz="4" w:space="0"/>
                  </w:tcBorders>
                  <w:vAlign w:val="center"/>
                </w:tcPr>
                <w:p w14:paraId="6F527AF1">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加大落后产能和不达标工业炉窑淘汰力度。分行业清理《产业结构调整指导目录》淘汰类工业炉窑。鼓励各地制定更加严格的环保标准，进一步促进产业结构调整。</w:t>
                  </w:r>
                </w:p>
              </w:tc>
              <w:tc>
                <w:tcPr>
                  <w:tcW w:w="1268" w:type="pct"/>
                  <w:tcBorders>
                    <w:top w:val="single" w:color="auto" w:sz="4" w:space="0"/>
                    <w:left w:val="single" w:color="auto" w:sz="4" w:space="0"/>
                    <w:bottom w:val="single" w:color="auto" w:sz="4" w:space="0"/>
                    <w:right w:val="single" w:color="auto" w:sz="4" w:space="0"/>
                  </w:tcBorders>
                  <w:vAlign w:val="center"/>
                </w:tcPr>
                <w:p w14:paraId="1014AA5B">
                  <w:pPr>
                    <w:pageBreakBefore w:val="0"/>
                    <w:kinsoku/>
                    <w:wordWrap/>
                    <w:overflowPunct/>
                    <w:topLinePunct w:val="0"/>
                    <w:bidi w:val="0"/>
                    <w:adjustRightInd/>
                    <w:snapToGrid/>
                    <w:jc w:val="center"/>
                    <w:rPr>
                      <w:rFonts w:hint="eastAsia" w:eastAsia="宋体"/>
                      <w:color w:val="auto"/>
                      <w:szCs w:val="21"/>
                      <w:highlight w:val="none"/>
                      <w:lang w:eastAsia="zh-CN"/>
                    </w:rPr>
                  </w:pPr>
                  <w:r>
                    <w:rPr>
                      <w:rFonts w:hint="eastAsia" w:cs="宋体"/>
                      <w:color w:val="auto"/>
                      <w:szCs w:val="21"/>
                      <w:highlight w:val="none"/>
                      <w:lang w:val="en-US" w:eastAsia="zh-CN"/>
                    </w:rPr>
                    <w:t>本项目涉及天然气工业炉窑，项目位于安徽淮北相山经济开发园区内；</w:t>
                  </w:r>
                  <w:r>
                    <w:rPr>
                      <w:rFonts w:hint="eastAsia" w:ascii="Times New Roman" w:hAnsi="Times New Roman" w:eastAsia="宋体" w:cs="宋体"/>
                      <w:color w:val="auto"/>
                      <w:szCs w:val="21"/>
                      <w:highlight w:val="none"/>
                    </w:rPr>
                    <w:t>本项目</w:t>
                  </w:r>
                  <w:r>
                    <w:rPr>
                      <w:rFonts w:hint="default" w:ascii="Times New Roman" w:hAnsi="Times New Roman" w:eastAsia="宋体" w:cs="宋体"/>
                      <w:color w:val="auto"/>
                      <w:szCs w:val="21"/>
                      <w:highlight w:val="none"/>
                    </w:rPr>
                    <w:t>C</w:t>
                  </w:r>
                  <w:r>
                    <w:rPr>
                      <w:rFonts w:hint="eastAsia" w:ascii="Times New Roman" w:hAnsi="Times New Roman" w:eastAsia="宋体" w:cs="宋体"/>
                      <w:color w:val="auto"/>
                      <w:szCs w:val="21"/>
                      <w:highlight w:val="none"/>
                      <w:lang w:val="en-US" w:eastAsia="zh-CN"/>
                    </w:rPr>
                    <w:t>3312金属门窗制造</w:t>
                  </w:r>
                  <w:r>
                    <w:rPr>
                      <w:rFonts w:hint="eastAsia" w:ascii="Times New Roman" w:hAnsi="Times New Roman" w:eastAsia="宋体" w:cs="宋体"/>
                      <w:color w:val="auto"/>
                      <w:szCs w:val="21"/>
                      <w:highlight w:val="none"/>
                    </w:rPr>
                    <w:t>。不属于钢铁、焦化、电解铝、铸造、水泥和平板玻璃等产业</w:t>
                  </w:r>
                  <w:r>
                    <w:rPr>
                      <w:rFonts w:hint="eastAsia" w:ascii="Times New Roman" w:hAnsi="Times New Roman" w:eastAsia="宋体" w:cs="宋体"/>
                      <w:color w:val="auto"/>
                      <w:szCs w:val="21"/>
                      <w:highlight w:val="none"/>
                      <w:lang w:eastAsia="zh-CN"/>
                    </w:rPr>
                    <w:t>。</w:t>
                  </w:r>
                </w:p>
              </w:tc>
              <w:tc>
                <w:tcPr>
                  <w:tcW w:w="536" w:type="pct"/>
                  <w:tcBorders>
                    <w:top w:val="single" w:color="auto" w:sz="4" w:space="0"/>
                    <w:left w:val="single" w:color="auto" w:sz="4" w:space="0"/>
                    <w:bottom w:val="single" w:color="auto" w:sz="4" w:space="0"/>
                    <w:right w:val="single" w:color="auto" w:sz="4" w:space="0"/>
                  </w:tcBorders>
                  <w:vAlign w:val="center"/>
                </w:tcPr>
                <w:p w14:paraId="0EB59E85">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符合</w:t>
                  </w:r>
                </w:p>
              </w:tc>
            </w:tr>
            <w:tr w14:paraId="3946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top w:val="single" w:color="auto" w:sz="4" w:space="0"/>
                    <w:left w:val="single" w:color="auto" w:sz="4" w:space="0"/>
                    <w:bottom w:val="single" w:color="auto" w:sz="4" w:space="0"/>
                    <w:right w:val="single" w:color="auto" w:sz="4" w:space="0"/>
                  </w:tcBorders>
                  <w:vAlign w:val="center"/>
                </w:tcPr>
                <w:p w14:paraId="1574F5B0">
                  <w:pPr>
                    <w:pageBreakBefore w:val="0"/>
                    <w:kinsoku/>
                    <w:wordWrap/>
                    <w:overflowPunct/>
                    <w:topLinePunct w:val="0"/>
                    <w:bidi w:val="0"/>
                    <w:adjustRightInd/>
                    <w:snapToGrid/>
                    <w:jc w:val="center"/>
                    <w:rPr>
                      <w:color w:val="auto"/>
                      <w:szCs w:val="21"/>
                      <w:highlight w:val="none"/>
                    </w:rPr>
                  </w:pPr>
                  <w:r>
                    <w:rPr>
                      <w:color w:val="auto"/>
                      <w:szCs w:val="21"/>
                      <w:highlight w:val="none"/>
                    </w:rPr>
                    <w:t>2</w:t>
                  </w:r>
                </w:p>
              </w:tc>
              <w:tc>
                <w:tcPr>
                  <w:tcW w:w="2823" w:type="pct"/>
                  <w:tcBorders>
                    <w:top w:val="single" w:color="auto" w:sz="4" w:space="0"/>
                    <w:left w:val="single" w:color="auto" w:sz="4" w:space="0"/>
                    <w:bottom w:val="single" w:color="auto" w:sz="4" w:space="0"/>
                    <w:right w:val="single" w:color="auto" w:sz="4" w:space="0"/>
                  </w:tcBorders>
                  <w:vAlign w:val="center"/>
                </w:tcPr>
                <w:p w14:paraId="39CA4A55">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（二）加快燃料清洁低预氧化替代。对以煤、石油焦、渣油、重油等为燃料的工业炉窑，加快使用清洁低碳能源以及利用工厂余热、电厂热力等进行替代。重点区域禁止掺烧高硫石油焦（硫含量大于</w:t>
                  </w:r>
                  <w:r>
                    <w:rPr>
                      <w:color w:val="auto"/>
                      <w:szCs w:val="21"/>
                      <w:highlight w:val="none"/>
                    </w:rPr>
                    <w:t>3%</w:t>
                  </w:r>
                  <w:r>
                    <w:rPr>
                      <w:rFonts w:hint="eastAsia" w:cs="宋体"/>
                      <w:color w:val="auto"/>
                      <w:szCs w:val="21"/>
                      <w:highlight w:val="none"/>
                    </w:rPr>
                    <w:t>）。玻璃行业全面禁止掺烧高硫石油焦。加大煤气发生炉淘汰力度。</w:t>
                  </w:r>
                  <w:r>
                    <w:rPr>
                      <w:color w:val="auto"/>
                      <w:szCs w:val="21"/>
                      <w:highlight w:val="none"/>
                    </w:rPr>
                    <w:t>2020</w:t>
                  </w:r>
                  <w:r>
                    <w:rPr>
                      <w:rFonts w:hint="eastAsia" w:cs="宋体"/>
                      <w:color w:val="auto"/>
                      <w:szCs w:val="21"/>
                      <w:highlight w:val="none"/>
                    </w:rPr>
                    <w:t>年年底前，重点区域淘汰炉膛直径</w:t>
                  </w:r>
                  <w:r>
                    <w:rPr>
                      <w:color w:val="auto"/>
                      <w:szCs w:val="21"/>
                      <w:highlight w:val="none"/>
                    </w:rPr>
                    <w:t>3</w:t>
                  </w:r>
                  <w:r>
                    <w:rPr>
                      <w:rFonts w:hint="eastAsia" w:cs="宋体"/>
                      <w:color w:val="auto"/>
                      <w:szCs w:val="21"/>
                      <w:highlight w:val="none"/>
                    </w:rPr>
                    <w:t>米以下燃料类煤气发生炉；集中使用煤气发生炉的工业园区，暂不具备改用天然气条件的，原则上应建设统一的清洁煤制气中心。加快淘汰燃煤工业炉窑。重点区域取缔燃煤热风炉，基本淘汰热电联产供热管网覆盖范围内的燃煤加热、烘干炉（窑）。加快推动铸造（</w:t>
                  </w:r>
                  <w:r>
                    <w:rPr>
                      <w:color w:val="auto"/>
                      <w:szCs w:val="21"/>
                      <w:highlight w:val="none"/>
                    </w:rPr>
                    <w:t>10</w:t>
                  </w:r>
                  <w:r>
                    <w:rPr>
                      <w:rFonts w:hint="eastAsia" w:cs="宋体"/>
                      <w:color w:val="auto"/>
                      <w:szCs w:val="21"/>
                      <w:highlight w:val="none"/>
                    </w:rPr>
                    <w:t>吨</w:t>
                  </w:r>
                  <w:r>
                    <w:rPr>
                      <w:color w:val="auto"/>
                      <w:szCs w:val="21"/>
                      <w:highlight w:val="none"/>
                    </w:rPr>
                    <w:t>/</w:t>
                  </w:r>
                  <w:r>
                    <w:rPr>
                      <w:rFonts w:hint="eastAsia" w:cs="宋体"/>
                      <w:color w:val="auto"/>
                      <w:szCs w:val="21"/>
                      <w:highlight w:val="none"/>
                    </w:rPr>
                    <w:t>小时及以下）、岩棉等行业冲天炉改为电炉。</w:t>
                  </w:r>
                </w:p>
              </w:tc>
              <w:tc>
                <w:tcPr>
                  <w:tcW w:w="1268" w:type="pct"/>
                  <w:tcBorders>
                    <w:top w:val="single" w:color="auto" w:sz="4" w:space="0"/>
                    <w:left w:val="single" w:color="auto" w:sz="4" w:space="0"/>
                    <w:bottom w:val="single" w:color="auto" w:sz="4" w:space="0"/>
                    <w:right w:val="single" w:color="auto" w:sz="4" w:space="0"/>
                  </w:tcBorders>
                  <w:vAlign w:val="center"/>
                </w:tcPr>
                <w:p w14:paraId="0FC32959">
                  <w:pPr>
                    <w:pStyle w:val="7"/>
                    <w:pageBreakBefore w:val="0"/>
                    <w:kinsoku/>
                    <w:wordWrap/>
                    <w:overflowPunct/>
                    <w:topLinePunct w:val="0"/>
                    <w:bidi w:val="0"/>
                    <w:adjustRightInd/>
                    <w:snapToGrid/>
                    <w:jc w:val="center"/>
                    <w:rPr>
                      <w:rFonts w:hint="eastAsia" w:eastAsia="宋体"/>
                      <w:color w:val="auto"/>
                      <w:szCs w:val="21"/>
                      <w:highlight w:val="none"/>
                      <w:lang w:eastAsia="zh-CN"/>
                    </w:rPr>
                  </w:pPr>
                  <w:r>
                    <w:rPr>
                      <w:rFonts w:hint="eastAsia" w:cs="宋体"/>
                      <w:color w:val="auto"/>
                      <w:szCs w:val="21"/>
                      <w:highlight w:val="none"/>
                    </w:rPr>
                    <w:t>本项目固化过程中烘干使用天然气，天然气为清洁能源</w:t>
                  </w:r>
                  <w:r>
                    <w:rPr>
                      <w:rFonts w:hint="eastAsia" w:cs="宋体"/>
                      <w:color w:val="auto"/>
                      <w:szCs w:val="21"/>
                      <w:highlight w:val="none"/>
                      <w:lang w:eastAsia="zh-CN"/>
                    </w:rPr>
                    <w:t>。</w:t>
                  </w:r>
                </w:p>
              </w:tc>
              <w:tc>
                <w:tcPr>
                  <w:tcW w:w="536" w:type="pct"/>
                  <w:tcBorders>
                    <w:top w:val="single" w:color="auto" w:sz="4" w:space="0"/>
                    <w:left w:val="single" w:color="auto" w:sz="4" w:space="0"/>
                    <w:bottom w:val="single" w:color="auto" w:sz="4" w:space="0"/>
                    <w:right w:val="single" w:color="auto" w:sz="4" w:space="0"/>
                  </w:tcBorders>
                  <w:vAlign w:val="center"/>
                </w:tcPr>
                <w:p w14:paraId="443F6CD2">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符合</w:t>
                  </w:r>
                </w:p>
              </w:tc>
            </w:tr>
            <w:tr w14:paraId="108D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top w:val="single" w:color="auto" w:sz="4" w:space="0"/>
                    <w:left w:val="single" w:color="auto" w:sz="4" w:space="0"/>
                    <w:bottom w:val="single" w:color="auto" w:sz="4" w:space="0"/>
                    <w:right w:val="single" w:color="auto" w:sz="4" w:space="0"/>
                  </w:tcBorders>
                  <w:vAlign w:val="center"/>
                </w:tcPr>
                <w:p w14:paraId="6850DD78">
                  <w:pPr>
                    <w:pageBreakBefore w:val="0"/>
                    <w:kinsoku/>
                    <w:wordWrap/>
                    <w:overflowPunct/>
                    <w:topLinePunct w:val="0"/>
                    <w:bidi w:val="0"/>
                    <w:adjustRightInd/>
                    <w:snapToGrid/>
                    <w:jc w:val="center"/>
                    <w:rPr>
                      <w:color w:val="auto"/>
                      <w:szCs w:val="21"/>
                      <w:highlight w:val="none"/>
                    </w:rPr>
                  </w:pPr>
                  <w:r>
                    <w:rPr>
                      <w:color w:val="auto"/>
                      <w:szCs w:val="21"/>
                      <w:highlight w:val="none"/>
                    </w:rPr>
                    <w:t>3</w:t>
                  </w:r>
                </w:p>
              </w:tc>
              <w:tc>
                <w:tcPr>
                  <w:tcW w:w="2823" w:type="pct"/>
                  <w:tcBorders>
                    <w:top w:val="single" w:color="auto" w:sz="4" w:space="0"/>
                    <w:left w:val="single" w:color="auto" w:sz="4" w:space="0"/>
                    <w:bottom w:val="single" w:color="auto" w:sz="4" w:space="0"/>
                    <w:right w:val="single" w:color="auto" w:sz="4" w:space="0"/>
                  </w:tcBorders>
                  <w:vAlign w:val="center"/>
                </w:tcPr>
                <w:p w14:paraId="5CB6DDB0">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三）实施污染深度治理。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w:t>
                  </w:r>
                  <w:r>
                    <w:rPr>
                      <w:color w:val="auto"/>
                      <w:szCs w:val="21"/>
                      <w:highlight w:val="none"/>
                    </w:rPr>
                    <w:t>VOCs</w:t>
                  </w:r>
                  <w:r>
                    <w:rPr>
                      <w:rFonts w:hint="eastAsia" w:cs="宋体"/>
                      <w:color w:val="auto"/>
                      <w:szCs w:val="21"/>
                      <w:highlight w:val="none"/>
                    </w:rPr>
                    <w:t>）排放全面执行大气污染物特别排放限值。已核发排污许可证的，应严格执行许可要求。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铸造行业烧结、高炉工序污染排放控制按照钢铁行业相关标准要求执行；重点区域原则上按照颗粒物、二氧化硫、氮氧化物排放限值分别不高于</w:t>
                  </w:r>
                  <w:r>
                    <w:rPr>
                      <w:color w:val="auto"/>
                      <w:szCs w:val="21"/>
                      <w:highlight w:val="none"/>
                    </w:rPr>
                    <w:t>30</w:t>
                  </w:r>
                  <w:r>
                    <w:rPr>
                      <w:rFonts w:hint="eastAsia" w:cs="宋体"/>
                      <w:color w:val="auto"/>
                      <w:szCs w:val="21"/>
                      <w:highlight w:val="none"/>
                    </w:rPr>
                    <w:t>、</w:t>
                  </w:r>
                  <w:r>
                    <w:rPr>
                      <w:color w:val="auto"/>
                      <w:szCs w:val="21"/>
                      <w:highlight w:val="none"/>
                    </w:rPr>
                    <w:t>200</w:t>
                  </w:r>
                  <w:r>
                    <w:rPr>
                      <w:rFonts w:hint="eastAsia" w:cs="宋体"/>
                      <w:color w:val="auto"/>
                      <w:szCs w:val="21"/>
                      <w:highlight w:val="none"/>
                    </w:rPr>
                    <w:t>、</w:t>
                  </w:r>
                  <w:r>
                    <w:rPr>
                      <w:color w:val="auto"/>
                      <w:szCs w:val="21"/>
                      <w:highlight w:val="none"/>
                    </w:rPr>
                    <w:t>300</w:t>
                  </w:r>
                  <w:r>
                    <w:rPr>
                      <w:rFonts w:hint="eastAsia" w:cs="宋体"/>
                      <w:color w:val="auto"/>
                      <w:szCs w:val="21"/>
                      <w:highlight w:val="none"/>
                    </w:rPr>
                    <w:t>毫克</w:t>
                  </w:r>
                  <w:r>
                    <w:rPr>
                      <w:color w:val="auto"/>
                      <w:szCs w:val="21"/>
                      <w:highlight w:val="none"/>
                    </w:rPr>
                    <w:t>/</w:t>
                  </w:r>
                  <w:r>
                    <w:rPr>
                      <w:rFonts w:hint="eastAsia" w:cs="宋体"/>
                      <w:color w:val="auto"/>
                      <w:szCs w:val="21"/>
                      <w:highlight w:val="none"/>
                    </w:rPr>
                    <w:t>立方米实施改造，其中，日用玻璃、玻璃棉氮氧化物排放限值不高于</w:t>
                  </w:r>
                  <w:r>
                    <w:rPr>
                      <w:color w:val="auto"/>
                      <w:szCs w:val="21"/>
                      <w:highlight w:val="none"/>
                    </w:rPr>
                    <w:t>400</w:t>
                  </w:r>
                  <w:r>
                    <w:rPr>
                      <w:rFonts w:hint="eastAsia" w:cs="宋体"/>
                      <w:color w:val="auto"/>
                      <w:szCs w:val="21"/>
                      <w:highlight w:val="none"/>
                    </w:rPr>
                    <w:t>毫克</w:t>
                  </w:r>
                  <w:r>
                    <w:rPr>
                      <w:color w:val="auto"/>
                      <w:szCs w:val="21"/>
                      <w:highlight w:val="none"/>
                    </w:rPr>
                    <w:t>/</w:t>
                  </w:r>
                  <w:r>
                    <w:rPr>
                      <w:rFonts w:hint="eastAsia" w:cs="宋体"/>
                      <w:color w:val="auto"/>
                      <w:szCs w:val="21"/>
                      <w:highlight w:val="none"/>
                    </w:rPr>
                    <w:t>立方米；已制定更严格地方排放标准的地区，执行地方排放标准。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w:t>
                  </w:r>
                </w:p>
              </w:tc>
              <w:tc>
                <w:tcPr>
                  <w:tcW w:w="1268" w:type="pct"/>
                  <w:tcBorders>
                    <w:top w:val="single" w:color="auto" w:sz="4" w:space="0"/>
                    <w:left w:val="single" w:color="auto" w:sz="4" w:space="0"/>
                    <w:bottom w:val="single" w:color="auto" w:sz="4" w:space="0"/>
                    <w:right w:val="single" w:color="auto" w:sz="4" w:space="0"/>
                  </w:tcBorders>
                  <w:vAlign w:val="center"/>
                </w:tcPr>
                <w:p w14:paraId="4985C702">
                  <w:pPr>
                    <w:pStyle w:val="7"/>
                    <w:keepNext w:val="0"/>
                    <w:keepLines w:val="0"/>
                    <w:pageBreakBefore w:val="0"/>
                    <w:widowControl w:val="0"/>
                    <w:kinsoku/>
                    <w:wordWrap/>
                    <w:overflowPunct/>
                    <w:topLinePunct w:val="0"/>
                    <w:autoSpaceDE/>
                    <w:autoSpaceDN/>
                    <w:bidi w:val="0"/>
                    <w:adjustRightInd/>
                    <w:snapToGrid/>
                    <w:jc w:val="center"/>
                    <w:textAlignment w:val="auto"/>
                    <w:rPr>
                      <w:color w:val="auto"/>
                      <w:szCs w:val="21"/>
                      <w:highlight w:val="none"/>
                    </w:rPr>
                  </w:pPr>
                  <w:r>
                    <w:rPr>
                      <w:rFonts w:hint="eastAsia" w:ascii="Times New Roman" w:hAnsi="Times New Roman" w:eastAsia="宋体" w:cs="宋体"/>
                      <w:color w:val="auto"/>
                      <w:szCs w:val="21"/>
                      <w:highlight w:val="none"/>
                    </w:rPr>
                    <w:t>本项目</w:t>
                  </w:r>
                  <w:r>
                    <w:rPr>
                      <w:rFonts w:hint="eastAsia" w:cs="宋体"/>
                      <w:color w:val="auto"/>
                      <w:szCs w:val="21"/>
                      <w:highlight w:val="none"/>
                      <w:lang w:val="en-US" w:eastAsia="zh-CN"/>
                    </w:rPr>
                    <w:t>产品主要为</w:t>
                  </w:r>
                  <w:r>
                    <w:rPr>
                      <w:rFonts w:hint="eastAsia" w:ascii="Times New Roman" w:hAnsi="Times New Roman" w:eastAsia="宋体" w:cs="宋体"/>
                      <w:color w:val="auto"/>
                      <w:szCs w:val="21"/>
                      <w:highlight w:val="none"/>
                      <w:lang w:val="en-US" w:eastAsia="zh-CN"/>
                    </w:rPr>
                    <w:t>金属铝单板、</w:t>
                  </w:r>
                  <w:r>
                    <w:rPr>
                      <w:rFonts w:hint="eastAsia" w:cs="宋体"/>
                      <w:color w:val="auto"/>
                      <w:szCs w:val="21"/>
                      <w:highlight w:val="none"/>
                      <w:lang w:val="en-US" w:eastAsia="zh-CN"/>
                    </w:rPr>
                    <w:t>护栏</w:t>
                  </w:r>
                  <w:r>
                    <w:rPr>
                      <w:rFonts w:hint="eastAsia" w:ascii="Times New Roman" w:hAnsi="Times New Roman" w:eastAsia="宋体" w:cs="宋体"/>
                      <w:color w:val="auto"/>
                      <w:szCs w:val="21"/>
                      <w:highlight w:val="none"/>
                      <w:lang w:val="en-US" w:eastAsia="zh-CN"/>
                    </w:rPr>
                    <w:t>等</w:t>
                  </w:r>
                  <w:r>
                    <w:rPr>
                      <w:rFonts w:hint="eastAsia" w:ascii="Times New Roman" w:hAnsi="Times New Roman" w:eastAsia="宋体" w:cs="宋体"/>
                      <w:color w:val="auto"/>
                      <w:szCs w:val="21"/>
                      <w:highlight w:val="none"/>
                    </w:rPr>
                    <w:t>，属于“</w:t>
                  </w:r>
                  <w:r>
                    <w:rPr>
                      <w:rFonts w:hint="default" w:ascii="Times New Roman" w:hAnsi="Times New Roman" w:eastAsia="宋体" w:cs="宋体"/>
                      <w:color w:val="auto"/>
                      <w:szCs w:val="21"/>
                      <w:highlight w:val="none"/>
                    </w:rPr>
                    <w:t>C</w:t>
                  </w:r>
                  <w:r>
                    <w:rPr>
                      <w:rFonts w:hint="eastAsia" w:ascii="Times New Roman" w:hAnsi="Times New Roman" w:eastAsia="宋体" w:cs="宋体"/>
                      <w:color w:val="auto"/>
                      <w:szCs w:val="21"/>
                      <w:highlight w:val="none"/>
                      <w:lang w:val="en-US" w:eastAsia="zh-CN"/>
                    </w:rPr>
                    <w:t>3312金属门窗制造</w:t>
                  </w:r>
                  <w:r>
                    <w:rPr>
                      <w:rFonts w:hint="eastAsia" w:ascii="Times New Roman" w:hAnsi="Times New Roman" w:eastAsia="宋体" w:cs="宋体"/>
                      <w:color w:val="auto"/>
                      <w:szCs w:val="21"/>
                      <w:highlight w:val="none"/>
                    </w:rPr>
                    <w:t>”，不属于钢铁、水泥、焦化、石</w:t>
                  </w:r>
                  <w:r>
                    <w:rPr>
                      <w:rFonts w:hint="eastAsia" w:cs="宋体"/>
                      <w:color w:val="auto"/>
                      <w:szCs w:val="21"/>
                      <w:highlight w:val="none"/>
                    </w:rPr>
                    <w:t>化、化工、有色等行业。</w:t>
                  </w:r>
                </w:p>
                <w:p w14:paraId="17D5F908">
                  <w:pPr>
                    <w:pStyle w:val="7"/>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Cs w:val="21"/>
                      <w:highlight w:val="none"/>
                      <w:lang w:eastAsia="zh-CN"/>
                    </w:rPr>
                  </w:pPr>
                  <w:r>
                    <w:rPr>
                      <w:rFonts w:hint="eastAsia" w:cs="宋体"/>
                      <w:color w:val="auto"/>
                      <w:szCs w:val="21"/>
                      <w:highlight w:val="none"/>
                    </w:rPr>
                    <w:t>固化过程中天然气燃烧产生的废气满足颗粒物、二氧化硫、氮氧化物排放限值分别不高于</w:t>
                  </w:r>
                  <w:r>
                    <w:rPr>
                      <w:color w:val="auto"/>
                      <w:szCs w:val="21"/>
                      <w:highlight w:val="none"/>
                    </w:rPr>
                    <w:t>30</w:t>
                  </w:r>
                  <w:r>
                    <w:rPr>
                      <w:rFonts w:hint="eastAsia" w:cs="宋体"/>
                      <w:color w:val="auto"/>
                      <w:szCs w:val="21"/>
                      <w:highlight w:val="none"/>
                    </w:rPr>
                    <w:t>、</w:t>
                  </w:r>
                  <w:r>
                    <w:rPr>
                      <w:color w:val="auto"/>
                      <w:szCs w:val="21"/>
                      <w:highlight w:val="none"/>
                    </w:rPr>
                    <w:t>200</w:t>
                  </w:r>
                  <w:r>
                    <w:rPr>
                      <w:rFonts w:hint="eastAsia" w:cs="宋体"/>
                      <w:color w:val="auto"/>
                      <w:szCs w:val="21"/>
                      <w:highlight w:val="none"/>
                    </w:rPr>
                    <w:t>、</w:t>
                  </w:r>
                  <w:r>
                    <w:rPr>
                      <w:color w:val="auto"/>
                      <w:szCs w:val="21"/>
                      <w:highlight w:val="none"/>
                    </w:rPr>
                    <w:t>300</w:t>
                  </w:r>
                  <w:r>
                    <w:rPr>
                      <w:rFonts w:hint="eastAsia" w:cs="宋体"/>
                      <w:color w:val="auto"/>
                      <w:szCs w:val="21"/>
                      <w:highlight w:val="none"/>
                    </w:rPr>
                    <w:t>毫克</w:t>
                  </w:r>
                  <w:r>
                    <w:rPr>
                      <w:color w:val="auto"/>
                      <w:szCs w:val="21"/>
                      <w:highlight w:val="none"/>
                    </w:rPr>
                    <w:t>/</w:t>
                  </w:r>
                  <w:r>
                    <w:rPr>
                      <w:rFonts w:hint="eastAsia" w:cs="宋体"/>
                      <w:color w:val="auto"/>
                      <w:szCs w:val="21"/>
                      <w:highlight w:val="none"/>
                    </w:rPr>
                    <w:t>立方米的要求</w:t>
                  </w:r>
                  <w:r>
                    <w:rPr>
                      <w:rFonts w:hint="eastAsia" w:cs="宋体"/>
                      <w:color w:val="auto"/>
                      <w:szCs w:val="21"/>
                      <w:highlight w:val="none"/>
                      <w:lang w:eastAsia="zh-CN"/>
                    </w:rPr>
                    <w:t>。</w:t>
                  </w:r>
                </w:p>
              </w:tc>
              <w:tc>
                <w:tcPr>
                  <w:tcW w:w="536" w:type="pct"/>
                  <w:tcBorders>
                    <w:top w:val="single" w:color="auto" w:sz="4" w:space="0"/>
                    <w:left w:val="single" w:color="auto" w:sz="4" w:space="0"/>
                    <w:bottom w:val="single" w:color="auto" w:sz="4" w:space="0"/>
                    <w:right w:val="single" w:color="auto" w:sz="4" w:space="0"/>
                  </w:tcBorders>
                  <w:vAlign w:val="center"/>
                </w:tcPr>
                <w:p w14:paraId="679EF3D5">
                  <w:pPr>
                    <w:pageBreakBefore w:val="0"/>
                    <w:kinsoku/>
                    <w:wordWrap/>
                    <w:overflowPunct/>
                    <w:topLinePunct w:val="0"/>
                    <w:bidi w:val="0"/>
                    <w:adjustRightInd/>
                    <w:snapToGrid/>
                    <w:jc w:val="center"/>
                    <w:rPr>
                      <w:color w:val="auto"/>
                      <w:szCs w:val="21"/>
                      <w:highlight w:val="none"/>
                    </w:rPr>
                  </w:pPr>
                  <w:r>
                    <w:rPr>
                      <w:rFonts w:hint="eastAsia" w:cs="宋体"/>
                      <w:color w:val="auto"/>
                      <w:szCs w:val="21"/>
                      <w:highlight w:val="none"/>
                    </w:rPr>
                    <w:t>符合</w:t>
                  </w:r>
                </w:p>
              </w:tc>
            </w:tr>
          </w:tbl>
          <w:p w14:paraId="46E44514">
            <w:pPr>
              <w:pStyle w:val="5"/>
              <w:numPr>
                <w:ilvl w:val="0"/>
                <w:numId w:val="0"/>
              </w:numPr>
              <w:kinsoku/>
              <w:adjustRightInd/>
              <w:snapToGrid/>
              <w:spacing w:line="360" w:lineRule="auto"/>
              <w:ind w:left="0" w:leftChars="0" w:firstLine="482" w:firstLineChars="200"/>
              <w:rPr>
                <w:rFonts w:hint="default" w:ascii="Times New Roman" w:hAnsi="Times New Roman" w:cs="Times New Roman"/>
                <w:b/>
                <w:bCs/>
                <w:color w:val="auto"/>
                <w:highlight w:val="none"/>
                <w:lang w:val="en-US" w:eastAsia="zh-CN"/>
              </w:rPr>
            </w:pPr>
            <w:r>
              <w:rPr>
                <w:rFonts w:hint="eastAsia" w:ascii="Times New Roman" w:hAnsi="Times New Roman" w:eastAsia="宋体" w:cs="Times New Roman"/>
                <w:b/>
                <w:bCs/>
                <w:snapToGrid w:val="0"/>
                <w:color w:val="auto"/>
                <w:sz w:val="24"/>
                <w:szCs w:val="24"/>
                <w:highlight w:val="none"/>
                <w:lang w:val="en-US" w:eastAsia="zh-CN" w:bidi="ar-SA"/>
              </w:rPr>
              <w:t>（</w:t>
            </w:r>
            <w:r>
              <w:rPr>
                <w:rFonts w:hint="eastAsia" w:cs="Times New Roman"/>
                <w:b/>
                <w:bCs/>
                <w:snapToGrid w:val="0"/>
                <w:color w:val="auto"/>
                <w:sz w:val="24"/>
                <w:szCs w:val="24"/>
                <w:highlight w:val="none"/>
                <w:lang w:val="en-US" w:eastAsia="zh-CN" w:bidi="ar-SA"/>
              </w:rPr>
              <w:t>8</w:t>
            </w:r>
            <w:r>
              <w:rPr>
                <w:rFonts w:hint="eastAsia" w:ascii="Times New Roman" w:hAnsi="Times New Roman" w:eastAsia="宋体" w:cs="Times New Roman"/>
                <w:b/>
                <w:bCs/>
                <w:snapToGrid w:val="0"/>
                <w:color w:val="auto"/>
                <w:sz w:val="24"/>
                <w:szCs w:val="24"/>
                <w:highlight w:val="none"/>
                <w:lang w:val="en-US" w:eastAsia="zh-CN" w:bidi="ar-SA"/>
              </w:rPr>
              <w:t>）与《安徽省生态环境厅关于全面推进挥发性有机物综合治理工作的通知》相符性分析</w:t>
            </w:r>
          </w:p>
          <w:p w14:paraId="74A68492">
            <w:pPr>
              <w:pStyle w:val="5"/>
              <w:keepNext w:val="0"/>
              <w:keepLines w:val="0"/>
              <w:pageBreakBefore w:val="0"/>
              <w:widowControl/>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baseline"/>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表1-</w:t>
            </w:r>
            <w:r>
              <w:rPr>
                <w:rFonts w:hint="eastAsia" w:cs="Times New Roman"/>
                <w:b/>
                <w:bCs/>
                <w:color w:val="auto"/>
                <w:highlight w:val="none"/>
                <w:lang w:val="en-US" w:eastAsia="zh-CN"/>
              </w:rPr>
              <w:t xml:space="preserve">9  </w:t>
            </w:r>
            <w:r>
              <w:rPr>
                <w:rFonts w:hint="default" w:ascii="Times New Roman" w:hAnsi="Times New Roman" w:eastAsia="宋体" w:cs="Times New Roman"/>
                <w:b/>
                <w:bCs/>
                <w:snapToGrid w:val="0"/>
                <w:color w:val="auto"/>
                <w:sz w:val="24"/>
                <w:szCs w:val="24"/>
                <w:highlight w:val="none"/>
                <w:lang w:val="en-US" w:eastAsia="zh-CN" w:bidi="ar-SA"/>
              </w:rPr>
              <w:t>与《安徽省生态环境厅关于全面推进挥发性有机物综合治理工作的通知》相符性分析</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1"/>
              <w:gridCol w:w="2232"/>
              <w:gridCol w:w="938"/>
            </w:tblGrid>
            <w:tr w14:paraId="7322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1" w:type="pct"/>
                  <w:vAlign w:val="center"/>
                </w:tcPr>
                <w:p w14:paraId="1386B213">
                  <w:pPr>
                    <w:keepNext w:val="0"/>
                    <w:keepLines w:val="0"/>
                    <w:pageBreakBefore w:val="0"/>
                    <w:kinsoku/>
                    <w:wordWrap/>
                    <w:overflowPunct/>
                    <w:topLinePunct w:val="0"/>
                    <w:bidi w:val="0"/>
                    <w:adjustRightInd w:val="0"/>
                    <w:snapToGrid/>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文件要求</w:t>
                  </w:r>
                </w:p>
              </w:tc>
              <w:tc>
                <w:tcPr>
                  <w:tcW w:w="1393" w:type="pct"/>
                  <w:vAlign w:val="center"/>
                </w:tcPr>
                <w:p w14:paraId="2352D648">
                  <w:pPr>
                    <w:keepNext w:val="0"/>
                    <w:keepLines w:val="0"/>
                    <w:pageBreakBefore w:val="0"/>
                    <w:kinsoku/>
                    <w:wordWrap/>
                    <w:overflowPunct/>
                    <w:topLinePunct w:val="0"/>
                    <w:bidi w:val="0"/>
                    <w:adjustRightInd w:val="0"/>
                    <w:snapToGrid/>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本项目建设内容</w:t>
                  </w:r>
                </w:p>
              </w:tc>
              <w:tc>
                <w:tcPr>
                  <w:tcW w:w="585" w:type="pct"/>
                  <w:vAlign w:val="center"/>
                </w:tcPr>
                <w:p w14:paraId="13AA6AC6">
                  <w:pPr>
                    <w:keepNext w:val="0"/>
                    <w:keepLines w:val="0"/>
                    <w:pageBreakBefore w:val="0"/>
                    <w:kinsoku/>
                    <w:wordWrap/>
                    <w:overflowPunct/>
                    <w:topLinePunct w:val="0"/>
                    <w:bidi w:val="0"/>
                    <w:adjustRightInd w:val="0"/>
                    <w:snapToGrid/>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2B23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1" w:type="pct"/>
                  <w:vAlign w:val="top"/>
                </w:tcPr>
                <w:p w14:paraId="7283A929">
                  <w:pPr>
                    <w:pStyle w:val="9"/>
                    <w:keepNext w:val="0"/>
                    <w:keepLines w:val="0"/>
                    <w:pageBreakBefore w:val="0"/>
                    <w:kinsoku/>
                    <w:wordWrap/>
                    <w:overflowPunct/>
                    <w:topLinePunct w:val="0"/>
                    <w:bidi w:val="0"/>
                    <w:adjustRightInd w:val="0"/>
                    <w:snapToGrid/>
                    <w:spacing w:before="0" w:after="0" w:line="240" w:lineRule="auto"/>
                    <w:ind w:firstLine="420" w:firstLineChars="200"/>
                    <w:jc w:val="both"/>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二、建立健全VOCs管理体系</w:t>
                  </w:r>
                </w:p>
                <w:p w14:paraId="34E86B3E">
                  <w:pPr>
                    <w:pStyle w:val="9"/>
                    <w:keepNext w:val="0"/>
                    <w:keepLines w:val="0"/>
                    <w:pageBreakBefore w:val="0"/>
                    <w:widowControl/>
                    <w:kinsoku/>
                    <w:wordWrap/>
                    <w:overflowPunct/>
                    <w:topLinePunct w:val="0"/>
                    <w:autoSpaceDE w:val="0"/>
                    <w:autoSpaceDN w:val="0"/>
                    <w:bidi w:val="0"/>
                    <w:adjustRightInd w:val="0"/>
                    <w:snapToGrid/>
                    <w:spacing w:before="0" w:after="0" w:line="240" w:lineRule="auto"/>
                    <w:ind w:firstLine="420" w:firstLineChars="200"/>
                    <w:jc w:val="both"/>
                    <w:textAlignment w:val="baseline"/>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一）严格环境项目准入，严控新增VOCs排放量，各地要严格限制石化、化工、包装印刷、工业涂装等高VOCs排放建设项目，不得新建未纳入《石化产业规划布局方案》的炼化项目，新建VOCs企业应进入园区。实行区域内V</w:t>
                  </w:r>
                  <w:r>
                    <w:rPr>
                      <w:rFonts w:hint="eastAsia" w:cs="Times New Roman"/>
                      <w:color w:val="auto"/>
                      <w:kern w:val="2"/>
                      <w:sz w:val="21"/>
                      <w:szCs w:val="21"/>
                      <w:highlight w:val="none"/>
                      <w:lang w:val="en-US" w:eastAsia="zh-CN"/>
                    </w:rPr>
                    <w:t>O</w:t>
                  </w:r>
                  <w:r>
                    <w:rPr>
                      <w:rFonts w:hint="default" w:ascii="Times New Roman" w:hAnsi="Times New Roman" w:eastAsia="宋体" w:cs="Times New Roman"/>
                      <w:color w:val="auto"/>
                      <w:kern w:val="2"/>
                      <w:sz w:val="21"/>
                      <w:szCs w:val="21"/>
                      <w:highlight w:val="none"/>
                      <w:lang w:eastAsia="zh-CN"/>
                    </w:rPr>
                    <w:t>Cs排放等量、倍量削减替代，将替代方案落实到企业排污许可证中，纳入环境执法管理。新改扩建涉VOCs排放项目，应使用低VOC</w:t>
                  </w:r>
                  <w:r>
                    <w:rPr>
                      <w:rFonts w:hint="eastAsia" w:cs="Times New Roman"/>
                      <w:color w:val="auto"/>
                      <w:kern w:val="2"/>
                      <w:sz w:val="21"/>
                      <w:szCs w:val="21"/>
                      <w:highlight w:val="none"/>
                      <w:lang w:val="en-US" w:eastAsia="zh-CN"/>
                    </w:rPr>
                    <w:t>s</w:t>
                  </w:r>
                  <w:r>
                    <w:rPr>
                      <w:rFonts w:hint="default" w:ascii="Times New Roman" w:hAnsi="Times New Roman" w:eastAsia="宋体" w:cs="Times New Roman"/>
                      <w:color w:val="auto"/>
                      <w:kern w:val="2"/>
                      <w:sz w:val="21"/>
                      <w:szCs w:val="21"/>
                      <w:highlight w:val="none"/>
                      <w:lang w:eastAsia="zh-CN"/>
                    </w:rPr>
                    <w:t>含量的原辅材料。进一步推动“散乱污”企业清理整治，按照省委、省政府“三大一强”工作及省环委办《关于深入推进“散乱污”企业清理整治工作的通知》要求，继续在全省范围内清理整治涉VOC</w:t>
                  </w:r>
                  <w:r>
                    <w:rPr>
                      <w:rFonts w:hint="eastAsia" w:cs="Times New Roman"/>
                      <w:color w:val="auto"/>
                      <w:kern w:val="2"/>
                      <w:sz w:val="21"/>
                      <w:szCs w:val="21"/>
                      <w:highlight w:val="none"/>
                      <w:lang w:val="en-US" w:eastAsia="zh-CN"/>
                    </w:rPr>
                    <w:t>s</w:t>
                  </w:r>
                  <w:r>
                    <w:rPr>
                      <w:rFonts w:hint="default" w:ascii="Times New Roman" w:hAnsi="Times New Roman" w:eastAsia="宋体" w:cs="Times New Roman"/>
                      <w:color w:val="auto"/>
                      <w:kern w:val="2"/>
                      <w:sz w:val="21"/>
                      <w:szCs w:val="21"/>
                      <w:highlight w:val="none"/>
                      <w:lang w:eastAsia="zh-CN"/>
                    </w:rPr>
                    <w:t>“散乱污”企业，包括但不限于涂料、油墨、合成革、橡胶制品、塑料制品、化纤生产等化工企业以及使用溶剂型涂料、油墨、胶粘剂和其他有机溶剂的印刷、家具、钢结构、人造板、注塑等制造加工企业以及需喷漆汽车维修作业等。</w:t>
                  </w:r>
                </w:p>
              </w:tc>
              <w:tc>
                <w:tcPr>
                  <w:tcW w:w="1393" w:type="pct"/>
                  <w:vAlign w:val="center"/>
                </w:tcPr>
                <w:p w14:paraId="39754CA9">
                  <w:pPr>
                    <w:keepNext w:val="0"/>
                    <w:keepLines w:val="0"/>
                    <w:pageBreakBefore w:val="0"/>
                    <w:kinsoku/>
                    <w:wordWrap/>
                    <w:overflowPunct/>
                    <w:topLinePunct w:val="0"/>
                    <w:bidi w:val="0"/>
                    <w:adjustRightInd w:val="0"/>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C</w:t>
                  </w:r>
                  <w:r>
                    <w:rPr>
                      <w:rFonts w:hint="eastAsia" w:ascii="Times New Roman" w:hAnsi="Times New Roman" w:eastAsia="宋体" w:cs="Times New Roman"/>
                      <w:color w:val="auto"/>
                      <w:sz w:val="21"/>
                      <w:szCs w:val="21"/>
                      <w:highlight w:val="none"/>
                      <w:lang w:val="en-US" w:eastAsia="zh-CN"/>
                    </w:rPr>
                    <w:t>3312金属门窗制造</w:t>
                  </w:r>
                  <w:r>
                    <w:rPr>
                      <w:rFonts w:hint="default" w:ascii="Times New Roman" w:hAnsi="Times New Roman" w:eastAsia="宋体" w:cs="Times New Roman"/>
                      <w:color w:val="auto"/>
                      <w:sz w:val="21"/>
                      <w:szCs w:val="21"/>
                      <w:highlight w:val="none"/>
                      <w:lang w:val="en-US" w:eastAsia="zh-CN"/>
                    </w:rPr>
                    <w:t>，不属于石化、化工，包装印刷等行业，项目所使用的水性漆和塑粉为低VOCs含量涂料，符合《</w:t>
                  </w:r>
                  <w:r>
                    <w:rPr>
                      <w:rFonts w:hint="default" w:ascii="Times New Roman" w:hAnsi="Times New Roman" w:eastAsia="宋体" w:cs="Times New Roman"/>
                      <w:color w:val="auto"/>
                      <w:sz w:val="21"/>
                      <w:szCs w:val="21"/>
                      <w:highlight w:val="none"/>
                      <w:lang w:eastAsia="zh-CN"/>
                    </w:rPr>
                    <w:t>低挥发性有机化合物含量涂料产品技术要求》（GB/T38597-2020）、《工业防护涂料中有害物质限量》（GB30981-2020）的要求；</w:t>
                  </w:r>
                  <w:r>
                    <w:rPr>
                      <w:rFonts w:hint="eastAsia" w:ascii="Times New Roman" w:hAnsi="Times New Roman" w:eastAsia="宋体" w:cs="Times New Roman"/>
                      <w:color w:val="auto"/>
                      <w:sz w:val="21"/>
                      <w:szCs w:val="21"/>
                      <w:highlight w:val="none"/>
                      <w:lang w:val="en-US" w:eastAsia="zh-CN"/>
                    </w:rPr>
                    <w:t>项目位于安徽淮北相山经济开发区，隶属于开发区园区内。</w:t>
                  </w:r>
                </w:p>
              </w:tc>
              <w:tc>
                <w:tcPr>
                  <w:tcW w:w="585" w:type="pct"/>
                  <w:vAlign w:val="center"/>
                </w:tcPr>
                <w:p w14:paraId="40E0FA7A">
                  <w:pPr>
                    <w:keepNext w:val="0"/>
                    <w:keepLines w:val="0"/>
                    <w:pageBreakBefore w:val="0"/>
                    <w:kinsoku/>
                    <w:wordWrap/>
                    <w:overflowPunct/>
                    <w:topLinePunct w:val="0"/>
                    <w:bidi w:val="0"/>
                    <w:adjustRightInd w:val="0"/>
                    <w:snapToGrid/>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1CD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1" w:type="pct"/>
                  <w:vAlign w:val="center"/>
                </w:tcPr>
                <w:p w14:paraId="6B2BAA92">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val="0"/>
                    <w:snapToGrid/>
                    <w:spacing w:before="0" w:beforeAutospacing="0" w:after="0" w:afterAutospacing="0" w:line="240" w:lineRule="auto"/>
                    <w:ind w:left="0" w:right="0" w:firstLine="420" w:firstLineChars="200"/>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三、全面推进VOCs减排</w:t>
                  </w:r>
                </w:p>
                <w:p w14:paraId="1565B0CB">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val="0"/>
                    <w:snapToGrid/>
                    <w:spacing w:before="0" w:beforeAutospacing="0" w:after="0" w:afterAutospacing="0" w:line="240" w:lineRule="auto"/>
                    <w:ind w:left="0" w:right="0" w:firstLine="420" w:firstLineChars="200"/>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（一）督促工业企业落实VOCs减排主体责任</w:t>
                  </w:r>
                </w:p>
                <w:p w14:paraId="07354740">
                  <w:pPr>
                    <w:keepNext w:val="0"/>
                    <w:keepLines w:val="0"/>
                    <w:pageBreakBefore w:val="0"/>
                    <w:widowControl/>
                    <w:kinsoku/>
                    <w:wordWrap/>
                    <w:overflowPunct/>
                    <w:topLinePunct w:val="0"/>
                    <w:autoSpaceDE w:val="0"/>
                    <w:autoSpaceDN w:val="0"/>
                    <w:bidi w:val="0"/>
                    <w:adjustRightInd w:val="0"/>
                    <w:snapToGrid/>
                    <w:spacing w:line="240" w:lineRule="auto"/>
                    <w:jc w:val="both"/>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snapToGrid w:val="0"/>
                      <w:color w:val="auto"/>
                      <w:kern w:val="2"/>
                      <w:sz w:val="21"/>
                      <w:szCs w:val="21"/>
                      <w:highlight w:val="none"/>
                      <w:lang w:val="en-US" w:eastAsia="zh-CN" w:bidi="ar-SA"/>
                    </w:rPr>
                    <w:t>集装箱制造行业涂装工序全面使用水性涂料；整车制造企业有机废气收集率不低于90%，其他汽车制造企业不低于80%；木质家具制造行业水性、紫外光固化涂料替代比例达到60%，全面使用水性胶粘剂，有机废气收集效率不低于80%；船舶制造行业60%以上的涂装作业实现密闭喷涂施工，有机废气收集率不低于80%；工程机械制造行业高固体分、粉末涂料使用比例不低于30%，有机废气收集率不低于80%；钢结构制造行业高固体分涂料使用比例不低于50%；卷材制造行业有机废气收集率不低于90%；包装印刷行业低VOCs含量绿色原辅材料替代比例不低于70%，塑料软包装领域无溶剂、水性胶等环境友好型复合技术替代比例不低于70%，油墨、胶粘剂等有机原辅材料调配和使用环节有机废气收集率不低于70%。</w:t>
                  </w:r>
                </w:p>
              </w:tc>
              <w:tc>
                <w:tcPr>
                  <w:tcW w:w="1393" w:type="pct"/>
                  <w:vAlign w:val="center"/>
                </w:tcPr>
                <w:p w14:paraId="00DF6B08">
                  <w:pPr>
                    <w:keepNext w:val="0"/>
                    <w:keepLines w:val="0"/>
                    <w:pageBreakBefore w:val="0"/>
                    <w:kinsoku/>
                    <w:wordWrap/>
                    <w:overflowPunct/>
                    <w:topLinePunct w:val="0"/>
                    <w:bidi w:val="0"/>
                    <w:adjustRightInd w:val="0"/>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本项目使用的涂料为低VOCs含量的水性漆和塑粉，有机废气集气罩收集，收集效率不低于80%。</w:t>
                  </w:r>
                </w:p>
              </w:tc>
              <w:tc>
                <w:tcPr>
                  <w:tcW w:w="585" w:type="pct"/>
                  <w:vAlign w:val="center"/>
                </w:tcPr>
                <w:p w14:paraId="04FA1BB0">
                  <w:pPr>
                    <w:keepNext w:val="0"/>
                    <w:keepLines w:val="0"/>
                    <w:pageBreakBefore w:val="0"/>
                    <w:kinsoku/>
                    <w:wordWrap/>
                    <w:overflowPunct/>
                    <w:topLinePunct w:val="0"/>
                    <w:bidi w:val="0"/>
                    <w:adjustRightInd w:val="0"/>
                    <w:snapToGrid/>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bl>
          <w:p w14:paraId="0BD0D6A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rPr>
            </w:pPr>
          </w:p>
          <w:p w14:paraId="1B7A8C23">
            <w:pPr>
              <w:pStyle w:val="14"/>
              <w:ind w:left="0" w:leftChars="0" w:firstLine="0" w:firstLineChars="0"/>
              <w:rPr>
                <w:rFonts w:hint="default"/>
                <w:highlight w:val="none"/>
              </w:rPr>
            </w:pPr>
          </w:p>
        </w:tc>
      </w:tr>
    </w:tbl>
    <w:p w14:paraId="2F731340">
      <w:pPr>
        <w:pStyle w:val="9"/>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jc w:val="both"/>
        <w:textAlignment w:val="auto"/>
        <w:outlineLvl w:val="0"/>
        <w:rPr>
          <w:rFonts w:hint="eastAsia" w:ascii="Times New Roman" w:hAnsi="Times New Roman" w:eastAsia="宋体" w:cs="宋体"/>
          <w:color w:val="auto"/>
          <w:kern w:val="2"/>
          <w:sz w:val="30"/>
          <w:szCs w:val="30"/>
          <w:highlight w:val="none"/>
          <w:lang w:val="en-US" w:eastAsia="zh-CN" w:bidi="ar-SA"/>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430E1C38">
      <w:pPr>
        <w:pStyle w:val="9"/>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jc w:val="center"/>
        <w:textAlignment w:val="auto"/>
        <w:outlineLvl w:val="0"/>
        <w:rPr>
          <w:rFonts w:hint="eastAsia" w:eastAsia="宋体" w:cs="宋体"/>
          <w:color w:val="auto"/>
          <w:sz w:val="30"/>
          <w:szCs w:val="30"/>
          <w:highlight w:val="none"/>
        </w:rPr>
      </w:pPr>
      <w:r>
        <w:rPr>
          <w:rFonts w:hint="eastAsia" w:ascii="Times New Roman" w:hAnsi="Times New Roman" w:eastAsia="宋体" w:cs="宋体"/>
          <w:b/>
          <w:bCs/>
          <w:color w:val="auto"/>
          <w:kern w:val="2"/>
          <w:sz w:val="30"/>
          <w:szCs w:val="30"/>
          <w:highlight w:val="none"/>
          <w:lang w:val="en-US" w:eastAsia="zh-CN" w:bidi="ar-SA"/>
        </w:rPr>
        <w:t>二、</w:t>
      </w:r>
      <w:r>
        <w:rPr>
          <w:rFonts w:hint="eastAsia" w:eastAsia="宋体" w:cs="宋体"/>
          <w:b/>
          <w:bCs/>
          <w:color w:val="auto"/>
          <w:sz w:val="30"/>
          <w:szCs w:val="30"/>
          <w:highlight w:val="none"/>
        </w:rPr>
        <w:t>建设项目工程分析</w:t>
      </w:r>
    </w:p>
    <w:tbl>
      <w:tblPr>
        <w:tblStyle w:val="25"/>
        <w:tblW w:w="55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2"/>
        <w:gridCol w:w="8722"/>
      </w:tblGrid>
      <w:tr w14:paraId="214993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66" w:hRule="atLeast"/>
          <w:jc w:val="center"/>
        </w:trPr>
        <w:tc>
          <w:tcPr>
            <w:tcW w:w="387" w:type="pct"/>
            <w:vAlign w:val="center"/>
          </w:tcPr>
          <w:p w14:paraId="2797BF68">
            <w:pPr>
              <w:pStyle w:val="23"/>
              <w:kinsoku/>
              <w:spacing w:before="0" w:beforeAutospacing="0" w:after="0" w:afterAutospacing="0"/>
              <w:jc w:val="center"/>
              <w:rPr>
                <w:rFonts w:ascii="Times New Roman" w:hAnsi="Times New Roman"/>
                <w:color w:val="auto"/>
                <w:szCs w:val="24"/>
                <w:highlight w:val="none"/>
              </w:rPr>
            </w:pPr>
            <w:r>
              <w:rPr>
                <w:rFonts w:ascii="Times New Roman" w:hAnsi="Times New Roman"/>
                <w:color w:val="auto"/>
                <w:szCs w:val="24"/>
                <w:highlight w:val="none"/>
              </w:rPr>
              <w:t>建设内容</w:t>
            </w:r>
          </w:p>
        </w:tc>
        <w:tc>
          <w:tcPr>
            <w:tcW w:w="4612" w:type="pct"/>
          </w:tcPr>
          <w:p w14:paraId="0396C955">
            <w:pPr>
              <w:kinsoku/>
              <w:adjustRightInd/>
              <w:snapToGrid/>
              <w:spacing w:line="360" w:lineRule="auto"/>
              <w:ind w:firstLine="482" w:firstLineChars="200"/>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一、项目由来</w:t>
            </w:r>
          </w:p>
          <w:p w14:paraId="4AB67F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安徽宏柠科技有限公司年产3000吨铝单板、1500吨金属护栏、400吨配电桥架生产项目</w:t>
            </w:r>
            <w:r>
              <w:rPr>
                <w:rFonts w:hint="eastAsia" w:cs="Times New Roman"/>
                <w:color w:val="auto"/>
                <w:sz w:val="24"/>
                <w:szCs w:val="24"/>
                <w:highlight w:val="none"/>
                <w:lang w:val="en-US" w:eastAsia="zh-CN"/>
              </w:rPr>
              <w:t>租赁安徽宏冉科技有限公司</w:t>
            </w:r>
            <w:r>
              <w:rPr>
                <w:rFonts w:hint="eastAsia" w:ascii="Times New Roman" w:hAnsi="Times New Roman" w:eastAsia="宋体" w:cs="Times New Roman"/>
                <w:color w:val="auto"/>
                <w:sz w:val="24"/>
                <w:szCs w:val="24"/>
                <w:highlight w:val="none"/>
                <w:lang w:val="en-US" w:eastAsia="zh-CN"/>
              </w:rPr>
              <w:t>已</w:t>
            </w:r>
            <w:r>
              <w:rPr>
                <w:rFonts w:hint="default" w:ascii="Times New Roman" w:hAnsi="Times New Roman" w:eastAsia="宋体" w:cs="Times New Roman"/>
                <w:color w:val="auto"/>
                <w:sz w:val="24"/>
                <w:szCs w:val="24"/>
                <w:highlight w:val="none"/>
                <w:lang w:val="en-US" w:eastAsia="zh-CN"/>
              </w:rPr>
              <w:t>建</w:t>
            </w:r>
            <w:r>
              <w:rPr>
                <w:rFonts w:hint="eastAsia" w:cs="Times New Roman"/>
                <w:color w:val="auto"/>
                <w:sz w:val="24"/>
                <w:szCs w:val="24"/>
                <w:highlight w:val="none"/>
                <w:lang w:val="en-US" w:eastAsia="zh-CN"/>
              </w:rPr>
              <w:t>建筑面积约</w:t>
            </w:r>
            <w:r>
              <w:rPr>
                <w:rFonts w:hint="default" w:ascii="Times New Roman" w:hAnsi="Times New Roman" w:eastAsia="宋体" w:cs="Times New Roman"/>
                <w:color w:val="auto"/>
                <w:sz w:val="24"/>
                <w:szCs w:val="24"/>
                <w:highlight w:val="none"/>
                <w:lang w:val="en-US" w:eastAsia="zh-CN"/>
              </w:rPr>
              <w:t>7</w:t>
            </w:r>
            <w:r>
              <w:rPr>
                <w:rFonts w:hint="eastAsia" w:cs="Times New Roman"/>
                <w:color w:val="auto"/>
                <w:sz w:val="24"/>
                <w:szCs w:val="24"/>
                <w:highlight w:val="none"/>
                <w:lang w:val="en-US" w:eastAsia="zh-CN"/>
              </w:rPr>
              <w:t>728</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vertAlign w:val="baseline"/>
                <w:lang w:val="en-US" w:eastAsia="zh-CN"/>
              </w:rPr>
              <w:t>标准化厂房</w:t>
            </w:r>
            <w:r>
              <w:rPr>
                <w:rFonts w:hint="eastAsia" w:cs="Times New Roman"/>
                <w:color w:val="auto"/>
                <w:sz w:val="24"/>
                <w:szCs w:val="24"/>
                <w:highlight w:val="none"/>
                <w:vertAlign w:val="baseline"/>
                <w:lang w:val="en-US" w:eastAsia="zh-CN"/>
              </w:rPr>
              <w:t>和</w:t>
            </w:r>
            <w:r>
              <w:rPr>
                <w:rFonts w:hint="eastAsia" w:cs="Times New Roman"/>
                <w:color w:val="auto"/>
                <w:sz w:val="24"/>
                <w:szCs w:val="24"/>
                <w:highlight w:val="none"/>
                <w:lang w:val="en-US" w:eastAsia="zh-CN"/>
              </w:rPr>
              <w:t>办公楼3F（850m²），项目用地性质</w:t>
            </w:r>
            <w:r>
              <w:rPr>
                <w:rFonts w:ascii="Times New Roman" w:hAnsi="Times New Roman" w:eastAsia="宋体" w:cs="Times New Roman"/>
                <w:color w:val="auto"/>
                <w:sz w:val="24"/>
                <w:szCs w:val="24"/>
                <w:highlight w:val="none"/>
                <w:lang w:eastAsia="zh-CN"/>
              </w:rPr>
              <w:t>属于工业用地。项目购置</w:t>
            </w:r>
            <w:r>
              <w:rPr>
                <w:rFonts w:hint="eastAsia" w:cs="Times New Roman"/>
                <w:color w:val="auto"/>
                <w:sz w:val="24"/>
                <w:szCs w:val="24"/>
                <w:highlight w:val="none"/>
                <w:lang w:val="en-US" w:eastAsia="zh-CN"/>
              </w:rPr>
              <w:t>激光切割机、雕刻机、喷漆房、喷塑房</w:t>
            </w:r>
            <w:r>
              <w:rPr>
                <w:rFonts w:ascii="Times New Roman" w:hAnsi="Times New Roman" w:eastAsia="宋体" w:cs="Times New Roman"/>
                <w:color w:val="auto"/>
                <w:kern w:val="2"/>
                <w:sz w:val="24"/>
                <w:szCs w:val="24"/>
                <w:highlight w:val="none"/>
                <w:lang w:eastAsia="zh-CN"/>
              </w:rPr>
              <w:t>等，配</w:t>
            </w:r>
            <w:r>
              <w:rPr>
                <w:rFonts w:ascii="Times New Roman" w:hAnsi="Times New Roman" w:eastAsia="宋体" w:cs="Times New Roman"/>
                <w:color w:val="auto"/>
                <w:sz w:val="24"/>
                <w:szCs w:val="24"/>
                <w:highlight w:val="none"/>
                <w:lang w:eastAsia="zh-CN"/>
              </w:rPr>
              <w:t>套建设给排水、变配电、环卫、消防等辅助工程。形成</w:t>
            </w:r>
            <w:r>
              <w:rPr>
                <w:rFonts w:hint="eastAsia" w:ascii="Times New Roman" w:hAnsi="Times New Roman" w:eastAsia="宋体" w:cs="Times New Roman"/>
                <w:color w:val="auto"/>
                <w:sz w:val="24"/>
                <w:szCs w:val="24"/>
                <w:highlight w:val="none"/>
                <w:lang w:val="en-US" w:eastAsia="zh-CN"/>
              </w:rPr>
              <w:t>年产3000吨铝单板、1500吨金属护栏、400吨配电桥架生产项目</w:t>
            </w:r>
            <w:r>
              <w:rPr>
                <w:rFonts w:ascii="Times New Roman" w:hAnsi="Times New Roman" w:eastAsia="宋体" w:cs="Times New Roman"/>
                <w:color w:val="auto"/>
                <w:sz w:val="24"/>
                <w:szCs w:val="24"/>
                <w:highlight w:val="none"/>
                <w:lang w:eastAsia="zh-CN"/>
              </w:rPr>
              <w:t>的生产规模。</w:t>
            </w:r>
          </w:p>
          <w:p w14:paraId="56450445">
            <w:pPr>
              <w:kinsoku/>
              <w:adjustRightInd/>
              <w:snapToGrid/>
              <w:spacing w:line="360" w:lineRule="auto"/>
              <w:ind w:firstLine="480" w:firstLineChars="200"/>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本项目为</w:t>
            </w:r>
            <w:r>
              <w:rPr>
                <w:rFonts w:hint="eastAsia" w:ascii="Times New Roman" w:hAnsi="Times New Roman" w:eastAsia="宋体" w:cs="Times New Roman"/>
                <w:color w:val="auto"/>
                <w:sz w:val="24"/>
                <w:szCs w:val="24"/>
                <w:highlight w:val="none"/>
                <w:lang w:val="en-US" w:eastAsia="zh-CN"/>
              </w:rPr>
              <w:t>金属门窗制造</w:t>
            </w:r>
            <w:r>
              <w:rPr>
                <w:rFonts w:ascii="Times New Roman" w:hAnsi="Times New Roman" w:eastAsia="宋体" w:cs="Times New Roman"/>
                <w:color w:val="auto"/>
                <w:sz w:val="24"/>
                <w:szCs w:val="24"/>
                <w:highlight w:val="none"/>
                <w:lang w:eastAsia="zh-CN"/>
              </w:rPr>
              <w:t>，属于《国民经济行业分类》（GB/T 4754-2019）“【C3</w:t>
            </w:r>
            <w:r>
              <w:rPr>
                <w:rFonts w:hint="eastAsia" w:cs="Times New Roman"/>
                <w:color w:val="auto"/>
                <w:sz w:val="24"/>
                <w:szCs w:val="24"/>
                <w:highlight w:val="none"/>
                <w:lang w:val="en-US" w:eastAsia="zh-CN"/>
              </w:rPr>
              <w:t>312</w:t>
            </w:r>
            <w:r>
              <w:rPr>
                <w:rFonts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金属门窗制造</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lang w:eastAsia="zh-CN"/>
              </w:rPr>
              <w:t>。对应于《建设项目环境影响评价分类管理名录（2021年版）》中三十、</w:t>
            </w:r>
            <w:r>
              <w:rPr>
                <w:rFonts w:hint="eastAsia" w:cs="Times New Roman"/>
                <w:color w:val="auto"/>
                <w:sz w:val="24"/>
                <w:szCs w:val="24"/>
                <w:highlight w:val="none"/>
                <w:lang w:val="en-US" w:eastAsia="zh-CN"/>
              </w:rPr>
              <w:t>金属制品业33-66</w:t>
            </w:r>
            <w:r>
              <w:rPr>
                <w:rFonts w:ascii="Times New Roman" w:hAnsi="Times New Roman" w:eastAsia="宋体" w:cs="Times New Roman"/>
                <w:color w:val="auto"/>
                <w:sz w:val="24"/>
                <w:szCs w:val="24"/>
                <w:highlight w:val="none"/>
                <w:lang w:eastAsia="zh-CN"/>
              </w:rPr>
              <w:t>中</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结构性金属制品制造331”</w:t>
            </w:r>
            <w:r>
              <w:rPr>
                <w:rFonts w:ascii="Times New Roman" w:hAnsi="Times New Roman" w:eastAsia="宋体" w:cs="Times New Roman"/>
                <w:color w:val="auto"/>
                <w:sz w:val="24"/>
                <w:szCs w:val="24"/>
                <w:highlight w:val="none"/>
                <w:lang w:eastAsia="zh-CN"/>
              </w:rPr>
              <w:t>中</w:t>
            </w:r>
            <w:r>
              <w:rPr>
                <w:rFonts w:hint="eastAsia" w:cs="Times New Roman"/>
                <w:color w:val="auto"/>
                <w:sz w:val="24"/>
                <w:szCs w:val="24"/>
                <w:highlight w:val="none"/>
                <w:lang w:eastAsia="zh-CN"/>
              </w:rPr>
              <w:t>“</w:t>
            </w:r>
            <w:r>
              <w:rPr>
                <w:rFonts w:ascii="Times New Roman" w:hAnsi="Times New Roman" w:eastAsia="宋体" w:cs="Times New Roman"/>
                <w:color w:val="auto"/>
                <w:sz w:val="24"/>
                <w:szCs w:val="24"/>
                <w:highlight w:val="none"/>
                <w:lang w:eastAsia="zh-CN"/>
              </w:rPr>
              <w:t>其他（仅分割、焊接、组装的除外；年用非溶剂型低VOCs含量涂料10吨以下的除外）”，</w:t>
            </w:r>
            <w:r>
              <w:rPr>
                <w:rFonts w:hint="eastAsia" w:ascii="Times New Roman" w:hAnsi="Times New Roman" w:eastAsia="宋体" w:cs="Times New Roman"/>
                <w:color w:val="auto"/>
                <w:sz w:val="24"/>
                <w:szCs w:val="24"/>
                <w:highlight w:val="none"/>
                <w:lang w:eastAsia="zh-CN"/>
              </w:rPr>
              <w:t>应</w:t>
            </w:r>
            <w:r>
              <w:rPr>
                <w:rFonts w:ascii="Times New Roman" w:hAnsi="Times New Roman" w:eastAsia="宋体" w:cs="Times New Roman"/>
                <w:color w:val="auto"/>
                <w:sz w:val="24"/>
                <w:szCs w:val="24"/>
                <w:highlight w:val="none"/>
                <w:lang w:eastAsia="zh-CN"/>
              </w:rPr>
              <w:t>编制报告表。综上，本项目</w:t>
            </w:r>
            <w:r>
              <w:rPr>
                <w:rFonts w:hint="eastAsia" w:ascii="Times New Roman" w:hAnsi="Times New Roman" w:eastAsia="宋体" w:cs="Times New Roman"/>
                <w:color w:val="auto"/>
                <w:sz w:val="24"/>
                <w:szCs w:val="24"/>
                <w:highlight w:val="none"/>
                <w:lang w:eastAsia="zh-CN"/>
              </w:rPr>
              <w:t>需</w:t>
            </w:r>
            <w:r>
              <w:rPr>
                <w:rFonts w:ascii="Times New Roman" w:hAnsi="Times New Roman" w:eastAsia="宋体" w:cs="Times New Roman"/>
                <w:color w:val="auto"/>
                <w:sz w:val="24"/>
                <w:szCs w:val="24"/>
                <w:highlight w:val="none"/>
                <w:lang w:eastAsia="zh-CN"/>
              </w:rPr>
              <w:t>编制环境影响报告表。</w:t>
            </w:r>
          </w:p>
          <w:p w14:paraId="30C1B7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为此</w:t>
            </w:r>
            <w:r>
              <w:rPr>
                <w:rFonts w:hint="eastAsia" w:cs="Times New Roman"/>
                <w:color w:val="auto"/>
                <w:sz w:val="24"/>
                <w:szCs w:val="24"/>
                <w:highlight w:val="none"/>
                <w:lang w:val="en-US" w:eastAsia="zh-CN"/>
              </w:rPr>
              <w:t>安徽宏柠</w:t>
            </w:r>
            <w:r>
              <w:rPr>
                <w:rFonts w:hint="eastAsia" w:ascii="Times New Roman" w:hAnsi="Times New Roman" w:eastAsia="宋体" w:cs="Times New Roman"/>
                <w:color w:val="auto"/>
                <w:sz w:val="24"/>
                <w:szCs w:val="24"/>
                <w:highlight w:val="none"/>
                <w:lang w:val="en-US" w:eastAsia="zh-CN"/>
              </w:rPr>
              <w:t>科技有限公司</w:t>
            </w:r>
            <w:r>
              <w:rPr>
                <w:rFonts w:ascii="Times New Roman" w:hAnsi="Times New Roman" w:eastAsia="宋体" w:cs="Times New Roman"/>
                <w:color w:val="auto"/>
                <w:sz w:val="24"/>
                <w:szCs w:val="24"/>
                <w:highlight w:val="none"/>
                <w:lang w:eastAsia="zh-CN"/>
              </w:rPr>
              <w:t>根据有关环保法律法规要求，委托我公司进行环境影响评价工作，我公司在接受委托后，随即组织人员到项目建设场地及其周围进行了实地</w:t>
            </w:r>
            <w:r>
              <w:rPr>
                <w:rFonts w:hint="eastAsia" w:ascii="Times New Roman" w:hAnsi="Times New Roman" w:eastAsia="宋体" w:cs="Times New Roman"/>
                <w:color w:val="auto"/>
                <w:sz w:val="24"/>
                <w:szCs w:val="24"/>
                <w:highlight w:val="none"/>
                <w:lang w:eastAsia="zh-CN"/>
              </w:rPr>
              <w:t>勘查与调研，收集了有关的工程资料，结合该企业提供的资料和项目的建设特点，依据</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建设项目环境影响报告表编制技术指南（污染影响类）（试行）</w:t>
            </w:r>
            <w:r>
              <w:rPr>
                <w:rFonts w:hint="eastAsia" w:cs="Times New Roman"/>
                <w:color w:val="auto"/>
                <w:sz w:val="24"/>
                <w:szCs w:val="24"/>
                <w:highlight w:val="none"/>
                <w:lang w:eastAsia="zh-CN"/>
              </w:rPr>
              <w:t>》</w:t>
            </w:r>
            <w:r>
              <w:rPr>
                <w:rFonts w:ascii="Times New Roman" w:hAnsi="Times New Roman" w:eastAsia="宋体" w:cs="Times New Roman"/>
                <w:color w:val="auto"/>
                <w:sz w:val="24"/>
                <w:szCs w:val="24"/>
                <w:highlight w:val="none"/>
                <w:lang w:eastAsia="zh-CN"/>
              </w:rPr>
              <w:t>环评技术规范，编制了</w:t>
            </w:r>
            <w:r>
              <w:rPr>
                <w:rFonts w:hint="eastAsia" w:cs="Times New Roman"/>
                <w:color w:val="auto"/>
                <w:sz w:val="24"/>
                <w:szCs w:val="24"/>
                <w:highlight w:val="none"/>
                <w:lang w:val="en-US" w:eastAsia="zh-CN"/>
              </w:rPr>
              <w:t>建设项目环境影响报告表</w:t>
            </w:r>
            <w:r>
              <w:rPr>
                <w:rFonts w:ascii="Times New Roman" w:hAnsi="Times New Roman" w:eastAsia="宋体" w:cs="Times New Roman"/>
                <w:color w:val="auto"/>
                <w:sz w:val="24"/>
                <w:szCs w:val="24"/>
                <w:highlight w:val="none"/>
                <w:lang w:eastAsia="zh-CN"/>
              </w:rPr>
              <w:t>。</w:t>
            </w:r>
          </w:p>
          <w:p w14:paraId="12ABE9C1">
            <w:pPr>
              <w:kinsoku/>
              <w:adjustRightInd/>
              <w:snapToGrid/>
              <w:spacing w:line="360" w:lineRule="auto"/>
              <w:ind w:firstLine="482" w:firstLineChars="200"/>
              <w:rPr>
                <w:rFonts w:ascii="Times New Roman" w:hAnsi="Times New Roman" w:eastAsia="宋体" w:cs="Times New Roman"/>
                <w:b/>
                <w:bCs w:val="0"/>
                <w:color w:val="auto"/>
                <w:sz w:val="24"/>
                <w:highlight w:val="none"/>
                <w:lang w:eastAsia="zh-CN"/>
              </w:rPr>
            </w:pPr>
            <w:r>
              <w:rPr>
                <w:rFonts w:ascii="Times New Roman" w:hAnsi="Times New Roman" w:eastAsia="宋体" w:cs="Times New Roman"/>
                <w:b/>
                <w:bCs w:val="0"/>
                <w:color w:val="auto"/>
                <w:sz w:val="24"/>
                <w:highlight w:val="none"/>
                <w:lang w:eastAsia="zh-CN"/>
              </w:rPr>
              <w:t>二、项目建设内容</w:t>
            </w:r>
          </w:p>
          <w:p w14:paraId="68334DCE">
            <w:pPr>
              <w:kinsoku/>
              <w:adjustRightInd/>
              <w:snapToGrid/>
              <w:spacing w:line="360" w:lineRule="auto"/>
              <w:ind w:firstLine="480" w:firstLineChars="200"/>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lang w:eastAsia="zh-CN"/>
              </w:rPr>
              <w:t>1、项目建设主要内容</w:t>
            </w:r>
          </w:p>
          <w:p w14:paraId="133CB6A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表2-</w:t>
            </w:r>
            <w:r>
              <w:rPr>
                <w:rFonts w:hint="eastAsia" w:cs="Times New Roman"/>
                <w:b/>
                <w:bCs/>
                <w:color w:val="auto"/>
                <w:sz w:val="24"/>
                <w:szCs w:val="24"/>
                <w:highlight w:val="none"/>
                <w:lang w:val="en-US" w:eastAsia="zh-CN"/>
              </w:rPr>
              <w:t xml:space="preserve">1  </w:t>
            </w:r>
            <w:r>
              <w:rPr>
                <w:rFonts w:ascii="Times New Roman" w:hAnsi="Times New Roman" w:eastAsia="宋体" w:cs="Times New Roman"/>
                <w:b/>
                <w:bCs/>
                <w:color w:val="auto"/>
                <w:sz w:val="24"/>
                <w:szCs w:val="24"/>
                <w:highlight w:val="none"/>
                <w:lang w:eastAsia="zh-CN"/>
              </w:rPr>
              <w:t>工程建设内容及规模一览表</w:t>
            </w:r>
          </w:p>
          <w:tbl>
            <w:tblPr>
              <w:tblStyle w:val="25"/>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5"/>
              <w:gridCol w:w="886"/>
              <w:gridCol w:w="6139"/>
              <w:gridCol w:w="955"/>
            </w:tblGrid>
            <w:tr w14:paraId="19FAB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Align w:val="center"/>
                </w:tcPr>
                <w:p w14:paraId="1B36C2FD">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工程类别</w:t>
                  </w:r>
                </w:p>
              </w:tc>
              <w:tc>
                <w:tcPr>
                  <w:tcW w:w="521" w:type="pct"/>
                  <w:vAlign w:val="center"/>
                </w:tcPr>
                <w:p w14:paraId="1EE3137E">
                  <w:pPr>
                    <w:kinsoku/>
                    <w:jc w:val="center"/>
                    <w:rPr>
                      <w:rFonts w:hint="eastAsia" w:ascii="Times New Roman" w:hAnsi="Times New Roman" w:eastAsia="宋体" w:cs="Times New Roman"/>
                      <w:color w:val="auto"/>
                      <w:w w:val="100"/>
                      <w:highlight w:val="none"/>
                      <w:lang w:val="en-US" w:eastAsia="zh-CN"/>
                    </w:rPr>
                  </w:pPr>
                  <w:r>
                    <w:rPr>
                      <w:rFonts w:ascii="Times New Roman" w:hAnsi="Times New Roman" w:eastAsia="宋体" w:cs="Times New Roman"/>
                      <w:color w:val="auto"/>
                      <w:w w:val="100"/>
                      <w:highlight w:val="none"/>
                    </w:rPr>
                    <w:t>工程</w:t>
                  </w:r>
                  <w:r>
                    <w:rPr>
                      <w:rFonts w:hint="eastAsia" w:cs="Times New Roman"/>
                      <w:color w:val="auto"/>
                      <w:w w:val="100"/>
                      <w:highlight w:val="none"/>
                      <w:lang w:val="en-US" w:eastAsia="zh-CN"/>
                    </w:rPr>
                    <w:t>名称</w:t>
                  </w:r>
                </w:p>
              </w:tc>
              <w:tc>
                <w:tcPr>
                  <w:tcW w:w="3613" w:type="pct"/>
                  <w:vAlign w:val="center"/>
                </w:tcPr>
                <w:p w14:paraId="086F895E">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工程内容及规模</w:t>
                  </w:r>
                </w:p>
              </w:tc>
              <w:tc>
                <w:tcPr>
                  <w:tcW w:w="561" w:type="pct"/>
                  <w:vAlign w:val="center"/>
                </w:tcPr>
                <w:p w14:paraId="39F57E4A">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备注</w:t>
                  </w:r>
                </w:p>
              </w:tc>
            </w:tr>
            <w:tr w14:paraId="22245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Align w:val="center"/>
                </w:tcPr>
                <w:p w14:paraId="43577C56">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主体工程</w:t>
                  </w:r>
                </w:p>
              </w:tc>
              <w:tc>
                <w:tcPr>
                  <w:tcW w:w="521" w:type="pct"/>
                  <w:vAlign w:val="center"/>
                </w:tcPr>
                <w:p w14:paraId="0E49B887">
                  <w:pPr>
                    <w:pStyle w:val="42"/>
                    <w:tabs>
                      <w:tab w:val="left" w:pos="7488"/>
                    </w:tabs>
                    <w:kinsoku/>
                    <w:adjustRightInd/>
                    <w:snapToGrid/>
                    <w:rPr>
                      <w:rFonts w:hint="default" w:eastAsia="宋体"/>
                      <w:color w:val="auto"/>
                      <w:w w:val="100"/>
                      <w:highlight w:val="none"/>
                      <w:lang w:val="en-US" w:eastAsia="zh-CN"/>
                    </w:rPr>
                  </w:pPr>
                  <w:r>
                    <w:rPr>
                      <w:rFonts w:hint="eastAsia"/>
                      <w:color w:val="auto"/>
                      <w:w w:val="100"/>
                      <w:highlight w:val="none"/>
                      <w:lang w:val="en-US" w:eastAsia="zh-CN"/>
                    </w:rPr>
                    <w:t>生产车间</w:t>
                  </w:r>
                </w:p>
              </w:tc>
              <w:tc>
                <w:tcPr>
                  <w:tcW w:w="3613" w:type="pct"/>
                  <w:vAlign w:val="center"/>
                </w:tcPr>
                <w:p w14:paraId="3D38B8E2">
                  <w:pPr>
                    <w:pStyle w:val="41"/>
                    <w:kinsoku/>
                    <w:jc w:val="center"/>
                    <w:rPr>
                      <w:rFonts w:hint="default" w:ascii="宋体" w:hAnsi="宋体" w:eastAsia="宋体" w:cs="宋体"/>
                      <w:color w:val="auto"/>
                      <w:w w:val="100"/>
                      <w:highlight w:val="none"/>
                      <w:vertAlign w:val="baseline"/>
                      <w:lang w:val="en-US" w:eastAsia="zh-CN"/>
                    </w:rPr>
                  </w:pPr>
                  <w:r>
                    <w:rPr>
                      <w:rFonts w:hint="default" w:ascii="Times New Roman" w:hAnsi="Times New Roman" w:eastAsia="宋体" w:cs="Times New Roman"/>
                      <w:color w:val="auto"/>
                      <w:w w:val="100"/>
                      <w:highlight w:val="none"/>
                      <w:vertAlign w:val="baseline"/>
                      <w:lang w:val="en-US" w:eastAsia="zh-CN"/>
                    </w:rPr>
                    <w:t>1F，</w:t>
                  </w:r>
                  <w:r>
                    <w:rPr>
                      <w:rFonts w:hint="eastAsia" w:cs="Times New Roman"/>
                      <w:color w:val="auto"/>
                      <w:w w:val="100"/>
                      <w:highlight w:val="none"/>
                      <w:vertAlign w:val="baseline"/>
                      <w:lang w:val="en-US" w:eastAsia="zh-CN"/>
                    </w:rPr>
                    <w:t>高度10m，</w:t>
                  </w:r>
                  <w:r>
                    <w:rPr>
                      <w:rFonts w:hint="default" w:ascii="Times New Roman" w:hAnsi="Times New Roman" w:eastAsia="宋体" w:cs="Times New Roman"/>
                      <w:color w:val="auto"/>
                      <w:w w:val="100"/>
                      <w:highlight w:val="none"/>
                      <w:vertAlign w:val="baseline"/>
                      <w:lang w:val="en-US" w:eastAsia="zh-CN"/>
                    </w:rPr>
                    <w:t>框架结构，</w:t>
                  </w:r>
                  <w:r>
                    <w:rPr>
                      <w:rFonts w:hint="eastAsia" w:cs="Times New Roman"/>
                      <w:color w:val="auto"/>
                      <w:w w:val="100"/>
                      <w:highlight w:val="none"/>
                      <w:vertAlign w:val="baseline"/>
                      <w:lang w:val="en-US" w:eastAsia="zh-CN"/>
                    </w:rPr>
                    <w:t>总</w:t>
                  </w:r>
                  <w:r>
                    <w:rPr>
                      <w:rFonts w:hint="default" w:ascii="Times New Roman" w:hAnsi="Times New Roman" w:eastAsia="宋体" w:cs="Times New Roman"/>
                      <w:color w:val="auto"/>
                      <w:w w:val="100"/>
                      <w:highlight w:val="none"/>
                      <w:vertAlign w:val="baseline"/>
                      <w:lang w:val="en-US" w:eastAsia="zh-CN"/>
                    </w:rPr>
                    <w:t>建筑面积约7</w:t>
                  </w:r>
                  <w:r>
                    <w:rPr>
                      <w:rFonts w:hint="eastAsia"/>
                      <w:color w:val="auto"/>
                      <w:w w:val="100"/>
                      <w:highlight w:val="none"/>
                      <w:lang w:val="en-US" w:eastAsia="zh-CN"/>
                    </w:rPr>
                    <w:t>728</w:t>
                  </w:r>
                  <w:r>
                    <w:rPr>
                      <w:rFonts w:hint="eastAsia" w:ascii="Times New Roman" w:hAnsi="Times New Roman" w:eastAsia="宋体" w:cs="Times New Roman"/>
                      <w:color w:val="auto"/>
                      <w:w w:val="100"/>
                      <w:highlight w:val="none"/>
                      <w:vertAlign w:val="baseline"/>
                      <w:lang w:val="en-US" w:eastAsia="zh-CN"/>
                    </w:rPr>
                    <w:t>m</w:t>
                  </w:r>
                  <w:r>
                    <w:rPr>
                      <w:rFonts w:hint="eastAsia" w:ascii="Times New Roman" w:hAnsi="Times New Roman" w:eastAsia="宋体" w:cs="Times New Roman"/>
                      <w:color w:val="auto"/>
                      <w:w w:val="100"/>
                      <w:highlight w:val="none"/>
                      <w:vertAlign w:val="superscript"/>
                      <w:lang w:val="en-US" w:eastAsia="zh-CN"/>
                    </w:rPr>
                    <w:t>2</w:t>
                  </w:r>
                  <w:r>
                    <w:rPr>
                      <w:rFonts w:hint="eastAsia" w:ascii="Times New Roman" w:hAnsi="Times New Roman" w:eastAsia="宋体" w:cs="Times New Roman"/>
                      <w:color w:val="auto"/>
                      <w:w w:val="100"/>
                      <w:highlight w:val="none"/>
                      <w:vertAlign w:val="baseline"/>
                      <w:lang w:val="en-US" w:eastAsia="zh-CN"/>
                    </w:rPr>
                    <w:t>，</w:t>
                  </w:r>
                  <w:r>
                    <w:rPr>
                      <w:rFonts w:hint="eastAsia" w:cs="Times New Roman"/>
                      <w:color w:val="auto"/>
                      <w:w w:val="100"/>
                      <w:highlight w:val="none"/>
                      <w:vertAlign w:val="baseline"/>
                      <w:lang w:val="en-US" w:eastAsia="zh-CN"/>
                    </w:rPr>
                    <w:t>厂房车间内设置原料区、半成品区、成品区、包装区、化学品库等。其中生产区域总建筑面积约7728m²，</w:t>
                  </w:r>
                  <w:r>
                    <w:rPr>
                      <w:rFonts w:hint="eastAsia" w:ascii="Times New Roman" w:hAnsi="Times New Roman" w:eastAsia="宋体" w:cs="Times New Roman"/>
                      <w:color w:val="auto"/>
                      <w:w w:val="100"/>
                      <w:highlight w:val="none"/>
                      <w:vertAlign w:val="baseline"/>
                      <w:lang w:val="en-US" w:eastAsia="zh-CN"/>
                    </w:rPr>
                    <w:t>布置</w:t>
                  </w:r>
                  <w:r>
                    <w:rPr>
                      <w:rFonts w:hint="eastAsia" w:cs="Times New Roman"/>
                      <w:color w:val="auto"/>
                      <w:w w:val="100"/>
                      <w:highlight w:val="none"/>
                      <w:vertAlign w:val="baseline"/>
                      <w:lang w:val="en-US" w:eastAsia="zh-CN"/>
                    </w:rPr>
                    <w:t>激光切割机，焊接机、折弯机</w:t>
                  </w:r>
                  <w:r>
                    <w:rPr>
                      <w:rFonts w:hint="eastAsia" w:ascii="Times New Roman" w:hAnsi="Times New Roman" w:eastAsia="宋体" w:cs="Times New Roman"/>
                      <w:color w:val="auto"/>
                      <w:w w:val="100"/>
                      <w:highlight w:val="none"/>
                      <w:vertAlign w:val="baseline"/>
                      <w:lang w:val="en-US" w:eastAsia="zh-CN"/>
                    </w:rPr>
                    <w:t>等设备</w:t>
                  </w:r>
                  <w:r>
                    <w:rPr>
                      <w:rFonts w:hint="eastAsia" w:cs="Times New Roman"/>
                      <w:color w:val="auto"/>
                      <w:w w:val="100"/>
                      <w:highlight w:val="none"/>
                      <w:vertAlign w:val="baseline"/>
                      <w:lang w:val="en-US" w:eastAsia="zh-CN"/>
                    </w:rPr>
                    <w:t>并同步建设两间喷漆房，一间喷塑房</w:t>
                  </w:r>
                  <w:r>
                    <w:rPr>
                      <w:rFonts w:hint="eastAsia" w:ascii="Times New Roman" w:hAnsi="Times New Roman" w:eastAsia="宋体" w:cs="Times New Roman"/>
                      <w:color w:val="auto"/>
                      <w:w w:val="100"/>
                      <w:highlight w:val="none"/>
                      <w:vertAlign w:val="baseline"/>
                      <w:lang w:val="en-US" w:eastAsia="zh-CN"/>
                    </w:rPr>
                    <w:t>，</w:t>
                  </w:r>
                  <w:r>
                    <w:rPr>
                      <w:rFonts w:hint="eastAsia" w:cs="Times New Roman"/>
                      <w:color w:val="auto"/>
                      <w:w w:val="100"/>
                      <w:highlight w:val="none"/>
                      <w:vertAlign w:val="baseline"/>
                      <w:lang w:val="en-US" w:eastAsia="zh-CN"/>
                    </w:rPr>
                    <w:t>建设完成后</w:t>
                  </w:r>
                  <w:r>
                    <w:rPr>
                      <w:rFonts w:hint="eastAsia" w:ascii="Times New Roman" w:hAnsi="Times New Roman" w:eastAsia="宋体" w:cs="Times New Roman"/>
                      <w:color w:val="auto"/>
                      <w:w w:val="100"/>
                      <w:highlight w:val="none"/>
                      <w:vertAlign w:val="baseline"/>
                      <w:lang w:val="en-US" w:eastAsia="zh-CN"/>
                    </w:rPr>
                    <w:t>达到年产3000吨铝单板、1500吨金属护栏、400吨配电桥架生产</w:t>
                  </w:r>
                </w:p>
              </w:tc>
              <w:tc>
                <w:tcPr>
                  <w:tcW w:w="561" w:type="pct"/>
                  <w:vAlign w:val="center"/>
                </w:tcPr>
                <w:p w14:paraId="44198587">
                  <w:pPr>
                    <w:pStyle w:val="41"/>
                    <w:kinsoku/>
                    <w:rPr>
                      <w:rFonts w:hint="default" w:ascii="Times New Roman" w:hAnsi="Times New Roman" w:eastAsia="宋体"/>
                      <w:color w:val="auto"/>
                      <w:w w:val="100"/>
                      <w:highlight w:val="none"/>
                      <w:lang w:val="en-US" w:eastAsia="zh-CN"/>
                    </w:rPr>
                  </w:pPr>
                  <w:r>
                    <w:rPr>
                      <w:rFonts w:hint="eastAsia"/>
                      <w:color w:val="auto"/>
                      <w:w w:val="100"/>
                      <w:highlight w:val="none"/>
                      <w:lang w:val="en-US" w:eastAsia="zh-CN"/>
                    </w:rPr>
                    <w:t>依托已建</w:t>
                  </w:r>
                </w:p>
              </w:tc>
            </w:tr>
            <w:tr w14:paraId="17369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Align w:val="center"/>
                </w:tcPr>
                <w:p w14:paraId="66BEFF4B">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辅助工程</w:t>
                  </w:r>
                </w:p>
              </w:tc>
              <w:tc>
                <w:tcPr>
                  <w:tcW w:w="521" w:type="pct"/>
                  <w:tcBorders>
                    <w:bottom w:val="single" w:color="auto" w:sz="4" w:space="0"/>
                  </w:tcBorders>
                  <w:vAlign w:val="center"/>
                </w:tcPr>
                <w:p w14:paraId="4854C71F">
                  <w:pPr>
                    <w:pStyle w:val="42"/>
                    <w:tabs>
                      <w:tab w:val="left" w:pos="7488"/>
                    </w:tabs>
                    <w:kinsoku/>
                    <w:adjustRightInd/>
                    <w:snapToGrid/>
                    <w:rPr>
                      <w:rFonts w:hint="eastAsia" w:eastAsia="宋体"/>
                      <w:color w:val="auto"/>
                      <w:w w:val="100"/>
                      <w:highlight w:val="none"/>
                      <w:lang w:val="en-US" w:eastAsia="zh-CN"/>
                    </w:rPr>
                  </w:pPr>
                  <w:r>
                    <w:rPr>
                      <w:color w:val="auto"/>
                      <w:w w:val="100"/>
                      <w:kern w:val="2"/>
                      <w:highlight w:val="none"/>
                    </w:rPr>
                    <w:t>办公</w:t>
                  </w:r>
                  <w:r>
                    <w:rPr>
                      <w:rFonts w:hint="eastAsia"/>
                      <w:color w:val="auto"/>
                      <w:w w:val="100"/>
                      <w:kern w:val="2"/>
                      <w:highlight w:val="none"/>
                      <w:lang w:val="en-US" w:eastAsia="zh-CN"/>
                    </w:rPr>
                    <w:t>楼</w:t>
                  </w:r>
                </w:p>
              </w:tc>
              <w:tc>
                <w:tcPr>
                  <w:tcW w:w="3613" w:type="pct"/>
                  <w:tcBorders>
                    <w:bottom w:val="single" w:color="auto" w:sz="4" w:space="0"/>
                  </w:tcBorders>
                  <w:vAlign w:val="center"/>
                </w:tcPr>
                <w:p w14:paraId="7767D929">
                  <w:pPr>
                    <w:pStyle w:val="42"/>
                    <w:tabs>
                      <w:tab w:val="left" w:pos="7488"/>
                    </w:tabs>
                    <w:kinsoku/>
                    <w:adjustRightInd/>
                    <w:snapToGrid/>
                    <w:rPr>
                      <w:rFonts w:hint="eastAsia" w:eastAsia="宋体"/>
                      <w:color w:val="auto"/>
                      <w:w w:val="100"/>
                      <w:highlight w:val="none"/>
                      <w:lang w:val="en-US" w:eastAsia="zh-CN"/>
                    </w:rPr>
                  </w:pPr>
                  <w:r>
                    <w:rPr>
                      <w:rFonts w:hint="eastAsia"/>
                      <w:color w:val="auto"/>
                      <w:w w:val="100"/>
                      <w:highlight w:val="none"/>
                      <w:lang w:val="en-US" w:eastAsia="zh-CN"/>
                    </w:rPr>
                    <w:t>3F，</w:t>
                  </w:r>
                  <w:r>
                    <w:rPr>
                      <w:rFonts w:hint="eastAsia"/>
                      <w:color w:val="auto"/>
                      <w:w w:val="100"/>
                      <w:highlight w:val="none"/>
                    </w:rPr>
                    <w:t>租赁已建办公室</w:t>
                  </w:r>
                  <w:r>
                    <w:rPr>
                      <w:rFonts w:hint="eastAsia"/>
                      <w:color w:val="auto"/>
                      <w:w w:val="100"/>
                      <w:highlight w:val="none"/>
                      <w:lang w:val="en-US" w:eastAsia="zh-CN"/>
                    </w:rPr>
                    <w:t>850</w:t>
                  </w:r>
                  <w:r>
                    <w:rPr>
                      <w:rFonts w:hint="eastAsia"/>
                      <w:color w:val="auto"/>
                      <w:w w:val="100"/>
                      <w:highlight w:val="none"/>
                    </w:rPr>
                    <w:t>m</w:t>
                  </w:r>
                  <w:r>
                    <w:rPr>
                      <w:rFonts w:hint="default" w:ascii="Times New Roman" w:hAnsi="Times New Roman" w:cs="Times New Roman"/>
                      <w:color w:val="auto"/>
                      <w:w w:val="100"/>
                      <w:highlight w:val="none"/>
                      <w:lang w:val="en-US" w:eastAsia="zh-CN"/>
                    </w:rPr>
                    <w:t>²</w:t>
                  </w:r>
                  <w:r>
                    <w:rPr>
                      <w:rFonts w:hint="eastAsia"/>
                      <w:color w:val="auto"/>
                      <w:w w:val="100"/>
                      <w:highlight w:val="none"/>
                    </w:rPr>
                    <w:t>，</w:t>
                  </w:r>
                  <w:r>
                    <w:rPr>
                      <w:color w:val="auto"/>
                      <w:w w:val="100"/>
                      <w:highlight w:val="none"/>
                    </w:rPr>
                    <w:t>主要用于办公、行政等</w:t>
                  </w:r>
                </w:p>
              </w:tc>
              <w:tc>
                <w:tcPr>
                  <w:tcW w:w="561" w:type="pct"/>
                  <w:tcBorders>
                    <w:bottom w:val="single" w:color="auto" w:sz="4" w:space="0"/>
                  </w:tcBorders>
                  <w:vAlign w:val="center"/>
                </w:tcPr>
                <w:p w14:paraId="6602DF1F">
                  <w:pPr>
                    <w:pStyle w:val="42"/>
                    <w:tabs>
                      <w:tab w:val="left" w:pos="7488"/>
                    </w:tabs>
                    <w:kinsoku/>
                    <w:adjustRightInd/>
                    <w:snapToGrid/>
                    <w:rPr>
                      <w:color w:val="auto"/>
                      <w:w w:val="100"/>
                      <w:highlight w:val="none"/>
                    </w:rPr>
                  </w:pPr>
                  <w:r>
                    <w:rPr>
                      <w:color w:val="auto"/>
                      <w:w w:val="100"/>
                      <w:highlight w:val="none"/>
                    </w:rPr>
                    <w:t>依托已建</w:t>
                  </w:r>
                </w:p>
              </w:tc>
            </w:tr>
            <w:tr w14:paraId="1B86D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restart"/>
                  <w:vAlign w:val="center"/>
                </w:tcPr>
                <w:p w14:paraId="237456BD">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储运工程</w:t>
                  </w:r>
                </w:p>
              </w:tc>
              <w:tc>
                <w:tcPr>
                  <w:tcW w:w="521" w:type="pct"/>
                  <w:tcBorders>
                    <w:bottom w:val="single" w:color="auto" w:sz="4" w:space="0"/>
                  </w:tcBorders>
                  <w:vAlign w:val="center"/>
                </w:tcPr>
                <w:p w14:paraId="413046FC">
                  <w:pPr>
                    <w:pStyle w:val="42"/>
                    <w:tabs>
                      <w:tab w:val="left" w:pos="7488"/>
                    </w:tabs>
                    <w:kinsoku/>
                    <w:adjustRightInd/>
                    <w:snapToGrid/>
                    <w:rPr>
                      <w:rFonts w:hint="default"/>
                      <w:color w:val="auto"/>
                      <w:w w:val="100"/>
                      <w:highlight w:val="none"/>
                      <w:lang w:val="en-US" w:eastAsia="zh-CN"/>
                    </w:rPr>
                  </w:pPr>
                  <w:r>
                    <w:rPr>
                      <w:rFonts w:hint="eastAsia"/>
                      <w:color w:val="auto"/>
                      <w:w w:val="100"/>
                      <w:highlight w:val="none"/>
                      <w:lang w:val="en-US" w:eastAsia="zh-CN"/>
                    </w:rPr>
                    <w:t>原料区</w:t>
                  </w:r>
                </w:p>
              </w:tc>
              <w:tc>
                <w:tcPr>
                  <w:tcW w:w="3613" w:type="pct"/>
                  <w:tcBorders>
                    <w:bottom w:val="single" w:color="auto" w:sz="4" w:space="0"/>
                  </w:tcBorders>
                  <w:vAlign w:val="center"/>
                </w:tcPr>
                <w:p w14:paraId="741FFF78">
                  <w:pPr>
                    <w:pStyle w:val="42"/>
                    <w:keepNext w:val="0"/>
                    <w:keepLines w:val="0"/>
                    <w:pageBreakBefore w:val="0"/>
                    <w:widowControl w:val="0"/>
                    <w:tabs>
                      <w:tab w:val="left" w:pos="7488"/>
                    </w:tabs>
                    <w:kinsoku/>
                    <w:wordWrap/>
                    <w:overflowPunct/>
                    <w:topLinePunct w:val="0"/>
                    <w:autoSpaceDE/>
                    <w:autoSpaceDN/>
                    <w:bidi w:val="0"/>
                    <w:adjustRightInd/>
                    <w:snapToGrid/>
                    <w:ind w:right="0" w:rightChars="0"/>
                    <w:jc w:val="center"/>
                    <w:textAlignment w:val="center"/>
                    <w:rPr>
                      <w:rFonts w:hint="default"/>
                      <w:color w:val="auto"/>
                      <w:w w:val="100"/>
                      <w:highlight w:val="none"/>
                      <w:lang w:val="en-US" w:eastAsia="zh-CN"/>
                    </w:rPr>
                  </w:pPr>
                  <w:r>
                    <w:rPr>
                      <w:rFonts w:hint="eastAsia" w:cs="Times New Roman"/>
                      <w:color w:val="auto"/>
                      <w:w w:val="100"/>
                      <w:highlight w:val="none"/>
                      <w:lang w:val="en-US" w:eastAsia="zh-CN"/>
                    </w:rPr>
                    <w:t>位于生产车间内西部</w:t>
                  </w:r>
                  <w:r>
                    <w:rPr>
                      <w:rFonts w:hint="default" w:ascii="Times New Roman" w:hAnsi="Times New Roman" w:cs="Times New Roman"/>
                      <w:color w:val="auto"/>
                      <w:w w:val="100"/>
                      <w:highlight w:val="none"/>
                      <w:lang w:val="en-US" w:eastAsia="zh-CN"/>
                    </w:rPr>
                    <w:t>设置铝卷原料区、钢材原料区</w:t>
                  </w:r>
                  <w:r>
                    <w:rPr>
                      <w:rFonts w:hint="eastAsia" w:cs="Times New Roman"/>
                      <w:color w:val="auto"/>
                      <w:w w:val="100"/>
                      <w:highlight w:val="none"/>
                      <w:lang w:val="en-US" w:eastAsia="zh-CN"/>
                    </w:rPr>
                    <w:t>，东部设置</w:t>
                  </w:r>
                  <w:r>
                    <w:rPr>
                      <w:rFonts w:hint="default" w:ascii="Times New Roman" w:hAnsi="Times New Roman" w:cs="Times New Roman"/>
                      <w:color w:val="auto"/>
                      <w:w w:val="100"/>
                      <w:highlight w:val="none"/>
                      <w:lang w:val="en-US" w:eastAsia="zh-CN"/>
                    </w:rPr>
                    <w:t>其他原料存放区，</w:t>
                  </w:r>
                  <w:r>
                    <w:rPr>
                      <w:rFonts w:hint="eastAsia" w:cs="Times New Roman"/>
                      <w:color w:val="auto"/>
                      <w:w w:val="100"/>
                      <w:highlight w:val="none"/>
                      <w:lang w:val="en-US" w:eastAsia="zh-CN"/>
                    </w:rPr>
                    <w:t>总占地</w:t>
                  </w:r>
                  <w:r>
                    <w:rPr>
                      <w:rFonts w:hint="default" w:ascii="Times New Roman" w:hAnsi="Times New Roman" w:cs="Times New Roman"/>
                      <w:color w:val="auto"/>
                      <w:w w:val="100"/>
                      <w:highlight w:val="none"/>
                      <w:lang w:val="en-US" w:eastAsia="zh-CN"/>
                    </w:rPr>
                    <w:t>面积约300</w:t>
                  </w:r>
                  <w:r>
                    <w:rPr>
                      <w:rFonts w:hint="eastAsia" w:ascii="Times New Roman" w:hAnsi="Times New Roman" w:cs="Times New Roman"/>
                      <w:color w:val="auto"/>
                      <w:w w:val="100"/>
                      <w:highlight w:val="none"/>
                      <w:lang w:val="en-US" w:eastAsia="zh-CN"/>
                    </w:rPr>
                    <w:t>m²</w:t>
                  </w:r>
                </w:p>
              </w:tc>
              <w:tc>
                <w:tcPr>
                  <w:tcW w:w="561" w:type="pct"/>
                  <w:tcBorders>
                    <w:bottom w:val="single" w:color="auto" w:sz="4" w:space="0"/>
                  </w:tcBorders>
                  <w:vAlign w:val="center"/>
                </w:tcPr>
                <w:p w14:paraId="0A989B34">
                  <w:pPr>
                    <w:kinsoku/>
                    <w:jc w:val="center"/>
                    <w:rPr>
                      <w:rFonts w:ascii="Times New Roman" w:hAnsi="Times New Roman" w:eastAsia="宋体" w:cs="Times New Roman"/>
                      <w:color w:val="auto"/>
                      <w:w w:val="100"/>
                      <w:highlight w:val="none"/>
                      <w:lang w:eastAsia="zh-CN"/>
                    </w:rPr>
                  </w:pPr>
                  <w:r>
                    <w:rPr>
                      <w:rFonts w:hint="eastAsia" w:ascii="Times New Roman" w:hAnsi="Times New Roman" w:eastAsia="宋体" w:cs="Times New Roman"/>
                      <w:color w:val="auto"/>
                      <w:w w:val="100"/>
                      <w:highlight w:val="none"/>
                      <w:lang w:eastAsia="zh-CN"/>
                    </w:rPr>
                    <w:t>新建</w:t>
                  </w:r>
                </w:p>
              </w:tc>
            </w:tr>
            <w:tr w14:paraId="7CC97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4035ECFB">
                  <w:pPr>
                    <w:pStyle w:val="41"/>
                    <w:kinsoku/>
                    <w:rPr>
                      <w:rFonts w:ascii="Times New Roman" w:hAnsi="Times New Roman" w:eastAsia="宋体"/>
                      <w:color w:val="auto"/>
                      <w:w w:val="100"/>
                      <w:highlight w:val="none"/>
                    </w:rPr>
                  </w:pPr>
                </w:p>
              </w:tc>
              <w:tc>
                <w:tcPr>
                  <w:tcW w:w="521" w:type="pct"/>
                  <w:tcBorders>
                    <w:bottom w:val="single" w:color="auto" w:sz="4" w:space="0"/>
                  </w:tcBorders>
                  <w:vAlign w:val="center"/>
                </w:tcPr>
                <w:p w14:paraId="0FE0363D">
                  <w:pPr>
                    <w:pStyle w:val="42"/>
                    <w:tabs>
                      <w:tab w:val="left" w:pos="7488"/>
                    </w:tabs>
                    <w:kinsoku/>
                    <w:adjustRightInd/>
                    <w:snapToGrid/>
                    <w:rPr>
                      <w:rFonts w:hint="default" w:eastAsia="宋体"/>
                      <w:color w:val="auto"/>
                      <w:w w:val="100"/>
                      <w:highlight w:val="none"/>
                      <w:lang w:val="en-US" w:eastAsia="zh-CN"/>
                    </w:rPr>
                  </w:pPr>
                  <w:r>
                    <w:rPr>
                      <w:rFonts w:hint="eastAsia"/>
                      <w:color w:val="auto"/>
                      <w:w w:val="100"/>
                      <w:highlight w:val="none"/>
                      <w:lang w:val="en-US" w:eastAsia="zh-CN"/>
                    </w:rPr>
                    <w:t>半成品区</w:t>
                  </w:r>
                </w:p>
              </w:tc>
              <w:tc>
                <w:tcPr>
                  <w:tcW w:w="3613" w:type="pct"/>
                  <w:tcBorders>
                    <w:bottom w:val="single" w:color="auto" w:sz="4" w:space="0"/>
                  </w:tcBorders>
                  <w:vAlign w:val="center"/>
                </w:tcPr>
                <w:p w14:paraId="4DA7289B">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w w:val="100"/>
                      <w:highlight w:val="none"/>
                      <w:vertAlign w:val="baseline"/>
                      <w:lang w:val="en-US" w:eastAsia="zh-CN"/>
                    </w:rPr>
                  </w:pPr>
                  <w:r>
                    <w:rPr>
                      <w:rFonts w:hint="eastAsia"/>
                      <w:color w:val="auto"/>
                      <w:w w:val="100"/>
                      <w:highlight w:val="none"/>
                      <w:lang w:val="en-US" w:eastAsia="zh-CN"/>
                    </w:rPr>
                    <w:t>位于生产车间中部，占地面积约300m</w:t>
                  </w:r>
                  <w:r>
                    <w:rPr>
                      <w:rFonts w:hint="eastAsia"/>
                      <w:color w:val="auto"/>
                      <w:w w:val="100"/>
                      <w:highlight w:val="none"/>
                      <w:vertAlign w:val="superscript"/>
                      <w:lang w:val="en-US" w:eastAsia="zh-CN"/>
                    </w:rPr>
                    <w:t>2</w:t>
                  </w:r>
                  <w:r>
                    <w:rPr>
                      <w:rFonts w:hint="eastAsia"/>
                      <w:color w:val="auto"/>
                      <w:w w:val="100"/>
                      <w:highlight w:val="none"/>
                      <w:vertAlign w:val="baseline"/>
                      <w:lang w:val="en-US" w:eastAsia="zh-CN"/>
                    </w:rPr>
                    <w:t>，用于存放加工过后的半成品</w:t>
                  </w:r>
                </w:p>
              </w:tc>
              <w:tc>
                <w:tcPr>
                  <w:tcW w:w="561" w:type="pct"/>
                  <w:tcBorders>
                    <w:bottom w:val="single" w:color="auto" w:sz="4" w:space="0"/>
                  </w:tcBorders>
                  <w:vAlign w:val="center"/>
                </w:tcPr>
                <w:p w14:paraId="710B6721">
                  <w:pPr>
                    <w:kinsoku/>
                    <w:jc w:val="center"/>
                    <w:rPr>
                      <w:rFonts w:hint="eastAsia" w:ascii="Times New Roman" w:hAnsi="Times New Roman" w:eastAsia="宋体" w:cs="Times New Roman"/>
                      <w:color w:val="auto"/>
                      <w:w w:val="100"/>
                      <w:highlight w:val="none"/>
                      <w:lang w:eastAsia="zh-CN"/>
                    </w:rPr>
                  </w:pPr>
                  <w:r>
                    <w:rPr>
                      <w:rFonts w:hint="eastAsia" w:ascii="Times New Roman" w:hAnsi="Times New Roman" w:eastAsia="宋体" w:cs="Times New Roman"/>
                      <w:color w:val="auto"/>
                      <w:w w:val="100"/>
                      <w:highlight w:val="none"/>
                      <w:lang w:eastAsia="zh-CN"/>
                    </w:rPr>
                    <w:t>新建</w:t>
                  </w:r>
                </w:p>
              </w:tc>
            </w:tr>
            <w:tr w14:paraId="7A3E8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06BC2802">
                  <w:pPr>
                    <w:pStyle w:val="41"/>
                    <w:kinsoku/>
                    <w:rPr>
                      <w:rFonts w:ascii="Times New Roman" w:hAnsi="Times New Roman" w:eastAsia="宋体"/>
                      <w:color w:val="auto"/>
                      <w:w w:val="100"/>
                      <w:highlight w:val="none"/>
                    </w:rPr>
                  </w:pPr>
                </w:p>
              </w:tc>
              <w:tc>
                <w:tcPr>
                  <w:tcW w:w="521" w:type="pct"/>
                  <w:tcBorders>
                    <w:top w:val="single" w:color="auto" w:sz="4" w:space="0"/>
                  </w:tcBorders>
                  <w:vAlign w:val="center"/>
                </w:tcPr>
                <w:p w14:paraId="095315BF">
                  <w:pPr>
                    <w:pStyle w:val="42"/>
                    <w:tabs>
                      <w:tab w:val="left" w:pos="7488"/>
                    </w:tabs>
                    <w:kinsoku/>
                    <w:adjustRightInd/>
                    <w:snapToGrid/>
                    <w:rPr>
                      <w:rFonts w:hint="default"/>
                      <w:color w:val="auto"/>
                      <w:w w:val="100"/>
                      <w:highlight w:val="none"/>
                      <w:lang w:val="en-US" w:eastAsia="zh-CN"/>
                    </w:rPr>
                  </w:pPr>
                  <w:r>
                    <w:rPr>
                      <w:rFonts w:hint="eastAsia"/>
                      <w:color w:val="auto"/>
                      <w:w w:val="100"/>
                      <w:highlight w:val="none"/>
                      <w:lang w:val="en-US" w:eastAsia="zh-CN"/>
                    </w:rPr>
                    <w:t>成品区</w:t>
                  </w:r>
                </w:p>
              </w:tc>
              <w:tc>
                <w:tcPr>
                  <w:tcW w:w="3613" w:type="pct"/>
                  <w:tcBorders>
                    <w:top w:val="single" w:color="auto" w:sz="4" w:space="0"/>
                  </w:tcBorders>
                  <w:vAlign w:val="center"/>
                </w:tcPr>
                <w:p w14:paraId="5375F5BC">
                  <w:pPr>
                    <w:pStyle w:val="41"/>
                    <w:kinsoku/>
                    <w:rPr>
                      <w:rFonts w:hint="default" w:ascii="Times New Roman" w:hAnsi="Times New Roman" w:eastAsia="宋体"/>
                      <w:color w:val="auto"/>
                      <w:w w:val="100"/>
                      <w:highlight w:val="none"/>
                      <w:vertAlign w:val="baseline"/>
                      <w:lang w:val="en-US" w:eastAsia="zh-CN"/>
                    </w:rPr>
                  </w:pPr>
                  <w:r>
                    <w:rPr>
                      <w:rFonts w:hint="eastAsia"/>
                      <w:color w:val="auto"/>
                      <w:w w:val="100"/>
                      <w:highlight w:val="none"/>
                      <w:lang w:val="en-US" w:eastAsia="zh-CN"/>
                    </w:rPr>
                    <w:t>位于厂房东部设置成品暂存区，面积约349m</w:t>
                  </w:r>
                  <w:r>
                    <w:rPr>
                      <w:rFonts w:hint="eastAsia"/>
                      <w:color w:val="auto"/>
                      <w:w w:val="100"/>
                      <w:highlight w:val="none"/>
                      <w:vertAlign w:val="superscript"/>
                      <w:lang w:val="en-US" w:eastAsia="zh-CN"/>
                    </w:rPr>
                    <w:t>2</w:t>
                  </w:r>
                </w:p>
              </w:tc>
              <w:tc>
                <w:tcPr>
                  <w:tcW w:w="561" w:type="pct"/>
                  <w:tcBorders>
                    <w:top w:val="single" w:color="auto" w:sz="4" w:space="0"/>
                  </w:tcBorders>
                  <w:vAlign w:val="center"/>
                </w:tcPr>
                <w:p w14:paraId="6F6113B9">
                  <w:pPr>
                    <w:kinsoku/>
                    <w:jc w:val="center"/>
                    <w:rPr>
                      <w:rFonts w:ascii="Times New Roman" w:hAnsi="Times New Roman" w:eastAsia="宋体" w:cs="Times New Roman"/>
                      <w:color w:val="auto"/>
                      <w:w w:val="100"/>
                      <w:highlight w:val="none"/>
                      <w:lang w:eastAsia="zh-CN"/>
                    </w:rPr>
                  </w:pPr>
                  <w:r>
                    <w:rPr>
                      <w:rFonts w:ascii="Times New Roman" w:hAnsi="Times New Roman" w:eastAsia="宋体" w:cs="Times New Roman"/>
                      <w:color w:val="auto"/>
                      <w:w w:val="100"/>
                      <w:highlight w:val="none"/>
                      <w:lang w:eastAsia="zh-CN"/>
                    </w:rPr>
                    <w:t>新建</w:t>
                  </w:r>
                </w:p>
              </w:tc>
            </w:tr>
            <w:tr w14:paraId="25254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42A7847D">
                  <w:pPr>
                    <w:pStyle w:val="41"/>
                    <w:kinsoku/>
                    <w:rPr>
                      <w:rFonts w:ascii="Times New Roman" w:hAnsi="Times New Roman" w:eastAsia="宋体"/>
                      <w:color w:val="auto"/>
                      <w:w w:val="100"/>
                      <w:highlight w:val="none"/>
                    </w:rPr>
                  </w:pPr>
                </w:p>
              </w:tc>
              <w:tc>
                <w:tcPr>
                  <w:tcW w:w="521" w:type="pct"/>
                  <w:tcBorders>
                    <w:top w:val="single" w:color="auto" w:sz="4" w:space="0"/>
                  </w:tcBorders>
                  <w:vAlign w:val="center"/>
                </w:tcPr>
                <w:p w14:paraId="139AE16A">
                  <w:pPr>
                    <w:pStyle w:val="42"/>
                    <w:tabs>
                      <w:tab w:val="left" w:pos="7488"/>
                    </w:tabs>
                    <w:kinsoku/>
                    <w:adjustRightInd/>
                    <w:snapToGrid/>
                    <w:rPr>
                      <w:rFonts w:hint="default"/>
                      <w:color w:val="auto"/>
                      <w:w w:val="100"/>
                      <w:highlight w:val="none"/>
                      <w:lang w:val="en-US" w:eastAsia="zh-CN"/>
                    </w:rPr>
                  </w:pPr>
                  <w:r>
                    <w:rPr>
                      <w:rFonts w:hint="eastAsia"/>
                      <w:color w:val="auto"/>
                      <w:w w:val="100"/>
                      <w:highlight w:val="none"/>
                      <w:lang w:val="en-US" w:eastAsia="zh-CN"/>
                    </w:rPr>
                    <w:t>包装区</w:t>
                  </w:r>
                </w:p>
              </w:tc>
              <w:tc>
                <w:tcPr>
                  <w:tcW w:w="3613" w:type="pct"/>
                  <w:tcBorders>
                    <w:top w:val="single" w:color="auto" w:sz="4" w:space="0"/>
                  </w:tcBorders>
                  <w:vAlign w:val="center"/>
                </w:tcPr>
                <w:p w14:paraId="1694CA1D">
                  <w:pPr>
                    <w:pStyle w:val="41"/>
                    <w:kinsoku/>
                    <w:rPr>
                      <w:rFonts w:hint="default"/>
                      <w:color w:val="auto"/>
                      <w:w w:val="100"/>
                      <w:highlight w:val="none"/>
                      <w:lang w:val="en-US" w:eastAsia="zh-CN"/>
                    </w:rPr>
                  </w:pPr>
                  <w:r>
                    <w:rPr>
                      <w:rFonts w:hint="eastAsia"/>
                      <w:color w:val="auto"/>
                      <w:w w:val="100"/>
                      <w:highlight w:val="none"/>
                      <w:lang w:val="en-US" w:eastAsia="zh-CN"/>
                    </w:rPr>
                    <w:t>车间内设置包装区，位于半成品区东部，面积约200m²</w:t>
                  </w:r>
                </w:p>
              </w:tc>
              <w:tc>
                <w:tcPr>
                  <w:tcW w:w="561" w:type="pct"/>
                  <w:tcBorders>
                    <w:top w:val="single" w:color="auto" w:sz="4" w:space="0"/>
                  </w:tcBorders>
                  <w:vAlign w:val="center"/>
                </w:tcPr>
                <w:p w14:paraId="63F8F29F">
                  <w:pPr>
                    <w:kinsoku/>
                    <w:jc w:val="center"/>
                    <w:rPr>
                      <w:rFonts w:ascii="Times New Roman" w:hAnsi="Times New Roman" w:eastAsia="宋体" w:cs="Times New Roman"/>
                      <w:color w:val="auto"/>
                      <w:w w:val="100"/>
                      <w:highlight w:val="none"/>
                      <w:lang w:eastAsia="zh-CN"/>
                    </w:rPr>
                  </w:pPr>
                  <w:r>
                    <w:rPr>
                      <w:rFonts w:hint="eastAsia" w:ascii="Times New Roman" w:hAnsi="Times New Roman" w:eastAsia="宋体" w:cs="Times New Roman"/>
                      <w:color w:val="auto"/>
                      <w:w w:val="100"/>
                      <w:highlight w:val="none"/>
                      <w:lang w:eastAsia="zh-CN"/>
                    </w:rPr>
                    <w:t>新建</w:t>
                  </w:r>
                </w:p>
              </w:tc>
            </w:tr>
            <w:tr w14:paraId="50C2A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763D319A">
                  <w:pPr>
                    <w:pStyle w:val="41"/>
                    <w:kinsoku/>
                    <w:rPr>
                      <w:rFonts w:ascii="Times New Roman" w:hAnsi="Times New Roman" w:eastAsia="宋体"/>
                      <w:color w:val="auto"/>
                      <w:w w:val="100"/>
                      <w:highlight w:val="none"/>
                    </w:rPr>
                  </w:pPr>
                </w:p>
              </w:tc>
              <w:tc>
                <w:tcPr>
                  <w:tcW w:w="521" w:type="pct"/>
                  <w:tcBorders>
                    <w:top w:val="single" w:color="auto" w:sz="4" w:space="0"/>
                  </w:tcBorders>
                  <w:vAlign w:val="center"/>
                </w:tcPr>
                <w:p w14:paraId="082BFC94">
                  <w:pPr>
                    <w:pStyle w:val="42"/>
                    <w:tabs>
                      <w:tab w:val="left" w:pos="7488"/>
                    </w:tabs>
                    <w:kinsoku/>
                    <w:adjustRightInd/>
                    <w:snapToGrid/>
                    <w:rPr>
                      <w:rFonts w:hint="default"/>
                      <w:color w:val="auto"/>
                      <w:w w:val="100"/>
                      <w:highlight w:val="none"/>
                      <w:lang w:val="en-US" w:eastAsia="zh-CN"/>
                    </w:rPr>
                  </w:pPr>
                  <w:r>
                    <w:rPr>
                      <w:rFonts w:hint="eastAsia"/>
                      <w:color w:val="auto"/>
                      <w:w w:val="100"/>
                      <w:highlight w:val="none"/>
                      <w:lang w:val="en-US" w:eastAsia="zh-CN"/>
                    </w:rPr>
                    <w:t>化学品库</w:t>
                  </w:r>
                </w:p>
              </w:tc>
              <w:tc>
                <w:tcPr>
                  <w:tcW w:w="3613" w:type="pct"/>
                  <w:tcBorders>
                    <w:top w:val="single" w:color="auto" w:sz="4" w:space="0"/>
                  </w:tcBorders>
                  <w:vAlign w:val="center"/>
                </w:tcPr>
                <w:p w14:paraId="7607F053">
                  <w:pPr>
                    <w:pStyle w:val="41"/>
                    <w:kinsoku/>
                    <w:rPr>
                      <w:rFonts w:hint="default"/>
                      <w:color w:val="auto"/>
                      <w:w w:val="100"/>
                      <w:highlight w:val="none"/>
                      <w:lang w:val="en-US" w:eastAsia="zh-CN"/>
                    </w:rPr>
                  </w:pPr>
                  <w:r>
                    <w:rPr>
                      <w:rFonts w:hint="eastAsia"/>
                      <w:color w:val="auto"/>
                      <w:w w:val="100"/>
                      <w:highlight w:val="none"/>
                      <w:lang w:val="en-US" w:eastAsia="zh-CN"/>
                    </w:rPr>
                    <w:t>位于生产车间西部，用于暂存喷涂工序使用的水性漆、脱脂剂、无铬钝化剂以及机油等化学品，化学品密闭桶装，暂存区地面设置托盘，以防泄漏厂房外，面积约50m²</w:t>
                  </w:r>
                </w:p>
              </w:tc>
              <w:tc>
                <w:tcPr>
                  <w:tcW w:w="561" w:type="pct"/>
                  <w:tcBorders>
                    <w:top w:val="single" w:color="auto" w:sz="4" w:space="0"/>
                  </w:tcBorders>
                  <w:vAlign w:val="center"/>
                </w:tcPr>
                <w:p w14:paraId="63570075">
                  <w:pPr>
                    <w:kinsoku/>
                    <w:jc w:val="center"/>
                    <w:rPr>
                      <w:rFonts w:ascii="Times New Roman" w:hAnsi="Times New Roman" w:eastAsia="宋体" w:cs="Times New Roman"/>
                      <w:color w:val="auto"/>
                      <w:w w:val="100"/>
                      <w:highlight w:val="none"/>
                      <w:lang w:eastAsia="zh-CN"/>
                    </w:rPr>
                  </w:pPr>
                  <w:r>
                    <w:rPr>
                      <w:rFonts w:hint="eastAsia" w:ascii="Times New Roman" w:hAnsi="Times New Roman" w:eastAsia="宋体" w:cs="Times New Roman"/>
                      <w:color w:val="auto"/>
                      <w:w w:val="100"/>
                      <w:highlight w:val="none"/>
                      <w:lang w:eastAsia="zh-CN"/>
                    </w:rPr>
                    <w:t>新建</w:t>
                  </w:r>
                </w:p>
              </w:tc>
            </w:tr>
            <w:tr w14:paraId="3E995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restart"/>
                  <w:vAlign w:val="center"/>
                </w:tcPr>
                <w:p w14:paraId="7609A4B9">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公用工程</w:t>
                  </w:r>
                </w:p>
              </w:tc>
              <w:tc>
                <w:tcPr>
                  <w:tcW w:w="521" w:type="pct"/>
                  <w:vAlign w:val="center"/>
                </w:tcPr>
                <w:p w14:paraId="6B0148D6">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供水工程</w:t>
                  </w:r>
                </w:p>
              </w:tc>
              <w:tc>
                <w:tcPr>
                  <w:tcW w:w="3613" w:type="pct"/>
                  <w:vAlign w:val="center"/>
                </w:tcPr>
                <w:p w14:paraId="2B542EDB">
                  <w:pPr>
                    <w:pStyle w:val="41"/>
                    <w:kinsoku/>
                    <w:rPr>
                      <w:rFonts w:hint="eastAsia" w:ascii="Times New Roman" w:hAnsi="Times New Roman" w:eastAsia="宋体"/>
                      <w:color w:val="auto"/>
                      <w:w w:val="100"/>
                      <w:highlight w:val="none"/>
                      <w:lang w:eastAsia="zh-CN"/>
                    </w:rPr>
                  </w:pPr>
                  <w:r>
                    <w:rPr>
                      <w:rFonts w:ascii="Times New Roman" w:hAnsi="Times New Roman" w:eastAsia="宋体"/>
                      <w:color w:val="auto"/>
                      <w:w w:val="100"/>
                      <w:highlight w:val="none"/>
                    </w:rPr>
                    <w:t>园区供水系统，用水量为</w:t>
                  </w:r>
                  <w:r>
                    <w:rPr>
                      <w:rFonts w:hint="eastAsia"/>
                      <w:color w:val="auto"/>
                      <w:w w:val="100"/>
                      <w:highlight w:val="none"/>
                      <w:lang w:val="en-US" w:eastAsia="zh-CN"/>
                    </w:rPr>
                    <w:t>6093.2</w:t>
                  </w:r>
                  <w:r>
                    <w:rPr>
                      <w:rFonts w:ascii="Times New Roman" w:hAnsi="Times New Roman" w:eastAsia="宋体"/>
                      <w:color w:val="auto"/>
                      <w:w w:val="100"/>
                      <w:highlight w:val="none"/>
                      <w:lang w:eastAsia="zh-CN"/>
                    </w:rPr>
                    <w:t>t</w:t>
                  </w:r>
                  <w:r>
                    <w:rPr>
                      <w:rFonts w:ascii="Times New Roman" w:hAnsi="Times New Roman" w:eastAsia="宋体"/>
                      <w:color w:val="auto"/>
                      <w:w w:val="100"/>
                      <w:highlight w:val="none"/>
                    </w:rPr>
                    <w:t>/a</w:t>
                  </w:r>
                </w:p>
              </w:tc>
              <w:tc>
                <w:tcPr>
                  <w:tcW w:w="561" w:type="pct"/>
                  <w:vAlign w:val="center"/>
                </w:tcPr>
                <w:p w14:paraId="57965DCD">
                  <w:pPr>
                    <w:kinsoku/>
                    <w:jc w:val="center"/>
                    <w:rPr>
                      <w:rFonts w:ascii="Times New Roman" w:hAnsi="Times New Roman" w:eastAsia="宋体" w:cs="Times New Roman"/>
                      <w:color w:val="auto"/>
                      <w:w w:val="100"/>
                      <w:highlight w:val="none"/>
                      <w:lang w:eastAsia="zh-CN"/>
                    </w:rPr>
                  </w:pPr>
                  <w:r>
                    <w:rPr>
                      <w:rFonts w:hint="eastAsia" w:ascii="Times New Roman" w:hAnsi="Times New Roman" w:eastAsia="宋体" w:cs="Times New Roman"/>
                      <w:color w:val="auto"/>
                      <w:w w:val="100"/>
                      <w:highlight w:val="none"/>
                      <w:lang w:eastAsia="zh-CN"/>
                    </w:rPr>
                    <w:t>依托园区</w:t>
                  </w:r>
                </w:p>
              </w:tc>
            </w:tr>
            <w:tr w14:paraId="36C24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1CB57936">
                  <w:pPr>
                    <w:pStyle w:val="41"/>
                    <w:kinsoku/>
                    <w:rPr>
                      <w:rFonts w:ascii="Times New Roman" w:hAnsi="Times New Roman" w:eastAsia="宋体"/>
                      <w:color w:val="auto"/>
                      <w:w w:val="100"/>
                      <w:highlight w:val="none"/>
                    </w:rPr>
                  </w:pPr>
                </w:p>
              </w:tc>
              <w:tc>
                <w:tcPr>
                  <w:tcW w:w="521" w:type="pct"/>
                  <w:vAlign w:val="center"/>
                </w:tcPr>
                <w:p w14:paraId="78F7C8DB">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排水工程</w:t>
                  </w:r>
                </w:p>
              </w:tc>
              <w:tc>
                <w:tcPr>
                  <w:tcW w:w="3613" w:type="pct"/>
                  <w:vAlign w:val="center"/>
                </w:tcPr>
                <w:p w14:paraId="54E17B42">
                  <w:pPr>
                    <w:pStyle w:val="43"/>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w w:val="100"/>
                      <w:highlight w:val="none"/>
                      <w:lang w:val="en-US" w:eastAsia="zh-CN"/>
                    </w:rPr>
                  </w:pPr>
                  <w:r>
                    <w:rPr>
                      <w:rFonts w:hint="default" w:ascii="Times New Roman" w:hAnsi="Times New Roman" w:eastAsia="宋体" w:cs="Times New Roman"/>
                      <w:color w:val="auto"/>
                      <w:w w:val="100"/>
                      <w:kern w:val="2"/>
                      <w:sz w:val="21"/>
                      <w:szCs w:val="21"/>
                      <w:highlight w:val="none"/>
                      <w:lang w:val="en-US" w:eastAsia="zh-CN" w:bidi="ar-SA"/>
                    </w:rPr>
                    <w:t>雨污分流体制，雨水经依托厂区已建雨水管网排放至湘西沟；生活污水依托已建隔油池、化粪池预处理后排入园区污水管网经安徽淮相科技发展有限公司第二污水处理；生产废水经自建污水处理站处理排入园区污水管网经安徽淮相科技发展有限公司第二污水处理，污水处理站处理工艺（隔油+气浮+混凝沉淀+A/O+沉淀）</w:t>
                  </w:r>
                </w:p>
              </w:tc>
              <w:tc>
                <w:tcPr>
                  <w:tcW w:w="561" w:type="pct"/>
                  <w:vAlign w:val="center"/>
                </w:tcPr>
                <w:p w14:paraId="69427CFF">
                  <w:pPr>
                    <w:kinsoku/>
                    <w:jc w:val="center"/>
                    <w:rPr>
                      <w:rFonts w:hint="default" w:ascii="Times New Roman" w:hAnsi="Times New Roman" w:eastAsia="宋体" w:cs="Times New Roman"/>
                      <w:color w:val="auto"/>
                      <w:w w:val="100"/>
                      <w:highlight w:val="none"/>
                      <w:lang w:val="en-US" w:eastAsia="zh-CN"/>
                    </w:rPr>
                  </w:pPr>
                  <w:r>
                    <w:rPr>
                      <w:rFonts w:hint="eastAsia" w:cs="Times New Roman"/>
                      <w:color w:val="auto"/>
                      <w:w w:val="100"/>
                      <w:highlight w:val="none"/>
                      <w:lang w:val="en-US" w:eastAsia="zh-CN"/>
                    </w:rPr>
                    <w:t>化粪池依托园区，污水处理站新建</w:t>
                  </w:r>
                </w:p>
              </w:tc>
            </w:tr>
            <w:tr w14:paraId="59D09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55AAA25B">
                  <w:pPr>
                    <w:pStyle w:val="41"/>
                    <w:kinsoku/>
                    <w:rPr>
                      <w:rFonts w:ascii="Times New Roman" w:hAnsi="Times New Roman" w:eastAsia="宋体"/>
                      <w:color w:val="auto"/>
                      <w:w w:val="100"/>
                      <w:highlight w:val="none"/>
                    </w:rPr>
                  </w:pPr>
                </w:p>
              </w:tc>
              <w:tc>
                <w:tcPr>
                  <w:tcW w:w="521" w:type="pct"/>
                  <w:vAlign w:val="center"/>
                </w:tcPr>
                <w:p w14:paraId="0E234F7C">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供电工程</w:t>
                  </w:r>
                </w:p>
              </w:tc>
              <w:tc>
                <w:tcPr>
                  <w:tcW w:w="3613" w:type="pct"/>
                  <w:vAlign w:val="center"/>
                </w:tcPr>
                <w:p w14:paraId="7BACF407">
                  <w:pPr>
                    <w:pStyle w:val="41"/>
                    <w:kinsoku/>
                    <w:rPr>
                      <w:rFonts w:hint="default" w:ascii="Times New Roman" w:hAnsi="Times New Roman" w:eastAsia="宋体"/>
                      <w:color w:val="auto"/>
                      <w:w w:val="100"/>
                      <w:highlight w:val="none"/>
                      <w:lang w:val="en-US" w:eastAsia="zh-CN"/>
                    </w:rPr>
                  </w:pPr>
                  <w:r>
                    <w:rPr>
                      <w:color w:val="auto"/>
                      <w:w w:val="100"/>
                      <w:highlight w:val="none"/>
                    </w:rPr>
                    <w:t>依托园区</w:t>
                  </w:r>
                  <w:r>
                    <w:rPr>
                      <w:rFonts w:hint="eastAsia"/>
                      <w:color w:val="auto"/>
                      <w:w w:val="100"/>
                      <w:highlight w:val="none"/>
                    </w:rPr>
                    <w:t>供电系统</w:t>
                  </w:r>
                  <w:r>
                    <w:rPr>
                      <w:rFonts w:hint="eastAsia"/>
                      <w:color w:val="auto"/>
                      <w:w w:val="100"/>
                      <w:highlight w:val="none"/>
                      <w:lang w:eastAsia="zh-CN"/>
                    </w:rPr>
                    <w:t>，</w:t>
                  </w:r>
                  <w:r>
                    <w:rPr>
                      <w:rFonts w:hint="eastAsia"/>
                      <w:color w:val="auto"/>
                      <w:w w:val="100"/>
                      <w:highlight w:val="none"/>
                      <w:lang w:val="en-US" w:eastAsia="zh-CN"/>
                    </w:rPr>
                    <w:t>不单独设变压器</w:t>
                  </w:r>
                </w:p>
              </w:tc>
              <w:tc>
                <w:tcPr>
                  <w:tcW w:w="561" w:type="pct"/>
                  <w:vAlign w:val="center"/>
                </w:tcPr>
                <w:p w14:paraId="351AA249">
                  <w:pPr>
                    <w:kinsoku/>
                    <w:jc w:val="center"/>
                    <w:rPr>
                      <w:rFonts w:ascii="Times New Roman" w:hAnsi="Times New Roman" w:eastAsia="宋体" w:cs="Times New Roman"/>
                      <w:color w:val="auto"/>
                      <w:w w:val="100"/>
                      <w:highlight w:val="none"/>
                    </w:rPr>
                  </w:pPr>
                  <w:r>
                    <w:rPr>
                      <w:rFonts w:hint="eastAsia" w:ascii="Times New Roman" w:hAnsi="Times New Roman" w:eastAsia="宋体" w:cs="Times New Roman"/>
                      <w:color w:val="auto"/>
                      <w:w w:val="100"/>
                      <w:highlight w:val="none"/>
                      <w:lang w:eastAsia="zh-CN"/>
                    </w:rPr>
                    <w:t>依托园区</w:t>
                  </w:r>
                </w:p>
              </w:tc>
            </w:tr>
            <w:tr w14:paraId="586C2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restart"/>
                  <w:vAlign w:val="center"/>
                </w:tcPr>
                <w:p w14:paraId="32B740AF">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环保工程</w:t>
                  </w:r>
                </w:p>
              </w:tc>
              <w:tc>
                <w:tcPr>
                  <w:tcW w:w="521" w:type="pct"/>
                  <w:vMerge w:val="restart"/>
                  <w:vAlign w:val="center"/>
                </w:tcPr>
                <w:p w14:paraId="3B3943FB">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废气处理</w:t>
                  </w:r>
                </w:p>
              </w:tc>
              <w:tc>
                <w:tcPr>
                  <w:tcW w:w="3613" w:type="pct"/>
                  <w:tcBorders>
                    <w:bottom w:val="single" w:color="auto" w:sz="4" w:space="0"/>
                  </w:tcBorders>
                  <w:vAlign w:val="center"/>
                </w:tcPr>
                <w:p w14:paraId="1EF1B5D3">
                  <w:pPr>
                    <w:pStyle w:val="41"/>
                    <w:kinsoku/>
                    <w:rPr>
                      <w:rFonts w:hint="default" w:ascii="Times New Roman" w:hAnsi="Times New Roman" w:eastAsia="宋体"/>
                      <w:color w:val="auto"/>
                      <w:w w:val="100"/>
                      <w:highlight w:val="none"/>
                      <w:lang w:val="en-US" w:eastAsia="zh-CN"/>
                    </w:rPr>
                  </w:pPr>
                  <w:r>
                    <w:rPr>
                      <w:rFonts w:hint="eastAsia"/>
                      <w:color w:val="auto"/>
                      <w:w w:val="100"/>
                      <w:highlight w:val="none"/>
                      <w:lang w:val="en-US" w:eastAsia="zh-CN"/>
                    </w:rPr>
                    <w:t>下料、焊接、打磨抛光废气经集气罩收集后由一套布袋除尘器处理后通过15m高排气筒排放（DA001）</w:t>
                  </w:r>
                </w:p>
              </w:tc>
              <w:tc>
                <w:tcPr>
                  <w:tcW w:w="561" w:type="pct"/>
                  <w:tcBorders>
                    <w:bottom w:val="single" w:color="auto" w:sz="4" w:space="0"/>
                  </w:tcBorders>
                  <w:vAlign w:val="center"/>
                </w:tcPr>
                <w:p w14:paraId="39D917A0">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新建</w:t>
                  </w:r>
                </w:p>
              </w:tc>
            </w:tr>
            <w:tr w14:paraId="55CA5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2DD7E455">
                  <w:pPr>
                    <w:pStyle w:val="41"/>
                    <w:kinsoku/>
                    <w:rPr>
                      <w:rFonts w:ascii="Times New Roman" w:hAnsi="Times New Roman" w:eastAsia="宋体"/>
                      <w:color w:val="auto"/>
                      <w:w w:val="100"/>
                      <w:highlight w:val="none"/>
                    </w:rPr>
                  </w:pPr>
                </w:p>
              </w:tc>
              <w:tc>
                <w:tcPr>
                  <w:tcW w:w="521" w:type="pct"/>
                  <w:vMerge w:val="continue"/>
                  <w:vAlign w:val="center"/>
                </w:tcPr>
                <w:p w14:paraId="10D91ED6">
                  <w:pPr>
                    <w:pStyle w:val="41"/>
                    <w:kinsoku/>
                    <w:rPr>
                      <w:rFonts w:ascii="Times New Roman" w:hAnsi="Times New Roman" w:eastAsia="宋体"/>
                      <w:color w:val="auto"/>
                      <w:w w:val="100"/>
                      <w:highlight w:val="none"/>
                    </w:rPr>
                  </w:pPr>
                </w:p>
              </w:tc>
              <w:tc>
                <w:tcPr>
                  <w:tcW w:w="3613" w:type="pct"/>
                  <w:tcBorders>
                    <w:top w:val="single" w:color="auto" w:sz="4" w:space="0"/>
                  </w:tcBorders>
                  <w:vAlign w:val="center"/>
                </w:tcPr>
                <w:p w14:paraId="1E7AB4E5">
                  <w:pPr>
                    <w:pStyle w:val="41"/>
                    <w:kinsoku/>
                    <w:rPr>
                      <w:rFonts w:hint="default"/>
                      <w:color w:val="auto"/>
                      <w:w w:val="100"/>
                      <w:highlight w:val="none"/>
                      <w:lang w:val="en-US" w:eastAsia="zh-CN"/>
                    </w:rPr>
                  </w:pPr>
                  <w:r>
                    <w:rPr>
                      <w:rFonts w:hint="eastAsia"/>
                      <w:color w:val="auto"/>
                      <w:w w:val="100"/>
                      <w:highlight w:val="none"/>
                      <w:lang w:val="en-US" w:eastAsia="zh-CN"/>
                    </w:rPr>
                    <w:t>抛丸废气设备密闭收集后经自带脉冲布袋除尘器处理后通过一根15m高排气筒排放（DA002）</w:t>
                  </w:r>
                </w:p>
              </w:tc>
              <w:tc>
                <w:tcPr>
                  <w:tcW w:w="561" w:type="pct"/>
                  <w:tcBorders>
                    <w:top w:val="single" w:color="auto" w:sz="4" w:space="0"/>
                  </w:tcBorders>
                  <w:vAlign w:val="center"/>
                </w:tcPr>
                <w:p w14:paraId="73F61E8B">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新建</w:t>
                  </w:r>
                </w:p>
              </w:tc>
            </w:tr>
            <w:tr w14:paraId="3BAAF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2A064CA4">
                  <w:pPr>
                    <w:pStyle w:val="41"/>
                    <w:kinsoku/>
                    <w:rPr>
                      <w:rFonts w:ascii="Times New Roman" w:hAnsi="Times New Roman" w:eastAsia="宋体"/>
                      <w:color w:val="auto"/>
                      <w:w w:val="100"/>
                      <w:highlight w:val="none"/>
                    </w:rPr>
                  </w:pPr>
                </w:p>
              </w:tc>
              <w:tc>
                <w:tcPr>
                  <w:tcW w:w="521" w:type="pct"/>
                  <w:vMerge w:val="continue"/>
                  <w:vAlign w:val="center"/>
                </w:tcPr>
                <w:p w14:paraId="6B08C99C">
                  <w:pPr>
                    <w:pStyle w:val="41"/>
                    <w:kinsoku/>
                    <w:rPr>
                      <w:rFonts w:ascii="Times New Roman" w:hAnsi="Times New Roman" w:eastAsia="宋体"/>
                      <w:color w:val="auto"/>
                      <w:w w:val="100"/>
                      <w:highlight w:val="none"/>
                    </w:rPr>
                  </w:pPr>
                </w:p>
              </w:tc>
              <w:tc>
                <w:tcPr>
                  <w:tcW w:w="3613" w:type="pct"/>
                  <w:tcBorders>
                    <w:top w:val="single" w:color="auto" w:sz="4" w:space="0"/>
                  </w:tcBorders>
                  <w:vAlign w:val="center"/>
                </w:tcPr>
                <w:p w14:paraId="00E2B611">
                  <w:pPr>
                    <w:pStyle w:val="41"/>
                    <w:kinsoku/>
                    <w:rPr>
                      <w:rFonts w:hint="default"/>
                      <w:color w:val="auto"/>
                      <w:w w:val="100"/>
                      <w:highlight w:val="none"/>
                      <w:lang w:val="en-US" w:eastAsia="zh-CN"/>
                    </w:rPr>
                  </w:pPr>
                  <w:r>
                    <w:rPr>
                      <w:rFonts w:hint="eastAsia"/>
                      <w:color w:val="auto"/>
                      <w:w w:val="100"/>
                      <w:highlight w:val="none"/>
                      <w:lang w:val="en-US" w:eastAsia="zh-CN"/>
                    </w:rPr>
                    <w:t>喷塑废气经密闭负压收集后经滤芯除尘+布袋除尘器处理后通过15m高排气筒排放（DA003）</w:t>
                  </w:r>
                </w:p>
              </w:tc>
              <w:tc>
                <w:tcPr>
                  <w:tcW w:w="561" w:type="pct"/>
                  <w:tcBorders>
                    <w:top w:val="single" w:color="auto" w:sz="4" w:space="0"/>
                  </w:tcBorders>
                  <w:vAlign w:val="center"/>
                </w:tcPr>
                <w:p w14:paraId="51DC778D">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新建</w:t>
                  </w:r>
                </w:p>
              </w:tc>
            </w:tr>
            <w:tr w14:paraId="7861D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0C71FAA2">
                  <w:pPr>
                    <w:pStyle w:val="41"/>
                    <w:kinsoku/>
                    <w:rPr>
                      <w:rFonts w:ascii="Times New Roman" w:hAnsi="Times New Roman" w:eastAsia="宋体"/>
                      <w:color w:val="auto"/>
                      <w:w w:val="100"/>
                      <w:highlight w:val="none"/>
                    </w:rPr>
                  </w:pPr>
                </w:p>
              </w:tc>
              <w:tc>
                <w:tcPr>
                  <w:tcW w:w="521" w:type="pct"/>
                  <w:vMerge w:val="continue"/>
                  <w:vAlign w:val="center"/>
                </w:tcPr>
                <w:p w14:paraId="7E8BFE01">
                  <w:pPr>
                    <w:pStyle w:val="41"/>
                    <w:kinsoku/>
                    <w:rPr>
                      <w:rFonts w:ascii="Times New Roman" w:hAnsi="Times New Roman" w:eastAsia="宋体"/>
                      <w:color w:val="auto"/>
                      <w:w w:val="100"/>
                      <w:highlight w:val="none"/>
                    </w:rPr>
                  </w:pPr>
                </w:p>
              </w:tc>
              <w:tc>
                <w:tcPr>
                  <w:tcW w:w="3613" w:type="pct"/>
                  <w:tcBorders>
                    <w:top w:val="single" w:color="auto" w:sz="4" w:space="0"/>
                  </w:tcBorders>
                  <w:vAlign w:val="center"/>
                </w:tcPr>
                <w:p w14:paraId="1225655E">
                  <w:pPr>
                    <w:pStyle w:val="41"/>
                    <w:kinsoku/>
                    <w:rPr>
                      <w:rFonts w:hint="eastAsia"/>
                      <w:color w:val="auto"/>
                      <w:w w:val="100"/>
                      <w:highlight w:val="none"/>
                      <w:lang w:val="en-US" w:eastAsia="zh-CN"/>
                    </w:rPr>
                  </w:pPr>
                  <w:r>
                    <w:rPr>
                      <w:rFonts w:hint="eastAsia"/>
                      <w:color w:val="auto"/>
                      <w:w w:val="100"/>
                      <w:highlight w:val="none"/>
                      <w:lang w:val="en-US" w:eastAsia="zh-CN"/>
                    </w:rPr>
                    <w:t>天然气经低氮燃烧后与固化/烘干废气经集气罩+风冷+二级活性炭吸附处理后通过15m高排气筒排放（DA004）</w:t>
                  </w:r>
                </w:p>
              </w:tc>
              <w:tc>
                <w:tcPr>
                  <w:tcW w:w="561" w:type="pct"/>
                  <w:vMerge w:val="restart"/>
                  <w:tcBorders>
                    <w:top w:val="single" w:color="auto" w:sz="4" w:space="0"/>
                  </w:tcBorders>
                  <w:vAlign w:val="center"/>
                </w:tcPr>
                <w:p w14:paraId="2973D2F1">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新建</w:t>
                  </w:r>
                </w:p>
              </w:tc>
            </w:tr>
            <w:tr w14:paraId="05E10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5412B43B">
                  <w:pPr>
                    <w:pStyle w:val="41"/>
                    <w:kinsoku/>
                    <w:rPr>
                      <w:color w:val="auto"/>
                      <w:w w:val="100"/>
                      <w:highlight w:val="none"/>
                    </w:rPr>
                  </w:pPr>
                </w:p>
              </w:tc>
              <w:tc>
                <w:tcPr>
                  <w:tcW w:w="521" w:type="pct"/>
                  <w:vMerge w:val="continue"/>
                  <w:vAlign w:val="center"/>
                </w:tcPr>
                <w:p w14:paraId="7422339B">
                  <w:pPr>
                    <w:pStyle w:val="41"/>
                    <w:kinsoku/>
                    <w:rPr>
                      <w:color w:val="auto"/>
                      <w:w w:val="100"/>
                      <w:highlight w:val="none"/>
                    </w:rPr>
                  </w:pPr>
                </w:p>
              </w:tc>
              <w:tc>
                <w:tcPr>
                  <w:tcW w:w="3613" w:type="pct"/>
                  <w:tcBorders>
                    <w:top w:val="single" w:color="auto" w:sz="4" w:space="0"/>
                  </w:tcBorders>
                  <w:vAlign w:val="center"/>
                </w:tcPr>
                <w:p w14:paraId="519C05EA">
                  <w:pPr>
                    <w:pStyle w:val="41"/>
                    <w:kinsoku/>
                    <w:rPr>
                      <w:rFonts w:hint="default"/>
                      <w:color w:val="auto"/>
                      <w:w w:val="100"/>
                      <w:highlight w:val="none"/>
                      <w:lang w:val="en-US"/>
                    </w:rPr>
                  </w:pPr>
                  <w:r>
                    <w:rPr>
                      <w:rFonts w:hint="eastAsia"/>
                      <w:color w:val="auto"/>
                      <w:w w:val="100"/>
                      <w:highlight w:val="none"/>
                      <w:lang w:val="en-US" w:eastAsia="zh-CN"/>
                    </w:rPr>
                    <w:t>水分烘干天然气经低氮燃烧器燃烧废气汇入（DA004）排气筒</w:t>
                  </w:r>
                </w:p>
              </w:tc>
              <w:tc>
                <w:tcPr>
                  <w:tcW w:w="561" w:type="pct"/>
                  <w:vMerge w:val="continue"/>
                  <w:vAlign w:val="center"/>
                </w:tcPr>
                <w:p w14:paraId="07BF9814">
                  <w:pPr>
                    <w:pStyle w:val="41"/>
                    <w:kinsoku/>
                    <w:rPr>
                      <w:color w:val="auto"/>
                      <w:w w:val="100"/>
                      <w:highlight w:val="none"/>
                    </w:rPr>
                  </w:pPr>
                </w:p>
              </w:tc>
            </w:tr>
            <w:tr w14:paraId="59102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18067557">
                  <w:pPr>
                    <w:pStyle w:val="41"/>
                    <w:kinsoku/>
                    <w:rPr>
                      <w:rFonts w:ascii="Times New Roman" w:hAnsi="Times New Roman" w:eastAsia="宋体"/>
                      <w:color w:val="auto"/>
                      <w:w w:val="100"/>
                      <w:highlight w:val="none"/>
                    </w:rPr>
                  </w:pPr>
                </w:p>
              </w:tc>
              <w:tc>
                <w:tcPr>
                  <w:tcW w:w="521" w:type="pct"/>
                  <w:vMerge w:val="continue"/>
                  <w:vAlign w:val="center"/>
                </w:tcPr>
                <w:p w14:paraId="68442D69">
                  <w:pPr>
                    <w:pStyle w:val="41"/>
                    <w:kinsoku/>
                    <w:rPr>
                      <w:rFonts w:ascii="Times New Roman" w:hAnsi="Times New Roman" w:eastAsia="宋体"/>
                      <w:color w:val="auto"/>
                      <w:w w:val="100"/>
                      <w:highlight w:val="none"/>
                    </w:rPr>
                  </w:pPr>
                </w:p>
              </w:tc>
              <w:tc>
                <w:tcPr>
                  <w:tcW w:w="3613" w:type="pct"/>
                  <w:tcBorders>
                    <w:top w:val="single" w:color="auto" w:sz="4" w:space="0"/>
                  </w:tcBorders>
                  <w:vAlign w:val="center"/>
                </w:tcPr>
                <w:p w14:paraId="4B07D8B3">
                  <w:pPr>
                    <w:pStyle w:val="41"/>
                    <w:keepNext w:val="0"/>
                    <w:keepLines w:val="0"/>
                    <w:pageBreakBefore w:val="0"/>
                    <w:widowControl w:val="0"/>
                    <w:kinsoku/>
                    <w:wordWrap/>
                    <w:overflowPunct/>
                    <w:topLinePunct w:val="0"/>
                    <w:autoSpaceDE/>
                    <w:autoSpaceDN/>
                    <w:bidi w:val="0"/>
                    <w:adjustRightInd/>
                    <w:snapToGrid/>
                    <w:textAlignment w:val="auto"/>
                    <w:rPr>
                      <w:rFonts w:hint="eastAsia"/>
                      <w:color w:val="auto"/>
                      <w:w w:val="100"/>
                      <w:highlight w:val="none"/>
                      <w:lang w:val="en-US" w:eastAsia="zh-CN"/>
                    </w:rPr>
                  </w:pPr>
                  <w:r>
                    <w:rPr>
                      <w:rFonts w:hint="eastAsia"/>
                      <w:color w:val="auto"/>
                      <w:w w:val="100"/>
                      <w:highlight w:val="none"/>
                      <w:lang w:val="en-US" w:eastAsia="zh-CN"/>
                    </w:rPr>
                    <w:t>喷漆废气经密闭负压收集后经干式过滤+二级活性炭吸附处理后通过15m高排气筒排放（DA005）</w:t>
                  </w:r>
                </w:p>
              </w:tc>
              <w:tc>
                <w:tcPr>
                  <w:tcW w:w="561" w:type="pct"/>
                  <w:tcBorders>
                    <w:top w:val="single" w:color="auto" w:sz="4" w:space="0"/>
                  </w:tcBorders>
                  <w:vAlign w:val="center"/>
                </w:tcPr>
                <w:p w14:paraId="6BC9105E">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新建</w:t>
                  </w:r>
                </w:p>
              </w:tc>
            </w:tr>
            <w:tr w14:paraId="1DF40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23C313E6">
                  <w:pPr>
                    <w:pStyle w:val="41"/>
                    <w:kinsoku/>
                    <w:rPr>
                      <w:rFonts w:ascii="Times New Roman" w:hAnsi="Times New Roman" w:eastAsia="宋体"/>
                      <w:color w:val="auto"/>
                      <w:w w:val="100"/>
                      <w:highlight w:val="none"/>
                    </w:rPr>
                  </w:pPr>
                </w:p>
              </w:tc>
              <w:tc>
                <w:tcPr>
                  <w:tcW w:w="521" w:type="pct"/>
                  <w:vAlign w:val="center"/>
                </w:tcPr>
                <w:p w14:paraId="52F2800C">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废水处理</w:t>
                  </w:r>
                </w:p>
              </w:tc>
              <w:tc>
                <w:tcPr>
                  <w:tcW w:w="3613" w:type="pct"/>
                  <w:vAlign w:val="center"/>
                </w:tcPr>
                <w:p w14:paraId="3C273050">
                  <w:pPr>
                    <w:pStyle w:val="42"/>
                    <w:tabs>
                      <w:tab w:val="left" w:pos="7488"/>
                    </w:tabs>
                    <w:kinsoku/>
                    <w:adjustRightInd/>
                    <w:snapToGrid/>
                    <w:rPr>
                      <w:color w:val="auto"/>
                      <w:w w:val="100"/>
                      <w:highlight w:val="none"/>
                      <w:lang w:eastAsia="zh-CN"/>
                    </w:rPr>
                  </w:pPr>
                  <w:r>
                    <w:rPr>
                      <w:rFonts w:hint="default" w:ascii="Times New Roman" w:hAnsi="Times New Roman" w:eastAsia="宋体" w:cs="Times New Roman"/>
                      <w:color w:val="auto"/>
                      <w:w w:val="100"/>
                      <w:highlight w:val="none"/>
                    </w:rPr>
                    <w:t>雨污分流体制，雨水经厂区雨水管网排放至</w:t>
                  </w:r>
                  <w:r>
                    <w:rPr>
                      <w:rFonts w:hint="eastAsia" w:cs="Times New Roman"/>
                      <w:color w:val="auto"/>
                      <w:w w:val="100"/>
                      <w:highlight w:val="none"/>
                      <w:lang w:val="en-US" w:eastAsia="zh-CN"/>
                    </w:rPr>
                    <w:t>湘西沟</w:t>
                  </w:r>
                  <w:r>
                    <w:rPr>
                      <w:rFonts w:hint="default" w:ascii="Times New Roman" w:hAnsi="Times New Roman" w:eastAsia="宋体" w:cs="Times New Roman"/>
                      <w:color w:val="auto"/>
                      <w:w w:val="100"/>
                      <w:highlight w:val="none"/>
                    </w:rPr>
                    <w:t>；生产废水</w:t>
                  </w:r>
                  <w:r>
                    <w:rPr>
                      <w:rFonts w:hint="eastAsia" w:ascii="Times New Roman" w:hAnsi="Times New Roman" w:eastAsia="宋体" w:cs="Times New Roman"/>
                      <w:color w:val="auto"/>
                      <w:w w:val="100"/>
                      <w:highlight w:val="none"/>
                      <w:lang w:val="en-US" w:eastAsia="zh-CN"/>
                    </w:rPr>
                    <w:t>经</w:t>
                  </w:r>
                  <w:r>
                    <w:rPr>
                      <w:rFonts w:hint="eastAsia" w:cs="Times New Roman"/>
                      <w:color w:val="auto"/>
                      <w:w w:val="100"/>
                      <w:highlight w:val="none"/>
                      <w:lang w:val="en-US" w:eastAsia="zh-CN"/>
                    </w:rPr>
                    <w:t>自建污水处理站处理后与</w:t>
                  </w:r>
                  <w:r>
                    <w:rPr>
                      <w:rFonts w:hint="default" w:ascii="Times New Roman" w:hAnsi="Times New Roman" w:eastAsia="宋体" w:cs="Times New Roman"/>
                      <w:color w:val="auto"/>
                      <w:w w:val="100"/>
                      <w:highlight w:val="none"/>
                    </w:rPr>
                    <w:t>生活污水依托已建隔油池、化粪池预处理后</w:t>
                  </w:r>
                  <w:r>
                    <w:rPr>
                      <w:rFonts w:hint="eastAsia" w:cs="Times New Roman"/>
                      <w:color w:val="auto"/>
                      <w:w w:val="100"/>
                      <w:highlight w:val="none"/>
                      <w:lang w:val="en-US" w:eastAsia="zh-CN"/>
                    </w:rPr>
                    <w:t>一并</w:t>
                  </w:r>
                  <w:r>
                    <w:rPr>
                      <w:rFonts w:hint="default" w:ascii="Times New Roman" w:hAnsi="Times New Roman" w:eastAsia="宋体" w:cs="Times New Roman"/>
                      <w:color w:val="auto"/>
                      <w:w w:val="100"/>
                      <w:highlight w:val="none"/>
                    </w:rPr>
                    <w:t>排入园区污水管网</w:t>
                  </w:r>
                  <w:r>
                    <w:rPr>
                      <w:rFonts w:hint="eastAsia" w:cs="Times New Roman"/>
                      <w:color w:val="auto"/>
                      <w:w w:val="100"/>
                      <w:highlight w:val="none"/>
                      <w:lang w:eastAsia="zh-CN"/>
                    </w:rPr>
                    <w:t>；</w:t>
                  </w:r>
                  <w:r>
                    <w:rPr>
                      <w:rFonts w:hint="default" w:ascii="Times New Roman" w:hAnsi="Times New Roman" w:eastAsia="宋体" w:cs="Times New Roman"/>
                      <w:color w:val="auto"/>
                      <w:w w:val="100"/>
                      <w:highlight w:val="none"/>
                    </w:rPr>
                    <w:t>最终排入安徽淮相科技发展有限公司第二污水处理</w:t>
                  </w:r>
                </w:p>
              </w:tc>
              <w:tc>
                <w:tcPr>
                  <w:tcW w:w="561" w:type="pct"/>
                  <w:vAlign w:val="center"/>
                </w:tcPr>
                <w:p w14:paraId="467552BD">
                  <w:pPr>
                    <w:kinsoku/>
                    <w:jc w:val="center"/>
                    <w:rPr>
                      <w:rFonts w:hint="default" w:ascii="Times New Roman" w:hAnsi="Times New Roman" w:eastAsia="宋体" w:cs="Times New Roman"/>
                      <w:color w:val="auto"/>
                      <w:w w:val="100"/>
                      <w:highlight w:val="none"/>
                      <w:lang w:val="en-US" w:eastAsia="zh-CN"/>
                    </w:rPr>
                  </w:pPr>
                  <w:r>
                    <w:rPr>
                      <w:rFonts w:ascii="Times New Roman" w:hAnsi="Times New Roman" w:eastAsia="宋体" w:cs="Times New Roman"/>
                      <w:color w:val="auto"/>
                      <w:w w:val="100"/>
                      <w:highlight w:val="none"/>
                    </w:rPr>
                    <w:t>新建</w:t>
                  </w:r>
                  <w:r>
                    <w:rPr>
                      <w:rFonts w:hint="eastAsia" w:cs="Times New Roman"/>
                      <w:color w:val="auto"/>
                      <w:w w:val="100"/>
                      <w:highlight w:val="none"/>
                      <w:lang w:val="en-US" w:eastAsia="zh-CN"/>
                    </w:rPr>
                    <w:t>污水处理站，隔油池、化粪池依托</w:t>
                  </w:r>
                </w:p>
              </w:tc>
            </w:tr>
            <w:tr w14:paraId="37B4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36101DF8">
                  <w:pPr>
                    <w:pStyle w:val="41"/>
                    <w:kinsoku/>
                    <w:rPr>
                      <w:rFonts w:ascii="Times New Roman" w:hAnsi="Times New Roman" w:eastAsia="宋体"/>
                      <w:color w:val="auto"/>
                      <w:w w:val="100"/>
                      <w:highlight w:val="none"/>
                    </w:rPr>
                  </w:pPr>
                </w:p>
              </w:tc>
              <w:tc>
                <w:tcPr>
                  <w:tcW w:w="521" w:type="pct"/>
                  <w:vAlign w:val="center"/>
                </w:tcPr>
                <w:p w14:paraId="235A9627">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固体废物</w:t>
                  </w:r>
                </w:p>
              </w:tc>
              <w:tc>
                <w:tcPr>
                  <w:tcW w:w="3613" w:type="pct"/>
                  <w:vAlign w:val="center"/>
                </w:tcPr>
                <w:p w14:paraId="653F0E96">
                  <w:pPr>
                    <w:pStyle w:val="42"/>
                    <w:tabs>
                      <w:tab w:val="left" w:pos="7488"/>
                    </w:tabs>
                    <w:kinsoku/>
                    <w:adjustRightInd/>
                    <w:snapToGrid/>
                    <w:rPr>
                      <w:rFonts w:hint="default"/>
                      <w:color w:val="auto"/>
                      <w:w w:val="100"/>
                      <w:highlight w:val="none"/>
                      <w:lang w:val="en-US" w:eastAsia="zh-CN"/>
                    </w:rPr>
                  </w:pPr>
                  <w:r>
                    <w:rPr>
                      <w:color w:val="auto"/>
                      <w:w w:val="100"/>
                      <w:highlight w:val="none"/>
                      <w:lang w:eastAsia="zh-CN"/>
                    </w:rPr>
                    <w:t>设置一般固体废物暂存间</w:t>
                  </w:r>
                  <w:r>
                    <w:rPr>
                      <w:rFonts w:hint="eastAsia"/>
                      <w:color w:val="auto"/>
                      <w:w w:val="100"/>
                      <w:highlight w:val="none"/>
                      <w:lang w:eastAsia="zh-CN"/>
                    </w:rPr>
                    <w:t>（</w:t>
                  </w:r>
                  <w:r>
                    <w:rPr>
                      <w:rFonts w:hint="eastAsia"/>
                      <w:color w:val="auto"/>
                      <w:w w:val="100"/>
                      <w:highlight w:val="none"/>
                      <w:lang w:val="en-US" w:eastAsia="zh-CN"/>
                    </w:rPr>
                    <w:t>20</w:t>
                  </w:r>
                  <w:r>
                    <w:rPr>
                      <w:rFonts w:hint="eastAsia"/>
                      <w:color w:val="auto"/>
                      <w:w w:val="100"/>
                      <w:highlight w:val="none"/>
                      <w:lang w:eastAsia="zh-CN"/>
                    </w:rPr>
                    <w:t>m</w:t>
                  </w:r>
                  <w:r>
                    <w:rPr>
                      <w:rFonts w:hint="eastAsia"/>
                      <w:color w:val="auto"/>
                      <w:w w:val="100"/>
                      <w:highlight w:val="none"/>
                      <w:vertAlign w:val="superscript"/>
                      <w:lang w:eastAsia="zh-CN"/>
                    </w:rPr>
                    <w:t>2</w:t>
                  </w:r>
                  <w:r>
                    <w:rPr>
                      <w:rFonts w:hint="eastAsia"/>
                      <w:color w:val="auto"/>
                      <w:w w:val="100"/>
                      <w:highlight w:val="none"/>
                      <w:lang w:eastAsia="zh-CN"/>
                    </w:rPr>
                    <w:t>）</w:t>
                  </w:r>
                  <w:r>
                    <w:rPr>
                      <w:rFonts w:hint="eastAsia"/>
                      <w:color w:val="auto"/>
                      <w:w w:val="100"/>
                      <w:highlight w:val="none"/>
                      <w:lang w:val="en-US" w:eastAsia="zh-CN"/>
                    </w:rPr>
                    <w:t>位于生产车间西南部靠近成品区，</w:t>
                  </w:r>
                  <w:r>
                    <w:rPr>
                      <w:color w:val="auto"/>
                      <w:w w:val="100"/>
                      <w:highlight w:val="none"/>
                      <w:lang w:eastAsia="zh-CN"/>
                    </w:rPr>
                    <w:t>危险废物暂存间</w:t>
                  </w:r>
                  <w:r>
                    <w:rPr>
                      <w:rFonts w:hint="eastAsia"/>
                      <w:color w:val="auto"/>
                      <w:w w:val="100"/>
                      <w:highlight w:val="none"/>
                      <w:lang w:eastAsia="zh-CN"/>
                    </w:rPr>
                    <w:t>（</w:t>
                  </w:r>
                  <w:r>
                    <w:rPr>
                      <w:rFonts w:hint="eastAsia"/>
                      <w:color w:val="auto"/>
                      <w:w w:val="100"/>
                      <w:highlight w:val="none"/>
                      <w:lang w:val="en-US" w:eastAsia="zh-CN"/>
                    </w:rPr>
                    <w:t>50m</w:t>
                  </w:r>
                  <w:r>
                    <w:rPr>
                      <w:rFonts w:hint="eastAsia"/>
                      <w:color w:val="auto"/>
                      <w:w w:val="100"/>
                      <w:highlight w:val="none"/>
                      <w:vertAlign w:val="superscript"/>
                      <w:lang w:eastAsia="zh-CN"/>
                    </w:rPr>
                    <w:t>2</w:t>
                  </w:r>
                  <w:r>
                    <w:rPr>
                      <w:rFonts w:hint="eastAsia"/>
                      <w:color w:val="auto"/>
                      <w:w w:val="100"/>
                      <w:highlight w:val="none"/>
                      <w:lang w:eastAsia="zh-CN"/>
                    </w:rPr>
                    <w:t>）</w:t>
                  </w:r>
                  <w:r>
                    <w:rPr>
                      <w:rFonts w:hint="eastAsia"/>
                      <w:color w:val="auto"/>
                      <w:w w:val="100"/>
                      <w:highlight w:val="none"/>
                      <w:lang w:val="en-US" w:eastAsia="zh-CN"/>
                    </w:rPr>
                    <w:t>位于生产车间西南部靠近成品区</w:t>
                  </w:r>
                  <w:r>
                    <w:rPr>
                      <w:color w:val="auto"/>
                      <w:w w:val="100"/>
                      <w:highlight w:val="none"/>
                      <w:lang w:eastAsia="zh-CN"/>
                    </w:rPr>
                    <w:t>，废金属边角料</w:t>
                  </w:r>
                  <w:r>
                    <w:rPr>
                      <w:rFonts w:hint="eastAsia"/>
                      <w:color w:val="auto"/>
                      <w:w w:val="100"/>
                      <w:highlight w:val="none"/>
                      <w:lang w:eastAsia="zh-CN"/>
                    </w:rPr>
                    <w:t>、</w:t>
                  </w:r>
                  <w:r>
                    <w:rPr>
                      <w:rFonts w:hint="eastAsia"/>
                      <w:color w:val="auto"/>
                      <w:w w:val="100"/>
                      <w:highlight w:val="none"/>
                      <w:lang w:val="en-US" w:eastAsia="zh-CN"/>
                    </w:rPr>
                    <w:t>焊渣、布袋除尘器收集尘</w:t>
                  </w:r>
                  <w:r>
                    <w:rPr>
                      <w:color w:val="auto"/>
                      <w:w w:val="100"/>
                      <w:highlight w:val="none"/>
                      <w:lang w:eastAsia="zh-CN"/>
                    </w:rPr>
                    <w:t>集中收集后外售，</w:t>
                  </w:r>
                  <w:r>
                    <w:rPr>
                      <w:rFonts w:hint="eastAsia" w:ascii="Times New Roman" w:hAnsi="Times New Roman" w:cs="Times New Roman"/>
                      <w:color w:val="auto"/>
                      <w:w w:val="100"/>
                      <w:highlight w:val="none"/>
                      <w:lang w:val="en-US" w:eastAsia="zh-CN"/>
                    </w:rPr>
                    <w:t>废过滤</w:t>
                  </w:r>
                  <w:r>
                    <w:rPr>
                      <w:rFonts w:hint="eastAsia" w:cs="Times New Roman"/>
                      <w:color w:val="auto"/>
                      <w:w w:val="100"/>
                      <w:highlight w:val="none"/>
                      <w:lang w:val="en-US" w:eastAsia="zh-CN"/>
                    </w:rPr>
                    <w:t>棉、废漆渣采取包装袋密闭封存，废活性炭采取薄膜缠绕包裹后存放于密闭包装桶内，油漆桶封盖密闭存放。项目产生的危险废物经收集后暂存于</w:t>
                  </w:r>
                  <w:r>
                    <w:rPr>
                      <w:color w:val="auto"/>
                      <w:w w:val="100"/>
                      <w:highlight w:val="none"/>
                      <w:lang w:eastAsia="zh-CN"/>
                    </w:rPr>
                    <w:t>危废暂存间</w:t>
                  </w:r>
                  <w:r>
                    <w:rPr>
                      <w:rFonts w:hint="eastAsia"/>
                      <w:color w:val="auto"/>
                      <w:w w:val="100"/>
                      <w:highlight w:val="none"/>
                      <w:lang w:val="en-US" w:eastAsia="zh-CN"/>
                    </w:rPr>
                    <w:t>定期</w:t>
                  </w:r>
                  <w:r>
                    <w:rPr>
                      <w:color w:val="auto"/>
                      <w:w w:val="100"/>
                      <w:highlight w:val="none"/>
                      <w:lang w:eastAsia="zh-CN"/>
                    </w:rPr>
                    <w:t>委托有资质单位处置；生活垃圾交由环卫部门处置</w:t>
                  </w:r>
                </w:p>
              </w:tc>
              <w:tc>
                <w:tcPr>
                  <w:tcW w:w="561" w:type="pct"/>
                  <w:vAlign w:val="center"/>
                </w:tcPr>
                <w:p w14:paraId="3F1F8814">
                  <w:pPr>
                    <w:kinsoku/>
                    <w:jc w:val="center"/>
                    <w:rPr>
                      <w:rFonts w:ascii="Times New Roman" w:hAnsi="Times New Roman" w:eastAsia="宋体" w:cs="Times New Roman"/>
                      <w:color w:val="auto"/>
                      <w:w w:val="100"/>
                      <w:highlight w:val="none"/>
                    </w:rPr>
                  </w:pPr>
                  <w:r>
                    <w:rPr>
                      <w:rFonts w:ascii="Times New Roman" w:hAnsi="Times New Roman" w:eastAsia="宋体" w:cs="Times New Roman"/>
                      <w:color w:val="auto"/>
                      <w:w w:val="100"/>
                      <w:highlight w:val="none"/>
                    </w:rPr>
                    <w:t>新建</w:t>
                  </w:r>
                </w:p>
              </w:tc>
            </w:tr>
            <w:tr w14:paraId="35A07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189D0135">
                  <w:pPr>
                    <w:pStyle w:val="41"/>
                    <w:kinsoku/>
                    <w:rPr>
                      <w:rFonts w:ascii="Times New Roman" w:hAnsi="Times New Roman" w:eastAsia="宋体"/>
                      <w:color w:val="auto"/>
                      <w:w w:val="100"/>
                      <w:highlight w:val="none"/>
                    </w:rPr>
                  </w:pPr>
                </w:p>
              </w:tc>
              <w:tc>
                <w:tcPr>
                  <w:tcW w:w="521" w:type="pct"/>
                  <w:vAlign w:val="center"/>
                </w:tcPr>
                <w:p w14:paraId="5A4417C2">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噪声</w:t>
                  </w:r>
                </w:p>
              </w:tc>
              <w:tc>
                <w:tcPr>
                  <w:tcW w:w="3613" w:type="pct"/>
                  <w:vAlign w:val="center"/>
                </w:tcPr>
                <w:p w14:paraId="01504E96">
                  <w:pPr>
                    <w:pStyle w:val="41"/>
                    <w:kinsoku/>
                    <w:rPr>
                      <w:rFonts w:ascii="Times New Roman" w:hAnsi="Times New Roman" w:eastAsia="宋体"/>
                      <w:color w:val="auto"/>
                      <w:w w:val="100"/>
                      <w:highlight w:val="none"/>
                      <w:lang w:eastAsia="zh-CN"/>
                    </w:rPr>
                  </w:pPr>
                  <w:r>
                    <w:rPr>
                      <w:color w:val="auto"/>
                      <w:w w:val="100"/>
                      <w:highlight w:val="none"/>
                      <w:lang w:eastAsia="zh-CN"/>
                    </w:rPr>
                    <w:t>对产噪设备采取隔声减震、绿化吸声等措施</w:t>
                  </w:r>
                </w:p>
              </w:tc>
              <w:tc>
                <w:tcPr>
                  <w:tcW w:w="561" w:type="pct"/>
                  <w:vAlign w:val="center"/>
                </w:tcPr>
                <w:p w14:paraId="00E3938F">
                  <w:pPr>
                    <w:pStyle w:val="41"/>
                    <w:kinsoku/>
                    <w:rPr>
                      <w:rFonts w:hint="eastAsia" w:ascii="Times New Roman" w:hAnsi="Times New Roman" w:eastAsia="宋体"/>
                      <w:color w:val="auto"/>
                      <w:w w:val="100"/>
                      <w:highlight w:val="none"/>
                      <w:lang w:val="en-US" w:eastAsia="zh-CN"/>
                    </w:rPr>
                  </w:pPr>
                  <w:r>
                    <w:rPr>
                      <w:rFonts w:hint="eastAsia"/>
                      <w:color w:val="auto"/>
                      <w:w w:val="100"/>
                      <w:highlight w:val="none"/>
                      <w:lang w:val="en-US" w:eastAsia="zh-CN"/>
                    </w:rPr>
                    <w:t>/</w:t>
                  </w:r>
                </w:p>
              </w:tc>
            </w:tr>
            <w:tr w14:paraId="148BA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68235759">
                  <w:pPr>
                    <w:pStyle w:val="41"/>
                    <w:kinsoku/>
                    <w:rPr>
                      <w:rFonts w:ascii="Times New Roman" w:hAnsi="Times New Roman" w:eastAsia="宋体"/>
                      <w:color w:val="auto"/>
                      <w:w w:val="100"/>
                      <w:highlight w:val="none"/>
                    </w:rPr>
                  </w:pPr>
                </w:p>
              </w:tc>
              <w:tc>
                <w:tcPr>
                  <w:tcW w:w="521" w:type="pct"/>
                  <w:vAlign w:val="center"/>
                </w:tcPr>
                <w:p w14:paraId="2EDADECE">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土壤与地下水</w:t>
                  </w:r>
                </w:p>
              </w:tc>
              <w:tc>
                <w:tcPr>
                  <w:tcW w:w="3613" w:type="pct"/>
                  <w:vAlign w:val="center"/>
                </w:tcPr>
                <w:p w14:paraId="1DA246C6">
                  <w:pPr>
                    <w:pStyle w:val="41"/>
                    <w:kinsoku/>
                    <w:rPr>
                      <w:rFonts w:ascii="Times New Roman" w:hAnsi="Times New Roman" w:eastAsia="宋体"/>
                      <w:color w:val="auto"/>
                      <w:w w:val="100"/>
                      <w:highlight w:val="none"/>
                      <w:lang w:eastAsia="zh-CN"/>
                    </w:rPr>
                  </w:pPr>
                  <w:r>
                    <w:rPr>
                      <w:rFonts w:ascii="Times New Roman" w:hAnsi="Times New Roman" w:eastAsia="宋体"/>
                      <w:color w:val="auto"/>
                      <w:w w:val="100"/>
                      <w:highlight w:val="none"/>
                      <w:lang w:eastAsia="zh-CN"/>
                    </w:rPr>
                    <w:t>分区防渗，</w:t>
                  </w:r>
                  <w:r>
                    <w:rPr>
                      <w:rFonts w:hint="eastAsia"/>
                      <w:color w:val="auto"/>
                      <w:w w:val="100"/>
                      <w:highlight w:val="none"/>
                      <w:lang w:val="en-US" w:eastAsia="zh-CN"/>
                    </w:rPr>
                    <w:t>化学品库、危废间</w:t>
                  </w:r>
                  <w:r>
                    <w:rPr>
                      <w:rFonts w:hint="eastAsia"/>
                      <w:color w:val="auto"/>
                      <w:w w:val="100"/>
                      <w:highlight w:val="none"/>
                      <w:lang w:eastAsia="zh-CN"/>
                    </w:rPr>
                    <w:t>、</w:t>
                  </w:r>
                  <w:r>
                    <w:rPr>
                      <w:rFonts w:hint="eastAsia" w:ascii="Times New Roman" w:hAnsi="Times New Roman" w:eastAsia="宋体"/>
                      <w:color w:val="auto"/>
                      <w:w w:val="100"/>
                      <w:highlight w:val="none"/>
                      <w:lang w:eastAsia="zh-CN"/>
                    </w:rPr>
                    <w:t>喷漆房</w:t>
                  </w:r>
                  <w:r>
                    <w:rPr>
                      <w:rFonts w:hint="eastAsia"/>
                      <w:color w:val="auto"/>
                      <w:w w:val="100"/>
                      <w:highlight w:val="none"/>
                      <w:lang w:eastAsia="zh-CN"/>
                    </w:rPr>
                    <w:t>、</w:t>
                  </w:r>
                  <w:r>
                    <w:rPr>
                      <w:rFonts w:hint="eastAsia"/>
                      <w:color w:val="auto"/>
                      <w:w w:val="100"/>
                      <w:highlight w:val="none"/>
                      <w:lang w:val="en-US" w:eastAsia="zh-CN"/>
                    </w:rPr>
                    <w:t>事故池及表面预处理区域</w:t>
                  </w:r>
                  <w:r>
                    <w:rPr>
                      <w:rFonts w:ascii="Times New Roman" w:hAnsi="Times New Roman" w:eastAsia="宋体"/>
                      <w:color w:val="auto"/>
                      <w:w w:val="100"/>
                      <w:highlight w:val="none"/>
                      <w:lang w:eastAsia="zh-CN"/>
                    </w:rPr>
                    <w:t>为重点防渗，其他区域为一般防渗</w:t>
                  </w:r>
                </w:p>
              </w:tc>
              <w:tc>
                <w:tcPr>
                  <w:tcW w:w="561" w:type="pct"/>
                  <w:vAlign w:val="center"/>
                </w:tcPr>
                <w:p w14:paraId="7581EDC6">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新建</w:t>
                  </w:r>
                </w:p>
              </w:tc>
            </w:tr>
            <w:tr w14:paraId="73B28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03" w:type="pct"/>
                  <w:vMerge w:val="continue"/>
                  <w:vAlign w:val="center"/>
                </w:tcPr>
                <w:p w14:paraId="4CCF4C72">
                  <w:pPr>
                    <w:pStyle w:val="41"/>
                    <w:kinsoku/>
                    <w:rPr>
                      <w:rFonts w:ascii="Times New Roman" w:hAnsi="Times New Roman" w:eastAsia="宋体"/>
                      <w:color w:val="auto"/>
                      <w:w w:val="100"/>
                      <w:highlight w:val="none"/>
                    </w:rPr>
                  </w:pPr>
                </w:p>
              </w:tc>
              <w:tc>
                <w:tcPr>
                  <w:tcW w:w="521" w:type="pct"/>
                  <w:vAlign w:val="center"/>
                </w:tcPr>
                <w:p w14:paraId="47B495F8">
                  <w:pPr>
                    <w:pStyle w:val="41"/>
                    <w:kinsoku/>
                    <w:rPr>
                      <w:rFonts w:ascii="Times New Roman" w:hAnsi="Times New Roman" w:eastAsia="宋体"/>
                      <w:color w:val="auto"/>
                      <w:w w:val="100"/>
                      <w:highlight w:val="none"/>
                    </w:rPr>
                  </w:pPr>
                  <w:r>
                    <w:rPr>
                      <w:rFonts w:ascii="Times New Roman" w:hAnsi="Times New Roman" w:eastAsia="宋体"/>
                      <w:color w:val="auto"/>
                      <w:w w:val="100"/>
                      <w:highlight w:val="none"/>
                    </w:rPr>
                    <w:t>环境风险防控</w:t>
                  </w:r>
                </w:p>
              </w:tc>
              <w:tc>
                <w:tcPr>
                  <w:tcW w:w="3613" w:type="pct"/>
                  <w:vAlign w:val="center"/>
                </w:tcPr>
                <w:p w14:paraId="75EA1BCA">
                  <w:pPr>
                    <w:pStyle w:val="41"/>
                    <w:kinsoku/>
                    <w:rPr>
                      <w:rFonts w:ascii="Times New Roman" w:hAnsi="Times New Roman" w:eastAsia="宋体"/>
                      <w:color w:val="auto"/>
                      <w:w w:val="100"/>
                      <w:highlight w:val="none"/>
                      <w:lang w:eastAsia="zh-CN"/>
                    </w:rPr>
                  </w:pPr>
                  <w:r>
                    <w:rPr>
                      <w:rFonts w:ascii="Times New Roman" w:hAnsi="Times New Roman" w:eastAsia="宋体"/>
                      <w:color w:val="auto"/>
                      <w:w w:val="100"/>
                      <w:highlight w:val="none"/>
                      <w:lang w:eastAsia="zh-CN"/>
                    </w:rPr>
                    <w:t>配备相应应急物资</w:t>
                  </w:r>
                  <w:r>
                    <w:rPr>
                      <w:rFonts w:hint="eastAsia"/>
                      <w:color w:val="auto"/>
                      <w:w w:val="100"/>
                      <w:highlight w:val="none"/>
                      <w:lang w:eastAsia="zh-CN"/>
                    </w:rPr>
                    <w:t>（</w:t>
                  </w:r>
                  <w:r>
                    <w:rPr>
                      <w:rFonts w:hint="eastAsia"/>
                      <w:color w:val="auto"/>
                      <w:w w:val="100"/>
                      <w:highlight w:val="none"/>
                      <w:lang w:val="en-US" w:eastAsia="zh-CN"/>
                    </w:rPr>
                    <w:t>灭火器、消防栓、防毒面具等）</w:t>
                  </w:r>
                  <w:r>
                    <w:rPr>
                      <w:rFonts w:ascii="Times New Roman" w:hAnsi="Times New Roman" w:eastAsia="宋体"/>
                      <w:color w:val="auto"/>
                      <w:w w:val="100"/>
                      <w:highlight w:val="none"/>
                      <w:lang w:eastAsia="zh-CN"/>
                    </w:rPr>
                    <w:t>、编制突发环境事件应急预案</w:t>
                  </w:r>
                </w:p>
              </w:tc>
              <w:tc>
                <w:tcPr>
                  <w:tcW w:w="561" w:type="pct"/>
                  <w:vAlign w:val="center"/>
                </w:tcPr>
                <w:p w14:paraId="31390646">
                  <w:pPr>
                    <w:pStyle w:val="41"/>
                    <w:kinsoku/>
                    <w:rPr>
                      <w:rFonts w:ascii="Times New Roman" w:hAnsi="Times New Roman" w:eastAsia="宋体"/>
                      <w:color w:val="auto"/>
                      <w:w w:val="100"/>
                      <w:highlight w:val="none"/>
                      <w:lang w:eastAsia="zh-CN"/>
                    </w:rPr>
                  </w:pPr>
                  <w:r>
                    <w:rPr>
                      <w:rFonts w:hint="eastAsia" w:ascii="Times New Roman" w:hAnsi="Times New Roman" w:eastAsia="宋体"/>
                      <w:color w:val="auto"/>
                      <w:w w:val="100"/>
                      <w:highlight w:val="none"/>
                      <w:lang w:eastAsia="zh-CN"/>
                    </w:rPr>
                    <w:t>/</w:t>
                  </w:r>
                </w:p>
              </w:tc>
            </w:tr>
          </w:tbl>
          <w:p w14:paraId="00FD19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color w:val="auto"/>
                <w:sz w:val="24"/>
                <w:szCs w:val="24"/>
                <w:highlight w:val="none"/>
                <w:lang w:eastAsia="zh-CN"/>
              </w:rPr>
            </w:pPr>
            <w:r>
              <w:rPr>
                <w:rFonts w:hint="eastAsia" w:ascii="宋体" w:hAnsi="宋体" w:eastAsia="宋体" w:cs="宋体"/>
                <w:bCs/>
                <w:color w:val="auto"/>
                <w:kern w:val="2"/>
                <w:sz w:val="24"/>
                <w:szCs w:val="24"/>
                <w:highlight w:val="none"/>
                <w:lang w:val="en-US" w:eastAsia="zh-CN" w:bidi="ar-SA"/>
              </w:rPr>
              <w:t>2、</w:t>
            </w:r>
            <w:r>
              <w:rPr>
                <w:rFonts w:hint="eastAsia" w:ascii="宋体" w:hAnsi="宋体" w:eastAsia="宋体" w:cs="宋体"/>
                <w:bCs/>
                <w:color w:val="auto"/>
                <w:sz w:val="24"/>
                <w:highlight w:val="none"/>
                <w:lang w:eastAsia="zh-CN"/>
              </w:rPr>
              <w:t>产品方案</w:t>
            </w:r>
          </w:p>
          <w:p w14:paraId="6E11FBF3">
            <w:pPr>
              <w:keepNext w:val="0"/>
              <w:keepLines w:val="0"/>
              <w:pageBreakBefore w:val="0"/>
              <w:kinsoku/>
              <w:wordWrap/>
              <w:overflowPunct/>
              <w:topLinePunct w:val="0"/>
              <w:autoSpaceDE/>
              <w:autoSpaceDN/>
              <w:bidi w:val="0"/>
              <w:adjustRightInd/>
              <w:snapToGrid/>
              <w:jc w:val="center"/>
              <w:textAlignment w:val="auto"/>
              <w:rPr>
                <w:rFonts w:ascii="Times New Roman" w:hAnsi="Times New Roman" w:eastAsia="宋体" w:cs="Times New Roman"/>
                <w:b/>
                <w:color w:val="auto"/>
                <w:sz w:val="24"/>
                <w:szCs w:val="24"/>
                <w:highlight w:val="none"/>
                <w:lang w:eastAsia="zh-CN"/>
              </w:rPr>
            </w:pPr>
            <w:r>
              <w:rPr>
                <w:rFonts w:ascii="Times New Roman" w:hAnsi="Times New Roman" w:eastAsia="宋体" w:cs="Times New Roman"/>
                <w:b/>
                <w:color w:val="auto"/>
                <w:sz w:val="24"/>
                <w:szCs w:val="24"/>
                <w:highlight w:val="none"/>
                <w:lang w:eastAsia="zh-CN"/>
              </w:rPr>
              <w:t>表2-2</w:t>
            </w:r>
            <w:r>
              <w:rPr>
                <w:rFonts w:hint="eastAsia" w:ascii="Times New Roman" w:hAnsi="Times New Roman" w:eastAsia="宋体" w:cs="Times New Roman"/>
                <w:b/>
                <w:color w:val="auto"/>
                <w:sz w:val="24"/>
                <w:szCs w:val="24"/>
                <w:highlight w:val="none"/>
                <w:lang w:eastAsia="zh-CN"/>
              </w:rPr>
              <w:t xml:space="preserve"> </w:t>
            </w:r>
            <w:r>
              <w:rPr>
                <w:rFonts w:ascii="Times New Roman" w:hAnsi="Times New Roman" w:eastAsia="宋体" w:cs="Times New Roman"/>
                <w:b/>
                <w:color w:val="auto"/>
                <w:sz w:val="24"/>
                <w:szCs w:val="24"/>
                <w:highlight w:val="none"/>
                <w:lang w:eastAsia="zh-CN"/>
              </w:rPr>
              <w:t>生产规模及产品方案一览表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284"/>
              <w:gridCol w:w="3720"/>
              <w:gridCol w:w="2366"/>
            </w:tblGrid>
            <w:tr w14:paraId="1C87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1" w:type="pct"/>
                  <w:noWrap w:val="0"/>
                  <w:vAlign w:val="center"/>
                </w:tcPr>
                <w:p w14:paraId="750AA67C">
                  <w:pPr>
                    <w:adjustRightInd w:val="0"/>
                    <w:snapToGrid w:val="0"/>
                    <w:spacing w:line="240" w:lineRule="auto"/>
                    <w:jc w:val="center"/>
                    <w:rPr>
                      <w:rFonts w:hint="eastAsia"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产品</w:t>
                  </w:r>
                  <w:r>
                    <w:rPr>
                      <w:rFonts w:hint="default" w:ascii="Times New Roman" w:hAnsi="Times New Roman" w:eastAsia="宋体" w:cs="Times New Roman"/>
                      <w:bCs/>
                      <w:color w:val="auto"/>
                      <w:sz w:val="21"/>
                      <w:szCs w:val="21"/>
                      <w:highlight w:val="none"/>
                      <w:vertAlign w:val="baseline"/>
                      <w:lang w:val="en-US" w:eastAsia="zh-CN"/>
                    </w:rPr>
                    <w:t>名称</w:t>
                  </w:r>
                </w:p>
              </w:tc>
              <w:tc>
                <w:tcPr>
                  <w:tcW w:w="755" w:type="pct"/>
                  <w:noWrap w:val="0"/>
                  <w:vAlign w:val="center"/>
                </w:tcPr>
                <w:p w14:paraId="4A6FFF0C">
                  <w:pPr>
                    <w:adjustRightInd w:val="0"/>
                    <w:snapToGrid w:val="0"/>
                    <w:spacing w:line="240" w:lineRule="auto"/>
                    <w:jc w:val="center"/>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sz w:val="21"/>
                      <w:szCs w:val="21"/>
                      <w:highlight w:val="none"/>
                      <w:vertAlign w:val="baseline"/>
                      <w:lang w:val="en-US" w:eastAsia="zh-CN"/>
                    </w:rPr>
                    <w:t>年产量</w:t>
                  </w:r>
                  <w:r>
                    <w:rPr>
                      <w:rFonts w:hint="eastAsia" w:ascii="Times New Roman" w:hAnsi="Times New Roman" w:eastAsia="宋体"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t/a</w:t>
                  </w:r>
                  <w:r>
                    <w:rPr>
                      <w:rFonts w:hint="eastAsia" w:ascii="Times New Roman" w:hAnsi="Times New Roman" w:eastAsia="宋体" w:cs="Times New Roman"/>
                      <w:bCs/>
                      <w:color w:val="auto"/>
                      <w:sz w:val="21"/>
                      <w:szCs w:val="21"/>
                      <w:highlight w:val="none"/>
                      <w:vertAlign w:val="baseline"/>
                      <w:lang w:val="en-US" w:eastAsia="zh-CN"/>
                    </w:rPr>
                    <w:t>）</w:t>
                  </w:r>
                </w:p>
              </w:tc>
              <w:tc>
                <w:tcPr>
                  <w:tcW w:w="2190" w:type="pct"/>
                  <w:noWrap w:val="0"/>
                  <w:vAlign w:val="center"/>
                </w:tcPr>
                <w:p w14:paraId="478AE317">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规格/用途</w:t>
                  </w:r>
                </w:p>
              </w:tc>
              <w:tc>
                <w:tcPr>
                  <w:tcW w:w="1392" w:type="pct"/>
                  <w:noWrap w:val="0"/>
                  <w:vAlign w:val="center"/>
                </w:tcPr>
                <w:p w14:paraId="630F0C4C">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备注</w:t>
                  </w:r>
                </w:p>
              </w:tc>
            </w:tr>
            <w:tr w14:paraId="039B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61" w:type="pct"/>
                  <w:noWrap w:val="0"/>
                  <w:vAlign w:val="center"/>
                </w:tcPr>
                <w:p w14:paraId="74F7C78C">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铝单板</w:t>
                  </w:r>
                </w:p>
              </w:tc>
              <w:tc>
                <w:tcPr>
                  <w:tcW w:w="755" w:type="pct"/>
                  <w:noWrap w:val="0"/>
                  <w:vAlign w:val="center"/>
                </w:tcPr>
                <w:p w14:paraId="1DA7C30A">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3000</w:t>
                  </w:r>
                </w:p>
              </w:tc>
              <w:tc>
                <w:tcPr>
                  <w:tcW w:w="2190" w:type="pct"/>
                  <w:noWrap w:val="0"/>
                  <w:vAlign w:val="center"/>
                </w:tcPr>
                <w:p w14:paraId="77799C3E">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85%喷塑，15%喷漆</w:t>
                  </w:r>
                  <w:r>
                    <w:rPr>
                      <w:rFonts w:hint="default" w:ascii="Times New Roman" w:hAnsi="Times New Roman"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规格</w:t>
                  </w:r>
                  <w:r>
                    <w:rPr>
                      <w:rFonts w:hint="default" w:ascii="Times New Roman" w:hAnsi="Times New Roman" w:cs="Times New Roman"/>
                      <w:bCs/>
                      <w:color w:val="auto"/>
                      <w:sz w:val="21"/>
                      <w:szCs w:val="21"/>
                      <w:highlight w:val="none"/>
                      <w:vertAlign w:val="baseline"/>
                      <w:lang w:val="en-US" w:eastAsia="zh-CN"/>
                    </w:rPr>
                    <w:t>L6m×W2m×H</w:t>
                  </w:r>
                  <w:r>
                    <w:rPr>
                      <w:rFonts w:hint="eastAsia" w:ascii="Times New Roman" w:hAnsi="Times New Roman" w:cs="Times New Roman"/>
                      <w:bCs/>
                      <w:color w:val="auto"/>
                      <w:sz w:val="21"/>
                      <w:szCs w:val="21"/>
                      <w:highlight w:val="none"/>
                      <w:vertAlign w:val="baseline"/>
                      <w:lang w:val="en-US" w:eastAsia="zh-CN"/>
                    </w:rPr>
                    <w:t>0.0015-</w:t>
                  </w:r>
                  <w:r>
                    <w:rPr>
                      <w:rFonts w:hint="default" w:ascii="Times New Roman" w:hAnsi="Times New Roman" w:cs="Times New Roman"/>
                      <w:bCs/>
                      <w:color w:val="auto"/>
                      <w:sz w:val="21"/>
                      <w:szCs w:val="21"/>
                      <w:highlight w:val="none"/>
                      <w:vertAlign w:val="baseline"/>
                      <w:lang w:val="en-US" w:eastAsia="zh-CN"/>
                    </w:rPr>
                    <w:t>0.003m</w:t>
                  </w:r>
                  <w:r>
                    <w:rPr>
                      <w:rFonts w:hint="eastAsia" w:cs="Times New Roman"/>
                      <w:bCs/>
                      <w:color w:val="auto"/>
                      <w:sz w:val="21"/>
                      <w:szCs w:val="21"/>
                      <w:highlight w:val="none"/>
                      <w:vertAlign w:val="baseline"/>
                      <w:lang w:val="en-US" w:eastAsia="zh-CN"/>
                    </w:rPr>
                    <w:t>，用于幕墙，室内装饰等</w:t>
                  </w:r>
                </w:p>
              </w:tc>
              <w:tc>
                <w:tcPr>
                  <w:tcW w:w="1392" w:type="pct"/>
                  <w:noWrap w:val="0"/>
                  <w:vAlign w:val="center"/>
                </w:tcPr>
                <w:p w14:paraId="5BF5DE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约31211个，喷涂表面；喷涂面积63.7万m²</w:t>
                  </w:r>
                </w:p>
              </w:tc>
            </w:tr>
            <w:tr w14:paraId="261A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61" w:type="pct"/>
                  <w:noWrap w:val="0"/>
                  <w:vAlign w:val="center"/>
                </w:tcPr>
                <w:p w14:paraId="64CB5DEE">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金属护栏</w:t>
                  </w:r>
                </w:p>
              </w:tc>
              <w:tc>
                <w:tcPr>
                  <w:tcW w:w="755" w:type="pct"/>
                  <w:noWrap w:val="0"/>
                  <w:vAlign w:val="center"/>
                </w:tcPr>
                <w:p w14:paraId="69F584B6">
                  <w:pPr>
                    <w:adjustRightInd w:val="0"/>
                    <w:snapToGrid w:val="0"/>
                    <w:spacing w:line="240" w:lineRule="auto"/>
                    <w:jc w:val="center"/>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1500</w:t>
                  </w:r>
                </w:p>
              </w:tc>
              <w:tc>
                <w:tcPr>
                  <w:tcW w:w="2190" w:type="pct"/>
                  <w:noWrap w:val="0"/>
                  <w:vAlign w:val="center"/>
                </w:tcPr>
                <w:p w14:paraId="0555098F">
                  <w:pPr>
                    <w:adjustRightInd w:val="0"/>
                    <w:snapToGrid w:val="0"/>
                    <w:spacing w:line="240" w:lineRule="auto"/>
                    <w:jc w:val="center"/>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仅喷塑，用于围栏，窗户护栏等，由1个顶部扶手+1个横杆+4个竖杆组合成。顶部扶手尺寸约L1.2m</w:t>
                  </w:r>
                  <w:r>
                    <w:rPr>
                      <w:rFonts w:hint="default"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W0.1</w:t>
                  </w:r>
                  <w:r>
                    <w:rPr>
                      <w:rFonts w:hint="default"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H0.05m；中间横杆L1.2m</w:t>
                  </w:r>
                  <w:r>
                    <w:rPr>
                      <w:rFonts w:hint="default"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W0.05</w:t>
                  </w:r>
                  <w:r>
                    <w:rPr>
                      <w:rFonts w:hint="default"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0.05m；竖杆尺寸约L0.05m</w:t>
                  </w:r>
                  <w:r>
                    <w:rPr>
                      <w:rFonts w:hint="default"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W0.05m</w:t>
                  </w:r>
                  <w:r>
                    <w:rPr>
                      <w:rFonts w:hint="default"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H1.1m。</w:t>
                  </w:r>
                </w:p>
              </w:tc>
              <w:tc>
                <w:tcPr>
                  <w:tcW w:w="1392" w:type="pct"/>
                  <w:noWrap w:val="0"/>
                  <w:vAlign w:val="center"/>
                </w:tcPr>
                <w:p w14:paraId="58EB6528">
                  <w:pPr>
                    <w:adjustRightInd w:val="0"/>
                    <w:snapToGrid w:val="0"/>
                    <w:spacing w:line="240" w:lineRule="auto"/>
                    <w:jc w:val="center"/>
                    <w:rPr>
                      <w:rFonts w:hint="default"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93750个，仅喷涂外表面；喷涂面积15万m²</w:t>
                  </w:r>
                </w:p>
              </w:tc>
            </w:tr>
            <w:tr w14:paraId="3129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1" w:type="pct"/>
                  <w:noWrap w:val="0"/>
                  <w:vAlign w:val="center"/>
                </w:tcPr>
                <w:p w14:paraId="61E9D79B">
                  <w:pPr>
                    <w:adjustRightInd w:val="0"/>
                    <w:snapToGrid w:val="0"/>
                    <w:spacing w:line="240" w:lineRule="auto"/>
                    <w:jc w:val="center"/>
                    <w:rPr>
                      <w:rFonts w:hint="default" w:cs="Times New Roman"/>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配电桥架</w:t>
                  </w:r>
                </w:p>
              </w:tc>
              <w:tc>
                <w:tcPr>
                  <w:tcW w:w="755" w:type="pct"/>
                  <w:noWrap w:val="0"/>
                  <w:vAlign w:val="center"/>
                </w:tcPr>
                <w:p w14:paraId="640325C2">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400</w:t>
                  </w:r>
                </w:p>
              </w:tc>
              <w:tc>
                <w:tcPr>
                  <w:tcW w:w="2190" w:type="pct"/>
                  <w:noWrap w:val="0"/>
                  <w:vAlign w:val="center"/>
                </w:tcPr>
                <w:p w14:paraId="1B8E9C4A">
                  <w:pPr>
                    <w:adjustRightInd w:val="0"/>
                    <w:snapToGrid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仅喷塑，规格</w:t>
                  </w:r>
                  <w:r>
                    <w:rPr>
                      <w:rFonts w:hint="eastAsia" w:cs="Times New Roman"/>
                      <w:color w:val="auto"/>
                      <w:sz w:val="21"/>
                      <w:szCs w:val="21"/>
                      <w:highlight w:val="none"/>
                      <w:lang w:val="en-US" w:eastAsia="zh-CN"/>
                    </w:rPr>
                    <w:t>L3m</w:t>
                  </w:r>
                  <w:r>
                    <w:rPr>
                      <w:rFonts w:hint="default" w:ascii="Times New Roman" w:hAnsi="Times New Roman"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W0.5m</w:t>
                  </w:r>
                  <w:r>
                    <w:rPr>
                      <w:rFonts w:hint="default" w:ascii="Times New Roman" w:hAnsi="Times New Roman" w:cs="Times New Roman"/>
                      <w:bCs/>
                      <w:color w:val="auto"/>
                      <w:sz w:val="21"/>
                      <w:szCs w:val="21"/>
                      <w:highlight w:val="none"/>
                      <w:vertAlign w:val="baseline"/>
                      <w:lang w:val="en-US" w:eastAsia="zh-CN"/>
                    </w:rPr>
                    <w:t>×</w:t>
                  </w:r>
                  <w:r>
                    <w:rPr>
                      <w:rFonts w:hint="eastAsia" w:cs="Times New Roman"/>
                      <w:bCs/>
                      <w:color w:val="auto"/>
                      <w:sz w:val="21"/>
                      <w:szCs w:val="21"/>
                      <w:highlight w:val="none"/>
                      <w:vertAlign w:val="baseline"/>
                      <w:lang w:val="en-US" w:eastAsia="zh-CN"/>
                    </w:rPr>
                    <w:t>H0.2m，用于商业建筑、公共设施建设等</w:t>
                  </w:r>
                </w:p>
              </w:tc>
              <w:tc>
                <w:tcPr>
                  <w:tcW w:w="1392" w:type="pct"/>
                  <w:noWrap w:val="0"/>
                  <w:vAlign w:val="center"/>
                </w:tcPr>
                <w:p w14:paraId="155F4DA2">
                  <w:pPr>
                    <w:adjustRightInd w:val="0"/>
                    <w:snapToGrid w:val="0"/>
                    <w:spacing w:line="240" w:lineRule="auto"/>
                    <w:jc w:val="center"/>
                    <w:rPr>
                      <w:rFonts w:hint="default"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约8000个，仅喷涂外表面，两端不喷涂；喷涂面积3.36万m²</w:t>
                  </w:r>
                </w:p>
              </w:tc>
            </w:tr>
          </w:tbl>
          <w:p w14:paraId="6F0E5E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kern w:val="2"/>
                <w:sz w:val="24"/>
                <w:szCs w:val="24"/>
                <w:highlight w:val="none"/>
                <w:lang w:val="en-US" w:eastAsia="zh-CN" w:bidi="ar-SA"/>
              </w:rPr>
            </w:pPr>
            <w:r>
              <w:rPr>
                <w:rFonts w:hint="eastAsia" w:cs="Times New Roman"/>
                <w:b/>
                <w:bCs w:val="0"/>
                <w:color w:val="auto"/>
                <w:kern w:val="2"/>
                <w:sz w:val="24"/>
                <w:szCs w:val="24"/>
                <w:highlight w:val="none"/>
                <w:lang w:val="en-US" w:eastAsia="zh-CN" w:bidi="ar-SA"/>
              </w:rPr>
              <w:t>表2-4产品照片</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2"/>
              <w:gridCol w:w="4143"/>
            </w:tblGrid>
            <w:tr w14:paraId="1284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2" w:type="dxa"/>
                </w:tcPr>
                <w:p w14:paraId="0287C3D3">
                  <w:pPr>
                    <w:numPr>
                      <w:ilvl w:val="0"/>
                      <w:numId w:val="0"/>
                    </w:numPr>
                    <w:kinsoku/>
                    <w:adjustRightInd/>
                    <w:snapToGrid/>
                    <w:spacing w:line="360" w:lineRule="auto"/>
                    <w:jc w:val="center"/>
                    <w:rPr>
                      <w:rFonts w:hint="default" w:cs="Times New Roman"/>
                      <w:bCs/>
                      <w:color w:val="auto"/>
                      <w:kern w:val="2"/>
                      <w:sz w:val="24"/>
                      <w:szCs w:val="24"/>
                      <w:highlight w:val="none"/>
                      <w:vertAlign w:val="baseline"/>
                      <w:lang w:val="en-US" w:eastAsia="zh-CN" w:bidi="ar-SA"/>
                    </w:rPr>
                  </w:pPr>
                  <w:r>
                    <w:rPr>
                      <w:rFonts w:hint="default" w:cs="Times New Roman"/>
                      <w:bCs/>
                      <w:color w:val="auto"/>
                      <w:kern w:val="2"/>
                      <w:sz w:val="24"/>
                      <w:szCs w:val="24"/>
                      <w:highlight w:val="none"/>
                      <w:vertAlign w:val="baseline"/>
                      <w:lang w:val="en-US" w:eastAsia="zh-CN" w:bidi="ar-SA"/>
                    </w:rPr>
                    <w:drawing>
                      <wp:inline distT="0" distB="0" distL="114300" distR="114300">
                        <wp:extent cx="2490470" cy="1779905"/>
                        <wp:effectExtent l="0" t="0" r="8890" b="3175"/>
                        <wp:docPr id="24" name="图片 24" descr="010512b3ae998c49ce3a1006bc7d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0512b3ae998c49ce3a1006bc7d401"/>
                                <pic:cNvPicPr>
                                  <a:picLocks noChangeAspect="1"/>
                                </pic:cNvPicPr>
                              </pic:nvPicPr>
                              <pic:blipFill>
                                <a:blip r:embed="rId6"/>
                                <a:stretch>
                                  <a:fillRect/>
                                </a:stretch>
                              </pic:blipFill>
                              <pic:spPr>
                                <a:xfrm>
                                  <a:off x="0" y="0"/>
                                  <a:ext cx="2490470" cy="1779905"/>
                                </a:xfrm>
                                <a:prstGeom prst="rect">
                                  <a:avLst/>
                                </a:prstGeom>
                              </pic:spPr>
                            </pic:pic>
                          </a:graphicData>
                        </a:graphic>
                      </wp:inline>
                    </w:drawing>
                  </w:r>
                </w:p>
              </w:tc>
              <w:tc>
                <w:tcPr>
                  <w:tcW w:w="4143" w:type="dxa"/>
                </w:tcPr>
                <w:p w14:paraId="655DAEE2">
                  <w:pPr>
                    <w:numPr>
                      <w:ilvl w:val="0"/>
                      <w:numId w:val="0"/>
                    </w:numPr>
                    <w:kinsoku/>
                    <w:adjustRightInd/>
                    <w:snapToGrid/>
                    <w:spacing w:line="360" w:lineRule="auto"/>
                    <w:jc w:val="center"/>
                    <w:rPr>
                      <w:rFonts w:hint="default" w:cs="Times New Roman"/>
                      <w:bCs/>
                      <w:color w:val="auto"/>
                      <w:kern w:val="2"/>
                      <w:sz w:val="24"/>
                      <w:szCs w:val="24"/>
                      <w:highlight w:val="none"/>
                      <w:vertAlign w:val="baseline"/>
                      <w:lang w:val="en-US" w:eastAsia="zh-CN" w:bidi="ar-SA"/>
                    </w:rPr>
                  </w:pPr>
                  <w:r>
                    <w:rPr>
                      <w:rFonts w:hint="default" w:cs="Times New Roman"/>
                      <w:bCs/>
                      <w:color w:val="auto"/>
                      <w:kern w:val="2"/>
                      <w:sz w:val="24"/>
                      <w:szCs w:val="24"/>
                      <w:highlight w:val="none"/>
                      <w:vertAlign w:val="baseline"/>
                      <w:lang w:val="en-US" w:eastAsia="zh-CN" w:bidi="ar-SA"/>
                    </w:rPr>
                    <w:drawing>
                      <wp:inline distT="0" distB="0" distL="114300" distR="114300">
                        <wp:extent cx="2492375" cy="1691005"/>
                        <wp:effectExtent l="0" t="0" r="6985" b="635"/>
                        <wp:docPr id="26" name="图片 26" descr="5d2511852472ca5c3e7f802a47d0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d2511852472ca5c3e7f802a47d0aa6"/>
                                <pic:cNvPicPr>
                                  <a:picLocks noChangeAspect="1"/>
                                </pic:cNvPicPr>
                              </pic:nvPicPr>
                              <pic:blipFill>
                                <a:blip r:embed="rId7"/>
                                <a:stretch>
                                  <a:fillRect/>
                                </a:stretch>
                              </pic:blipFill>
                              <pic:spPr>
                                <a:xfrm>
                                  <a:off x="0" y="0"/>
                                  <a:ext cx="2492375" cy="1691005"/>
                                </a:xfrm>
                                <a:prstGeom prst="rect">
                                  <a:avLst/>
                                </a:prstGeom>
                              </pic:spPr>
                            </pic:pic>
                          </a:graphicData>
                        </a:graphic>
                      </wp:inline>
                    </w:drawing>
                  </w:r>
                </w:p>
              </w:tc>
            </w:tr>
            <w:tr w14:paraId="4B28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2" w:type="dxa"/>
                </w:tcPr>
                <w:p w14:paraId="3A0AC6C9">
                  <w:pPr>
                    <w:numPr>
                      <w:ilvl w:val="0"/>
                      <w:numId w:val="0"/>
                    </w:numPr>
                    <w:kinsoku/>
                    <w:adjustRightInd/>
                    <w:snapToGrid/>
                    <w:spacing w:line="360" w:lineRule="auto"/>
                    <w:jc w:val="center"/>
                    <w:rPr>
                      <w:rFonts w:hint="default" w:cs="Times New Roman"/>
                      <w:bCs/>
                      <w:color w:val="auto"/>
                      <w:kern w:val="2"/>
                      <w:sz w:val="21"/>
                      <w:szCs w:val="21"/>
                      <w:highlight w:val="none"/>
                      <w:vertAlign w:val="baseline"/>
                      <w:lang w:val="en-US" w:eastAsia="zh-CN" w:bidi="ar-SA"/>
                    </w:rPr>
                  </w:pPr>
                  <w:r>
                    <w:rPr>
                      <w:rFonts w:hint="eastAsia" w:cs="Times New Roman"/>
                      <w:bCs/>
                      <w:color w:val="auto"/>
                      <w:kern w:val="2"/>
                      <w:sz w:val="21"/>
                      <w:szCs w:val="21"/>
                      <w:highlight w:val="none"/>
                      <w:vertAlign w:val="baseline"/>
                      <w:lang w:val="en-US" w:eastAsia="zh-CN" w:bidi="ar-SA"/>
                    </w:rPr>
                    <w:t>铝单板（喷塑型）</w:t>
                  </w:r>
                </w:p>
              </w:tc>
              <w:tc>
                <w:tcPr>
                  <w:tcW w:w="4143" w:type="dxa"/>
                </w:tcPr>
                <w:p w14:paraId="517C8675">
                  <w:pPr>
                    <w:numPr>
                      <w:ilvl w:val="0"/>
                      <w:numId w:val="0"/>
                    </w:numPr>
                    <w:kinsoku/>
                    <w:adjustRightInd/>
                    <w:snapToGrid/>
                    <w:spacing w:line="360" w:lineRule="auto"/>
                    <w:jc w:val="center"/>
                    <w:rPr>
                      <w:rFonts w:hint="default" w:cs="Times New Roman"/>
                      <w:bCs/>
                      <w:color w:val="auto"/>
                      <w:kern w:val="2"/>
                      <w:sz w:val="21"/>
                      <w:szCs w:val="21"/>
                      <w:highlight w:val="none"/>
                      <w:vertAlign w:val="baseline"/>
                      <w:lang w:val="en-US" w:eastAsia="zh-CN" w:bidi="ar-SA"/>
                    </w:rPr>
                  </w:pPr>
                  <w:r>
                    <w:rPr>
                      <w:rFonts w:hint="eastAsia" w:cs="Times New Roman"/>
                      <w:bCs/>
                      <w:color w:val="auto"/>
                      <w:kern w:val="2"/>
                      <w:sz w:val="21"/>
                      <w:szCs w:val="21"/>
                      <w:highlight w:val="none"/>
                      <w:vertAlign w:val="baseline"/>
                      <w:lang w:val="en-US" w:eastAsia="zh-CN" w:bidi="ar-SA"/>
                    </w:rPr>
                    <w:t>铝单板（喷漆型）</w:t>
                  </w:r>
                </w:p>
              </w:tc>
            </w:tr>
            <w:tr w14:paraId="0B81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2" w:type="dxa"/>
                </w:tcPr>
                <w:p w14:paraId="2AAF8E40">
                  <w:pPr>
                    <w:numPr>
                      <w:ilvl w:val="0"/>
                      <w:numId w:val="0"/>
                    </w:numPr>
                    <w:kinsoku/>
                    <w:adjustRightInd/>
                    <w:snapToGrid/>
                    <w:spacing w:line="360" w:lineRule="auto"/>
                    <w:jc w:val="center"/>
                    <w:rPr>
                      <w:rFonts w:hint="eastAsia" w:cs="Times New Roman"/>
                      <w:bCs/>
                      <w:color w:val="auto"/>
                      <w:kern w:val="2"/>
                      <w:sz w:val="24"/>
                      <w:szCs w:val="24"/>
                      <w:highlight w:val="none"/>
                      <w:vertAlign w:val="baseline"/>
                      <w:lang w:val="en-US" w:eastAsia="zh-CN" w:bidi="ar-SA"/>
                    </w:rPr>
                  </w:pPr>
                  <w:r>
                    <w:rPr>
                      <w:rFonts w:hint="eastAsia" w:cs="Times New Roman"/>
                      <w:bCs/>
                      <w:color w:val="auto"/>
                      <w:kern w:val="2"/>
                      <w:sz w:val="24"/>
                      <w:szCs w:val="24"/>
                      <w:highlight w:val="none"/>
                      <w:vertAlign w:val="baseline"/>
                      <w:lang w:val="en-US" w:eastAsia="zh-CN" w:bidi="ar-SA"/>
                    </w:rPr>
                    <w:drawing>
                      <wp:inline distT="0" distB="0" distL="114300" distR="114300">
                        <wp:extent cx="2541905" cy="1696085"/>
                        <wp:effectExtent l="0" t="0" r="3175" b="10795"/>
                        <wp:docPr id="27" name="图片 27" descr="3a7316cc6993dd4526d416dfb76e4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a7316cc6993dd4526d416dfb76e4fe"/>
                                <pic:cNvPicPr>
                                  <a:picLocks noChangeAspect="1"/>
                                </pic:cNvPicPr>
                              </pic:nvPicPr>
                              <pic:blipFill>
                                <a:blip r:embed="rId8"/>
                                <a:stretch>
                                  <a:fillRect/>
                                </a:stretch>
                              </pic:blipFill>
                              <pic:spPr>
                                <a:xfrm>
                                  <a:off x="0" y="0"/>
                                  <a:ext cx="2541905" cy="1696085"/>
                                </a:xfrm>
                                <a:prstGeom prst="rect">
                                  <a:avLst/>
                                </a:prstGeom>
                              </pic:spPr>
                            </pic:pic>
                          </a:graphicData>
                        </a:graphic>
                      </wp:inline>
                    </w:drawing>
                  </w:r>
                </w:p>
              </w:tc>
              <w:tc>
                <w:tcPr>
                  <w:tcW w:w="4143" w:type="dxa"/>
                </w:tcPr>
                <w:p w14:paraId="34AFC628">
                  <w:pPr>
                    <w:numPr>
                      <w:ilvl w:val="0"/>
                      <w:numId w:val="0"/>
                    </w:numPr>
                    <w:kinsoku/>
                    <w:adjustRightInd/>
                    <w:snapToGrid/>
                    <w:spacing w:line="360" w:lineRule="auto"/>
                    <w:jc w:val="center"/>
                    <w:rPr>
                      <w:rFonts w:hint="default" w:cs="Times New Roman"/>
                      <w:bCs/>
                      <w:color w:val="auto"/>
                      <w:kern w:val="2"/>
                      <w:sz w:val="24"/>
                      <w:szCs w:val="24"/>
                      <w:highlight w:val="none"/>
                      <w:vertAlign w:val="baseline"/>
                      <w:lang w:val="en-US" w:eastAsia="zh-CN" w:bidi="ar-SA"/>
                    </w:rPr>
                  </w:pPr>
                  <w:r>
                    <w:rPr>
                      <w:rFonts w:hint="default" w:cs="Times New Roman"/>
                      <w:bCs/>
                      <w:color w:val="auto"/>
                      <w:kern w:val="2"/>
                      <w:sz w:val="24"/>
                      <w:szCs w:val="24"/>
                      <w:highlight w:val="none"/>
                      <w:vertAlign w:val="baseline"/>
                      <w:lang w:val="en-US" w:eastAsia="zh-CN" w:bidi="ar-SA"/>
                    </w:rPr>
                    <w:drawing>
                      <wp:inline distT="0" distB="0" distL="114300" distR="114300">
                        <wp:extent cx="2506345" cy="1751330"/>
                        <wp:effectExtent l="0" t="0" r="8255" b="1270"/>
                        <wp:docPr id="29" name="图片 29" descr="30830fca09f55e24265758424e1f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0830fca09f55e24265758424e1ffac"/>
                                <pic:cNvPicPr>
                                  <a:picLocks noChangeAspect="1"/>
                                </pic:cNvPicPr>
                              </pic:nvPicPr>
                              <pic:blipFill>
                                <a:blip r:embed="rId9"/>
                                <a:stretch>
                                  <a:fillRect/>
                                </a:stretch>
                              </pic:blipFill>
                              <pic:spPr>
                                <a:xfrm>
                                  <a:off x="0" y="0"/>
                                  <a:ext cx="2506345" cy="1751330"/>
                                </a:xfrm>
                                <a:prstGeom prst="rect">
                                  <a:avLst/>
                                </a:prstGeom>
                              </pic:spPr>
                            </pic:pic>
                          </a:graphicData>
                        </a:graphic>
                      </wp:inline>
                    </w:drawing>
                  </w:r>
                </w:p>
              </w:tc>
            </w:tr>
            <w:tr w14:paraId="4685A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2" w:type="dxa"/>
                </w:tcPr>
                <w:p w14:paraId="6B870291">
                  <w:pPr>
                    <w:numPr>
                      <w:ilvl w:val="0"/>
                      <w:numId w:val="0"/>
                    </w:numPr>
                    <w:kinsoku/>
                    <w:adjustRightInd/>
                    <w:snapToGrid/>
                    <w:spacing w:line="360" w:lineRule="auto"/>
                    <w:jc w:val="center"/>
                    <w:rPr>
                      <w:rFonts w:hint="default" w:cs="Times New Roman"/>
                      <w:bCs/>
                      <w:color w:val="auto"/>
                      <w:kern w:val="2"/>
                      <w:sz w:val="21"/>
                      <w:szCs w:val="21"/>
                      <w:highlight w:val="none"/>
                      <w:vertAlign w:val="baseline"/>
                      <w:lang w:val="en-US" w:eastAsia="zh-CN" w:bidi="ar-SA"/>
                    </w:rPr>
                  </w:pPr>
                  <w:r>
                    <w:rPr>
                      <w:rFonts w:hint="eastAsia" w:cs="Times New Roman"/>
                      <w:bCs/>
                      <w:color w:val="auto"/>
                      <w:kern w:val="2"/>
                      <w:sz w:val="21"/>
                      <w:szCs w:val="21"/>
                      <w:highlight w:val="none"/>
                      <w:vertAlign w:val="baseline"/>
                      <w:lang w:val="en-US" w:eastAsia="zh-CN" w:bidi="ar-SA"/>
                    </w:rPr>
                    <w:t>金属护栏（喷塑）</w:t>
                  </w:r>
                </w:p>
              </w:tc>
              <w:tc>
                <w:tcPr>
                  <w:tcW w:w="4143" w:type="dxa"/>
                </w:tcPr>
                <w:p w14:paraId="022BD759">
                  <w:pPr>
                    <w:numPr>
                      <w:ilvl w:val="0"/>
                      <w:numId w:val="0"/>
                    </w:numPr>
                    <w:kinsoku/>
                    <w:adjustRightInd/>
                    <w:snapToGrid/>
                    <w:spacing w:line="360" w:lineRule="auto"/>
                    <w:jc w:val="center"/>
                    <w:rPr>
                      <w:rFonts w:hint="default" w:cs="Times New Roman"/>
                      <w:bCs/>
                      <w:color w:val="auto"/>
                      <w:kern w:val="2"/>
                      <w:sz w:val="21"/>
                      <w:szCs w:val="21"/>
                      <w:highlight w:val="none"/>
                      <w:vertAlign w:val="baseline"/>
                      <w:lang w:val="en-US" w:eastAsia="zh-CN" w:bidi="ar-SA"/>
                    </w:rPr>
                  </w:pPr>
                  <w:r>
                    <w:rPr>
                      <w:rFonts w:hint="eastAsia" w:cs="Times New Roman"/>
                      <w:bCs/>
                      <w:color w:val="auto"/>
                      <w:kern w:val="2"/>
                      <w:sz w:val="21"/>
                      <w:szCs w:val="21"/>
                      <w:highlight w:val="none"/>
                      <w:vertAlign w:val="baseline"/>
                      <w:lang w:val="en-US" w:eastAsia="zh-CN" w:bidi="ar-SA"/>
                    </w:rPr>
                    <w:t>桥架（喷塑）</w:t>
                  </w:r>
                </w:p>
              </w:tc>
            </w:tr>
          </w:tbl>
          <w:p w14:paraId="0E91623B">
            <w:pPr>
              <w:numPr>
                <w:ilvl w:val="0"/>
                <w:numId w:val="0"/>
              </w:numPr>
              <w:kinsoku/>
              <w:adjustRightInd/>
              <w:snapToGrid/>
              <w:spacing w:line="360" w:lineRule="auto"/>
              <w:ind w:firstLine="480" w:firstLineChars="200"/>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kern w:val="2"/>
                <w:sz w:val="24"/>
                <w:szCs w:val="24"/>
                <w:highlight w:val="none"/>
                <w:lang w:val="en-US" w:eastAsia="zh-CN" w:bidi="ar-SA"/>
              </w:rPr>
              <w:t>3、</w:t>
            </w:r>
            <w:r>
              <w:rPr>
                <w:rFonts w:ascii="Times New Roman" w:hAnsi="Times New Roman" w:eastAsia="宋体" w:cs="Times New Roman"/>
                <w:bCs/>
                <w:color w:val="auto"/>
                <w:sz w:val="24"/>
                <w:highlight w:val="none"/>
                <w:lang w:eastAsia="zh-CN"/>
              </w:rPr>
              <w:t>原辅材料消耗</w:t>
            </w:r>
          </w:p>
          <w:p w14:paraId="377C90B0">
            <w:pPr>
              <w:pStyle w:val="40"/>
              <w:rPr>
                <w:rFonts w:hint="default"/>
                <w:color w:val="auto"/>
                <w:sz w:val="24"/>
                <w:szCs w:val="32"/>
                <w:highlight w:val="none"/>
              </w:rPr>
            </w:pPr>
            <w:r>
              <w:rPr>
                <w:color w:val="auto"/>
                <w:sz w:val="24"/>
                <w:szCs w:val="32"/>
                <w:highlight w:val="none"/>
              </w:rPr>
              <w:t>表2-</w:t>
            </w:r>
            <w:r>
              <w:rPr>
                <w:rFonts w:hint="eastAsia"/>
                <w:color w:val="auto"/>
                <w:sz w:val="24"/>
                <w:szCs w:val="32"/>
                <w:highlight w:val="none"/>
                <w:lang w:val="en-US" w:eastAsia="zh-CN"/>
              </w:rPr>
              <w:t>3</w:t>
            </w:r>
            <w:r>
              <w:rPr>
                <w:color w:val="auto"/>
                <w:sz w:val="24"/>
                <w:szCs w:val="32"/>
                <w:highlight w:val="none"/>
              </w:rPr>
              <w:t xml:space="preserve">  项目原辅材料及能耗一览表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545"/>
              <w:gridCol w:w="1200"/>
              <w:gridCol w:w="934"/>
              <w:gridCol w:w="1313"/>
              <w:gridCol w:w="59"/>
              <w:gridCol w:w="1070"/>
              <w:gridCol w:w="1610"/>
            </w:tblGrid>
            <w:tr w14:paraId="36EA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5CFCA9A6">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color w:val="auto"/>
                      <w:highlight w:val="none"/>
                    </w:rPr>
                    <w:t>序号</w:t>
                  </w:r>
                </w:p>
              </w:tc>
              <w:tc>
                <w:tcPr>
                  <w:tcW w:w="910" w:type="pct"/>
                  <w:vAlign w:val="center"/>
                </w:tcPr>
                <w:p w14:paraId="14FAF765">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color w:val="auto"/>
                      <w:highlight w:val="none"/>
                    </w:rPr>
                    <w:t>名称</w:t>
                  </w:r>
                </w:p>
              </w:tc>
              <w:tc>
                <w:tcPr>
                  <w:tcW w:w="707" w:type="pct"/>
                  <w:vAlign w:val="center"/>
                </w:tcPr>
                <w:p w14:paraId="71B43F83">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单位</w:t>
                  </w:r>
                </w:p>
              </w:tc>
              <w:tc>
                <w:tcPr>
                  <w:tcW w:w="550" w:type="pct"/>
                  <w:vAlign w:val="center"/>
                </w:tcPr>
                <w:p w14:paraId="538907EC">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color w:val="auto"/>
                      <w:highlight w:val="none"/>
                    </w:rPr>
                    <w:t>年用量</w:t>
                  </w:r>
                </w:p>
              </w:tc>
              <w:tc>
                <w:tcPr>
                  <w:tcW w:w="773" w:type="pct"/>
                  <w:vAlign w:val="center"/>
                </w:tcPr>
                <w:p w14:paraId="0C5583FD">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包装、形态</w:t>
                  </w:r>
                </w:p>
              </w:tc>
              <w:tc>
                <w:tcPr>
                  <w:tcW w:w="665" w:type="pct"/>
                  <w:gridSpan w:val="2"/>
                  <w:vAlign w:val="center"/>
                </w:tcPr>
                <w:p w14:paraId="5E58F196">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rFonts w:hint="eastAsia"/>
                      <w:color w:val="auto"/>
                      <w:highlight w:val="none"/>
                    </w:rPr>
                    <w:t>最大暂存量</w:t>
                  </w:r>
                </w:p>
              </w:tc>
              <w:tc>
                <w:tcPr>
                  <w:tcW w:w="946" w:type="pct"/>
                  <w:vAlign w:val="center"/>
                </w:tcPr>
                <w:p w14:paraId="4652BC82">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rFonts w:hint="eastAsia"/>
                      <w:color w:val="auto"/>
                      <w:highlight w:val="none"/>
                    </w:rPr>
                    <w:t>暂存地点</w:t>
                  </w:r>
                </w:p>
              </w:tc>
            </w:tr>
            <w:tr w14:paraId="3A24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722F7A77">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一</w:t>
                  </w:r>
                </w:p>
              </w:tc>
              <w:tc>
                <w:tcPr>
                  <w:tcW w:w="4553" w:type="pct"/>
                  <w:gridSpan w:val="7"/>
                  <w:vAlign w:val="center"/>
                </w:tcPr>
                <w:p w14:paraId="7C5CAEAB">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金属铝板生产线</w:t>
                  </w:r>
                </w:p>
              </w:tc>
            </w:tr>
            <w:tr w14:paraId="4D6C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6A103CFA">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rFonts w:hint="eastAsia"/>
                      <w:color w:val="auto"/>
                      <w:highlight w:val="none"/>
                    </w:rPr>
                    <w:t>1</w:t>
                  </w:r>
                </w:p>
              </w:tc>
              <w:tc>
                <w:tcPr>
                  <w:tcW w:w="910" w:type="pct"/>
                  <w:vAlign w:val="center"/>
                </w:tcPr>
                <w:p w14:paraId="50CC0BB3">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bCs w:val="0"/>
                      <w:color w:val="auto"/>
                      <w:sz w:val="21"/>
                      <w:szCs w:val="21"/>
                      <w:highlight w:val="none"/>
                    </w:rPr>
                  </w:pPr>
                  <w:r>
                    <w:rPr>
                      <w:rFonts w:hint="eastAsia"/>
                      <w:color w:val="auto"/>
                      <w:highlight w:val="none"/>
                      <w:lang w:val="en-US" w:eastAsia="zh-CN"/>
                    </w:rPr>
                    <w:t>铝板/卷</w:t>
                  </w:r>
                </w:p>
              </w:tc>
              <w:tc>
                <w:tcPr>
                  <w:tcW w:w="707" w:type="pct"/>
                  <w:vAlign w:val="center"/>
                </w:tcPr>
                <w:p w14:paraId="460159A9">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吨</w:t>
                  </w:r>
                </w:p>
              </w:tc>
              <w:tc>
                <w:tcPr>
                  <w:tcW w:w="550" w:type="pct"/>
                  <w:vAlign w:val="center"/>
                </w:tcPr>
                <w:p w14:paraId="3E542D0C">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3000</w:t>
                  </w:r>
                </w:p>
              </w:tc>
              <w:tc>
                <w:tcPr>
                  <w:tcW w:w="773" w:type="pct"/>
                  <w:vAlign w:val="center"/>
                </w:tcPr>
                <w:p w14:paraId="3A6E0449">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木托，捆扎</w:t>
                  </w:r>
                </w:p>
              </w:tc>
              <w:tc>
                <w:tcPr>
                  <w:tcW w:w="665" w:type="pct"/>
                  <w:gridSpan w:val="2"/>
                  <w:vAlign w:val="center"/>
                </w:tcPr>
                <w:p w14:paraId="686BC5A2">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300</w:t>
                  </w:r>
                </w:p>
              </w:tc>
              <w:tc>
                <w:tcPr>
                  <w:tcW w:w="946" w:type="pct"/>
                  <w:vAlign w:val="center"/>
                </w:tcPr>
                <w:p w14:paraId="760C43D7">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rPr>
                  </w:pPr>
                  <w:r>
                    <w:rPr>
                      <w:rFonts w:hint="eastAsia"/>
                      <w:color w:val="auto"/>
                      <w:highlight w:val="none"/>
                      <w:lang w:val="en-US" w:eastAsia="zh-CN"/>
                    </w:rPr>
                    <w:t>铝卷原料区</w:t>
                  </w:r>
                </w:p>
              </w:tc>
            </w:tr>
            <w:tr w14:paraId="0674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39983255">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rFonts w:hint="eastAsia"/>
                      <w:color w:val="auto"/>
                      <w:highlight w:val="none"/>
                    </w:rPr>
                    <w:t>2</w:t>
                  </w:r>
                </w:p>
              </w:tc>
              <w:tc>
                <w:tcPr>
                  <w:tcW w:w="910" w:type="pct"/>
                  <w:vAlign w:val="center"/>
                </w:tcPr>
                <w:p w14:paraId="5640C963">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bCs w:val="0"/>
                      <w:color w:val="auto"/>
                      <w:sz w:val="21"/>
                      <w:szCs w:val="21"/>
                      <w:highlight w:val="none"/>
                    </w:rPr>
                  </w:pPr>
                  <w:r>
                    <w:rPr>
                      <w:rFonts w:hint="eastAsia"/>
                      <w:color w:val="auto"/>
                      <w:highlight w:val="none"/>
                      <w:lang w:val="en-US" w:eastAsia="zh-CN"/>
                    </w:rPr>
                    <w:t>铝型材</w:t>
                  </w:r>
                </w:p>
              </w:tc>
              <w:tc>
                <w:tcPr>
                  <w:tcW w:w="707" w:type="pct"/>
                  <w:vAlign w:val="center"/>
                </w:tcPr>
                <w:p w14:paraId="3337788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7B6F418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200</w:t>
                  </w:r>
                </w:p>
              </w:tc>
              <w:tc>
                <w:tcPr>
                  <w:tcW w:w="773" w:type="pct"/>
                  <w:vAlign w:val="center"/>
                </w:tcPr>
                <w:p w14:paraId="0C385B14">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打包带</w:t>
                  </w:r>
                </w:p>
              </w:tc>
              <w:tc>
                <w:tcPr>
                  <w:tcW w:w="665" w:type="pct"/>
                  <w:gridSpan w:val="2"/>
                  <w:vAlign w:val="center"/>
                </w:tcPr>
                <w:p w14:paraId="07A5F706">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20</w:t>
                  </w:r>
                </w:p>
              </w:tc>
              <w:tc>
                <w:tcPr>
                  <w:tcW w:w="946" w:type="pct"/>
                  <w:vAlign w:val="center"/>
                </w:tcPr>
                <w:p w14:paraId="5670E8A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rPr>
                  </w:pPr>
                  <w:r>
                    <w:rPr>
                      <w:rFonts w:hint="eastAsia"/>
                      <w:color w:val="auto"/>
                      <w:highlight w:val="none"/>
                      <w:lang w:val="en-US" w:eastAsia="zh-CN"/>
                    </w:rPr>
                    <w:t>铝卷原料区</w:t>
                  </w:r>
                </w:p>
              </w:tc>
            </w:tr>
            <w:tr w14:paraId="60C3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765E4C55">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rFonts w:hint="eastAsia"/>
                      <w:color w:val="auto"/>
                      <w:highlight w:val="none"/>
                    </w:rPr>
                    <w:t>3</w:t>
                  </w:r>
                </w:p>
              </w:tc>
              <w:tc>
                <w:tcPr>
                  <w:tcW w:w="910" w:type="pct"/>
                  <w:vAlign w:val="center"/>
                </w:tcPr>
                <w:p w14:paraId="052B8F3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b w:val="0"/>
                      <w:bCs w:val="0"/>
                      <w:color w:val="auto"/>
                      <w:sz w:val="21"/>
                      <w:szCs w:val="21"/>
                      <w:highlight w:val="none"/>
                      <w:lang w:val="en-US"/>
                    </w:rPr>
                  </w:pPr>
                  <w:r>
                    <w:rPr>
                      <w:rFonts w:hint="eastAsia"/>
                      <w:color w:val="auto"/>
                      <w:highlight w:val="none"/>
                      <w:lang w:val="en-US" w:eastAsia="zh-CN"/>
                    </w:rPr>
                    <w:t>铝焊丝</w:t>
                  </w:r>
                </w:p>
              </w:tc>
              <w:tc>
                <w:tcPr>
                  <w:tcW w:w="707" w:type="pct"/>
                  <w:vAlign w:val="center"/>
                </w:tcPr>
                <w:p w14:paraId="7A72A18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6AEB133C">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heme="minorBidi"/>
                      <w:color w:val="auto"/>
                      <w:kern w:val="2"/>
                      <w:sz w:val="21"/>
                      <w:szCs w:val="24"/>
                      <w:highlight w:val="none"/>
                      <w:lang w:val="en-US" w:eastAsia="zh-CN" w:bidi="ar-SA"/>
                    </w:rPr>
                    <w:t>3</w:t>
                  </w:r>
                </w:p>
              </w:tc>
              <w:tc>
                <w:tcPr>
                  <w:tcW w:w="773" w:type="pct"/>
                  <w:vAlign w:val="center"/>
                </w:tcPr>
                <w:p w14:paraId="156BFFF6">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纸箱</w:t>
                  </w:r>
                </w:p>
              </w:tc>
              <w:tc>
                <w:tcPr>
                  <w:tcW w:w="665" w:type="pct"/>
                  <w:gridSpan w:val="2"/>
                  <w:vAlign w:val="center"/>
                </w:tcPr>
                <w:p w14:paraId="35C5AF7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0.2</w:t>
                  </w:r>
                </w:p>
              </w:tc>
              <w:tc>
                <w:tcPr>
                  <w:tcW w:w="946" w:type="pct"/>
                  <w:vAlign w:val="center"/>
                </w:tcPr>
                <w:p w14:paraId="361F90C5">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rPr>
                  </w:pPr>
                  <w:r>
                    <w:rPr>
                      <w:rFonts w:hint="eastAsia"/>
                      <w:color w:val="auto"/>
                      <w:highlight w:val="none"/>
                      <w:lang w:val="en-US" w:eastAsia="zh-CN"/>
                    </w:rPr>
                    <w:t>其他原料区</w:t>
                  </w:r>
                </w:p>
              </w:tc>
            </w:tr>
            <w:tr w14:paraId="69CD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0493F3D1">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rFonts w:hint="eastAsia"/>
                      <w:color w:val="auto"/>
                      <w:highlight w:val="none"/>
                    </w:rPr>
                    <w:t>4</w:t>
                  </w:r>
                </w:p>
              </w:tc>
              <w:tc>
                <w:tcPr>
                  <w:tcW w:w="910" w:type="pct"/>
                  <w:vAlign w:val="center"/>
                </w:tcPr>
                <w:p w14:paraId="6CDE65A5">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氩气</w:t>
                  </w:r>
                </w:p>
              </w:tc>
              <w:tc>
                <w:tcPr>
                  <w:tcW w:w="707" w:type="pct"/>
                  <w:vAlign w:val="center"/>
                </w:tcPr>
                <w:p w14:paraId="6022DB1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stheme="minorBidi"/>
                      <w:color w:val="auto"/>
                      <w:kern w:val="2"/>
                      <w:sz w:val="21"/>
                      <w:szCs w:val="24"/>
                      <w:highlight w:val="none"/>
                      <w:lang w:val="en-US" w:eastAsia="zh-CN" w:bidi="ar-SA"/>
                    </w:rPr>
                    <w:t>瓶装</w:t>
                  </w:r>
                </w:p>
              </w:tc>
              <w:tc>
                <w:tcPr>
                  <w:tcW w:w="550" w:type="pct"/>
                  <w:vAlign w:val="center"/>
                </w:tcPr>
                <w:p w14:paraId="2D2542B5">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heme="minorBidi"/>
                      <w:color w:val="auto"/>
                      <w:kern w:val="2"/>
                      <w:sz w:val="21"/>
                      <w:szCs w:val="24"/>
                      <w:highlight w:val="none"/>
                      <w:lang w:val="en-US" w:eastAsia="zh-CN" w:bidi="ar-SA"/>
                    </w:rPr>
                    <w:t>500</w:t>
                  </w:r>
                </w:p>
              </w:tc>
              <w:tc>
                <w:tcPr>
                  <w:tcW w:w="773" w:type="pct"/>
                  <w:vAlign w:val="center"/>
                </w:tcPr>
                <w:p w14:paraId="65E8D39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heme="minorBidi"/>
                      <w:color w:val="auto"/>
                      <w:kern w:val="2"/>
                      <w:sz w:val="21"/>
                      <w:szCs w:val="24"/>
                      <w:highlight w:val="none"/>
                      <w:lang w:val="en-US" w:eastAsia="zh-CN" w:bidi="ar-SA"/>
                    </w:rPr>
                    <w:t>15kg/瓶装，气态</w:t>
                  </w:r>
                </w:p>
              </w:tc>
              <w:tc>
                <w:tcPr>
                  <w:tcW w:w="665" w:type="pct"/>
                  <w:gridSpan w:val="2"/>
                  <w:vAlign w:val="center"/>
                </w:tcPr>
                <w:p w14:paraId="2163635E">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heme="minorBidi"/>
                      <w:color w:val="auto"/>
                      <w:kern w:val="2"/>
                      <w:sz w:val="21"/>
                      <w:szCs w:val="24"/>
                      <w:highlight w:val="none"/>
                      <w:lang w:val="en-US" w:eastAsia="zh-CN" w:bidi="ar-SA"/>
                    </w:rPr>
                    <w:t>30</w:t>
                  </w:r>
                </w:p>
              </w:tc>
              <w:tc>
                <w:tcPr>
                  <w:tcW w:w="946" w:type="pct"/>
                  <w:vAlign w:val="center"/>
                </w:tcPr>
                <w:p w14:paraId="4A8BA9F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rFonts w:hint="eastAsia"/>
                      <w:color w:val="auto"/>
                      <w:highlight w:val="none"/>
                      <w:lang w:val="en-US" w:eastAsia="zh-CN"/>
                    </w:rPr>
                    <w:t>其他原料区</w:t>
                  </w:r>
                </w:p>
              </w:tc>
            </w:tr>
            <w:tr w14:paraId="6466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37C76108">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5</w:t>
                  </w:r>
                </w:p>
              </w:tc>
              <w:tc>
                <w:tcPr>
                  <w:tcW w:w="910" w:type="pct"/>
                  <w:vAlign w:val="center"/>
                </w:tcPr>
                <w:p w14:paraId="34C990AF">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ascii="宋体" w:hAnsi="宋体" w:cs="宋体"/>
                      <w:b w:val="0"/>
                      <w:bCs w:val="0"/>
                      <w:color w:val="auto"/>
                      <w:spacing w:val="8"/>
                      <w:sz w:val="21"/>
                      <w:szCs w:val="21"/>
                      <w:highlight w:val="none"/>
                      <w:lang w:val="en-US" w:eastAsia="zh-CN"/>
                    </w:rPr>
                    <w:t>塑粉</w:t>
                  </w:r>
                </w:p>
              </w:tc>
              <w:tc>
                <w:tcPr>
                  <w:tcW w:w="707" w:type="pct"/>
                  <w:vAlign w:val="center"/>
                </w:tcPr>
                <w:p w14:paraId="2435F30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lang w:val="en-US" w:eastAsia="zh-CN"/>
                    </w:rPr>
                  </w:pPr>
                  <w:r>
                    <w:rPr>
                      <w:rFonts w:hint="eastAsia"/>
                      <w:color w:val="auto"/>
                      <w:highlight w:val="none"/>
                      <w:lang w:val="en-US" w:eastAsia="zh-CN"/>
                    </w:rPr>
                    <w:t>吨</w:t>
                  </w:r>
                </w:p>
              </w:tc>
              <w:tc>
                <w:tcPr>
                  <w:tcW w:w="550" w:type="pct"/>
                  <w:vAlign w:val="center"/>
                </w:tcPr>
                <w:p w14:paraId="67E7586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109</w:t>
                  </w:r>
                </w:p>
              </w:tc>
              <w:tc>
                <w:tcPr>
                  <w:tcW w:w="773" w:type="pct"/>
                  <w:vAlign w:val="center"/>
                </w:tcPr>
                <w:p w14:paraId="1686EFA3">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纸箱</w:t>
                  </w:r>
                </w:p>
              </w:tc>
              <w:tc>
                <w:tcPr>
                  <w:tcW w:w="665" w:type="pct"/>
                  <w:gridSpan w:val="2"/>
                  <w:vAlign w:val="center"/>
                </w:tcPr>
                <w:p w14:paraId="6C605356">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5</w:t>
                  </w:r>
                </w:p>
              </w:tc>
              <w:tc>
                <w:tcPr>
                  <w:tcW w:w="946" w:type="pct"/>
                  <w:vAlign w:val="center"/>
                </w:tcPr>
                <w:p w14:paraId="70CAA3F2">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化学品库</w:t>
                  </w:r>
                </w:p>
              </w:tc>
            </w:tr>
            <w:tr w14:paraId="6444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1190144C">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6</w:t>
                  </w:r>
                </w:p>
              </w:tc>
              <w:tc>
                <w:tcPr>
                  <w:tcW w:w="910" w:type="pct"/>
                  <w:vAlign w:val="center"/>
                </w:tcPr>
                <w:p w14:paraId="18567B6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宋体" w:hAnsi="宋体" w:eastAsia="宋体" w:cs="宋体"/>
                      <w:b w:val="0"/>
                      <w:bCs w:val="0"/>
                      <w:color w:val="auto"/>
                      <w:spacing w:val="8"/>
                      <w:sz w:val="21"/>
                      <w:szCs w:val="21"/>
                      <w:highlight w:val="none"/>
                      <w:lang w:val="en-US"/>
                    </w:rPr>
                  </w:pPr>
                  <w:r>
                    <w:rPr>
                      <w:rFonts w:hint="eastAsia"/>
                      <w:color w:val="auto"/>
                      <w:highlight w:val="none"/>
                      <w:lang w:val="en-US" w:eastAsia="zh-CN"/>
                    </w:rPr>
                    <w:t>水性底漆</w:t>
                  </w:r>
                </w:p>
              </w:tc>
              <w:tc>
                <w:tcPr>
                  <w:tcW w:w="707" w:type="pct"/>
                  <w:vAlign w:val="center"/>
                </w:tcPr>
                <w:p w14:paraId="1FD9035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lang w:val="en-US" w:eastAsia="zh-CN"/>
                    </w:rPr>
                  </w:pPr>
                  <w:r>
                    <w:rPr>
                      <w:rFonts w:hint="eastAsia"/>
                      <w:color w:val="auto"/>
                      <w:highlight w:val="none"/>
                      <w:lang w:val="en-US" w:eastAsia="zh-CN"/>
                    </w:rPr>
                    <w:t>吨</w:t>
                  </w:r>
                </w:p>
              </w:tc>
              <w:tc>
                <w:tcPr>
                  <w:tcW w:w="550" w:type="pct"/>
                  <w:vAlign w:val="center"/>
                </w:tcPr>
                <w:p w14:paraId="48B46DC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w:t>
                  </w:r>
                </w:p>
              </w:tc>
              <w:tc>
                <w:tcPr>
                  <w:tcW w:w="773" w:type="pct"/>
                  <w:vAlign w:val="center"/>
                </w:tcPr>
                <w:p w14:paraId="2798C715">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50kg/桶装</w:t>
                  </w:r>
                </w:p>
              </w:tc>
              <w:tc>
                <w:tcPr>
                  <w:tcW w:w="665" w:type="pct"/>
                  <w:gridSpan w:val="2"/>
                  <w:vAlign w:val="center"/>
                </w:tcPr>
                <w:p w14:paraId="1EE6BD7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0.25</w:t>
                  </w:r>
                </w:p>
              </w:tc>
              <w:tc>
                <w:tcPr>
                  <w:tcW w:w="946" w:type="pct"/>
                  <w:vAlign w:val="center"/>
                </w:tcPr>
                <w:p w14:paraId="28A7B75B">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rPr>
                  </w:pPr>
                  <w:r>
                    <w:rPr>
                      <w:rFonts w:hint="eastAsia"/>
                      <w:color w:val="auto"/>
                      <w:highlight w:val="none"/>
                      <w:lang w:val="en-US" w:eastAsia="zh-CN"/>
                    </w:rPr>
                    <w:t>化学品库</w:t>
                  </w:r>
                </w:p>
              </w:tc>
            </w:tr>
            <w:tr w14:paraId="129A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1F3BC81D">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7</w:t>
                  </w:r>
                </w:p>
              </w:tc>
              <w:tc>
                <w:tcPr>
                  <w:tcW w:w="910" w:type="pct"/>
                  <w:vAlign w:val="center"/>
                </w:tcPr>
                <w:p w14:paraId="1A9183AD">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eastAsia="zh-CN"/>
                    </w:rPr>
                  </w:pPr>
                  <w:r>
                    <w:rPr>
                      <w:rFonts w:hint="eastAsia"/>
                      <w:color w:val="auto"/>
                      <w:highlight w:val="none"/>
                      <w:lang w:val="en-US" w:eastAsia="zh-CN"/>
                    </w:rPr>
                    <w:t>水性面漆</w:t>
                  </w:r>
                </w:p>
              </w:tc>
              <w:tc>
                <w:tcPr>
                  <w:tcW w:w="707" w:type="pct"/>
                  <w:vAlign w:val="center"/>
                </w:tcPr>
                <w:p w14:paraId="1501F0C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lang w:val="en-US" w:eastAsia="zh-CN"/>
                    </w:rPr>
                  </w:pPr>
                  <w:r>
                    <w:rPr>
                      <w:rFonts w:hint="eastAsia"/>
                      <w:color w:val="auto"/>
                      <w:highlight w:val="none"/>
                      <w:lang w:val="en-US" w:eastAsia="zh-CN"/>
                    </w:rPr>
                    <w:t>吨</w:t>
                  </w:r>
                </w:p>
              </w:tc>
              <w:tc>
                <w:tcPr>
                  <w:tcW w:w="550" w:type="pct"/>
                  <w:vAlign w:val="center"/>
                </w:tcPr>
                <w:p w14:paraId="411F2576">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eastAsia="zh-CN"/>
                    </w:rPr>
                  </w:pPr>
                  <w:r>
                    <w:rPr>
                      <w:rFonts w:hint="eastAsia"/>
                      <w:color w:val="auto"/>
                      <w:highlight w:val="none"/>
                      <w:lang w:val="en-US" w:eastAsia="zh-CN"/>
                    </w:rPr>
                    <w:t>50.2</w:t>
                  </w:r>
                </w:p>
              </w:tc>
              <w:tc>
                <w:tcPr>
                  <w:tcW w:w="773" w:type="pct"/>
                  <w:vAlign w:val="center"/>
                </w:tcPr>
                <w:p w14:paraId="7F87161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lang w:val="en-US" w:eastAsia="zh-CN"/>
                    </w:rPr>
                  </w:pPr>
                  <w:r>
                    <w:rPr>
                      <w:rFonts w:hint="eastAsia"/>
                      <w:color w:val="auto"/>
                      <w:highlight w:val="none"/>
                      <w:lang w:val="en-US" w:eastAsia="zh-CN"/>
                    </w:rPr>
                    <w:t>50kg/桶装</w:t>
                  </w:r>
                </w:p>
              </w:tc>
              <w:tc>
                <w:tcPr>
                  <w:tcW w:w="665" w:type="pct"/>
                  <w:gridSpan w:val="2"/>
                  <w:vAlign w:val="center"/>
                </w:tcPr>
                <w:p w14:paraId="3488FF0E">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eastAsia="zh-CN"/>
                    </w:rPr>
                  </w:pPr>
                  <w:r>
                    <w:rPr>
                      <w:rFonts w:hint="eastAsia"/>
                      <w:color w:val="auto"/>
                      <w:highlight w:val="none"/>
                      <w:lang w:val="en-US" w:eastAsia="zh-CN"/>
                    </w:rPr>
                    <w:t>0.25</w:t>
                  </w:r>
                </w:p>
              </w:tc>
              <w:tc>
                <w:tcPr>
                  <w:tcW w:w="946" w:type="pct"/>
                  <w:vAlign w:val="center"/>
                </w:tcPr>
                <w:p w14:paraId="0DDD8FFF">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lang w:val="en-US" w:eastAsia="zh-CN"/>
                    </w:rPr>
                  </w:pPr>
                  <w:r>
                    <w:rPr>
                      <w:rFonts w:hint="eastAsia"/>
                      <w:color w:val="auto"/>
                      <w:highlight w:val="none"/>
                      <w:lang w:val="en-US" w:eastAsia="zh-CN"/>
                    </w:rPr>
                    <w:t>化学品库</w:t>
                  </w:r>
                </w:p>
              </w:tc>
            </w:tr>
            <w:tr w14:paraId="6BE2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5BCE5CDF">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8</w:t>
                  </w:r>
                </w:p>
              </w:tc>
              <w:tc>
                <w:tcPr>
                  <w:tcW w:w="910" w:type="pct"/>
                  <w:vAlign w:val="center"/>
                </w:tcPr>
                <w:p w14:paraId="314C0B5B">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lang w:val="en-US" w:eastAsia="zh-CN"/>
                    </w:rPr>
                  </w:pPr>
                  <w:r>
                    <w:rPr>
                      <w:rFonts w:hint="eastAsia"/>
                      <w:color w:val="auto"/>
                      <w:highlight w:val="none"/>
                      <w:lang w:val="en-US" w:eastAsia="zh-CN"/>
                    </w:rPr>
                    <w:t>保护膜</w:t>
                  </w:r>
                </w:p>
              </w:tc>
              <w:tc>
                <w:tcPr>
                  <w:tcW w:w="707" w:type="pct"/>
                  <w:vAlign w:val="center"/>
                </w:tcPr>
                <w:p w14:paraId="28CF849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lang w:val="en-US" w:eastAsia="zh-CN"/>
                    </w:rPr>
                  </w:pPr>
                  <w:r>
                    <w:rPr>
                      <w:rFonts w:hint="eastAsia"/>
                      <w:color w:val="auto"/>
                      <w:highlight w:val="none"/>
                      <w:lang w:val="en-US" w:eastAsia="zh-CN"/>
                    </w:rPr>
                    <w:t>吨</w:t>
                  </w:r>
                </w:p>
              </w:tc>
              <w:tc>
                <w:tcPr>
                  <w:tcW w:w="550" w:type="pct"/>
                  <w:vAlign w:val="center"/>
                </w:tcPr>
                <w:p w14:paraId="2CF60005">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lang w:val="en-US" w:eastAsia="zh-CN"/>
                    </w:rPr>
                  </w:pPr>
                  <w:r>
                    <w:rPr>
                      <w:rFonts w:hint="eastAsia"/>
                      <w:color w:val="auto"/>
                      <w:highlight w:val="none"/>
                      <w:lang w:val="en-US" w:eastAsia="zh-CN"/>
                    </w:rPr>
                    <w:t>25</w:t>
                  </w:r>
                </w:p>
              </w:tc>
              <w:tc>
                <w:tcPr>
                  <w:tcW w:w="773" w:type="pct"/>
                  <w:vAlign w:val="center"/>
                </w:tcPr>
                <w:p w14:paraId="3EB30F56">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lang w:val="en-US" w:eastAsia="zh-CN"/>
                    </w:rPr>
                  </w:pPr>
                  <w:r>
                    <w:rPr>
                      <w:rFonts w:hint="eastAsia"/>
                      <w:color w:val="auto"/>
                      <w:highlight w:val="none"/>
                      <w:lang w:val="en-US" w:eastAsia="zh-CN"/>
                    </w:rPr>
                    <w:t>卷</w:t>
                  </w:r>
                </w:p>
              </w:tc>
              <w:tc>
                <w:tcPr>
                  <w:tcW w:w="665" w:type="pct"/>
                  <w:gridSpan w:val="2"/>
                  <w:vAlign w:val="center"/>
                </w:tcPr>
                <w:p w14:paraId="54A84871">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0.5</w:t>
                  </w:r>
                </w:p>
              </w:tc>
              <w:tc>
                <w:tcPr>
                  <w:tcW w:w="946" w:type="pct"/>
                  <w:vAlign w:val="center"/>
                </w:tcPr>
                <w:p w14:paraId="68C7844A">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rPr>
                  </w:pPr>
                  <w:r>
                    <w:rPr>
                      <w:rFonts w:hint="eastAsia"/>
                      <w:color w:val="auto"/>
                      <w:highlight w:val="none"/>
                      <w:lang w:val="en-US" w:eastAsia="zh-CN"/>
                    </w:rPr>
                    <w:t>成品仓库、包装</w:t>
                  </w:r>
                </w:p>
              </w:tc>
            </w:tr>
            <w:tr w14:paraId="65FE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6C3E1A2D">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二</w:t>
                  </w:r>
                </w:p>
              </w:tc>
              <w:tc>
                <w:tcPr>
                  <w:tcW w:w="4553" w:type="pct"/>
                  <w:gridSpan w:val="7"/>
                  <w:vAlign w:val="center"/>
                </w:tcPr>
                <w:p w14:paraId="527E9464">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护栏生产线</w:t>
                  </w:r>
                </w:p>
              </w:tc>
            </w:tr>
            <w:tr w14:paraId="5E5A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2EFD4010">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1</w:t>
                  </w:r>
                </w:p>
              </w:tc>
              <w:tc>
                <w:tcPr>
                  <w:tcW w:w="910" w:type="pct"/>
                  <w:vAlign w:val="center"/>
                </w:tcPr>
                <w:p w14:paraId="50EC134C">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color w:val="auto"/>
                      <w:highlight w:val="none"/>
                      <w:lang w:val="en-US" w:eastAsia="zh-CN"/>
                    </w:rPr>
                    <w:t>钢管</w:t>
                  </w:r>
                </w:p>
              </w:tc>
              <w:tc>
                <w:tcPr>
                  <w:tcW w:w="707" w:type="pct"/>
                  <w:vAlign w:val="center"/>
                </w:tcPr>
                <w:p w14:paraId="75CD27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4A8038E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1500</w:t>
                  </w:r>
                </w:p>
              </w:tc>
              <w:tc>
                <w:tcPr>
                  <w:tcW w:w="773" w:type="pct"/>
                  <w:vAlign w:val="center"/>
                </w:tcPr>
                <w:p w14:paraId="1C226322">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打包带</w:t>
                  </w:r>
                </w:p>
              </w:tc>
              <w:tc>
                <w:tcPr>
                  <w:tcW w:w="665" w:type="pct"/>
                  <w:gridSpan w:val="2"/>
                  <w:vAlign w:val="center"/>
                </w:tcPr>
                <w:p w14:paraId="5656390E">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30</w:t>
                  </w:r>
                </w:p>
              </w:tc>
              <w:tc>
                <w:tcPr>
                  <w:tcW w:w="946" w:type="pct"/>
                  <w:vAlign w:val="center"/>
                </w:tcPr>
                <w:p w14:paraId="0D274ADE">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钢板存放区</w:t>
                  </w:r>
                </w:p>
              </w:tc>
            </w:tr>
            <w:tr w14:paraId="59A6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2B658AEF">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2</w:t>
                  </w:r>
                </w:p>
              </w:tc>
              <w:tc>
                <w:tcPr>
                  <w:tcW w:w="910" w:type="pct"/>
                  <w:vAlign w:val="center"/>
                </w:tcPr>
                <w:p w14:paraId="2AA99BE4">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cstheme="minorBidi"/>
                      <w:color w:val="auto"/>
                      <w:kern w:val="2"/>
                      <w:sz w:val="21"/>
                      <w:szCs w:val="24"/>
                      <w:highlight w:val="none"/>
                      <w:lang w:val="en-US" w:eastAsia="zh-CN" w:bidi="ar-SA"/>
                    </w:rPr>
                    <w:t>钢板</w:t>
                  </w:r>
                </w:p>
              </w:tc>
              <w:tc>
                <w:tcPr>
                  <w:tcW w:w="707" w:type="pct"/>
                  <w:vAlign w:val="center"/>
                </w:tcPr>
                <w:p w14:paraId="7E5FAF7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334E5879">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olor w:val="auto"/>
                      <w:highlight w:val="none"/>
                      <w:lang w:val="en-US" w:eastAsia="zh-CN"/>
                    </w:rPr>
                  </w:pPr>
                  <w:r>
                    <w:rPr>
                      <w:rFonts w:hint="eastAsia" w:cstheme="minorBidi"/>
                      <w:color w:val="auto"/>
                      <w:kern w:val="2"/>
                      <w:sz w:val="21"/>
                      <w:szCs w:val="24"/>
                      <w:highlight w:val="none"/>
                      <w:lang w:val="en-US" w:eastAsia="zh-CN" w:bidi="ar-SA"/>
                    </w:rPr>
                    <w:t>50</w:t>
                  </w:r>
                </w:p>
              </w:tc>
              <w:tc>
                <w:tcPr>
                  <w:tcW w:w="773" w:type="pct"/>
                  <w:vAlign w:val="center"/>
                </w:tcPr>
                <w:p w14:paraId="2F76FFEF">
                  <w:pPr>
                    <w:pStyle w:val="5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highlight w:val="none"/>
                      <w:lang w:val="en-US" w:eastAsia="zh-CN"/>
                    </w:rPr>
                  </w:pPr>
                  <w:r>
                    <w:rPr>
                      <w:rFonts w:hint="eastAsia" w:cstheme="minorBidi"/>
                      <w:color w:val="auto"/>
                      <w:kern w:val="2"/>
                      <w:sz w:val="21"/>
                      <w:szCs w:val="24"/>
                      <w:highlight w:val="none"/>
                      <w:lang w:val="en-US" w:eastAsia="zh-CN" w:bidi="ar-SA"/>
                    </w:rPr>
                    <w:t>/</w:t>
                  </w:r>
                </w:p>
              </w:tc>
              <w:tc>
                <w:tcPr>
                  <w:tcW w:w="665" w:type="pct"/>
                  <w:gridSpan w:val="2"/>
                  <w:vAlign w:val="center"/>
                </w:tcPr>
                <w:p w14:paraId="2FDF7FCC">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10</w:t>
                  </w:r>
                </w:p>
              </w:tc>
              <w:tc>
                <w:tcPr>
                  <w:tcW w:w="946" w:type="pct"/>
                  <w:vAlign w:val="center"/>
                </w:tcPr>
                <w:p w14:paraId="5907B6D1">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rFonts w:hint="eastAsia"/>
                      <w:color w:val="auto"/>
                      <w:highlight w:val="none"/>
                      <w:lang w:val="en-US" w:eastAsia="zh-CN"/>
                    </w:rPr>
                    <w:t>钢板存放区</w:t>
                  </w:r>
                </w:p>
              </w:tc>
            </w:tr>
            <w:tr w14:paraId="49E8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5E72454F">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3</w:t>
                  </w:r>
                </w:p>
              </w:tc>
              <w:tc>
                <w:tcPr>
                  <w:tcW w:w="910" w:type="pct"/>
                  <w:vAlign w:val="center"/>
                </w:tcPr>
                <w:p w14:paraId="45004312">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color w:val="auto"/>
                      <w:highlight w:val="none"/>
                      <w:lang w:val="en-US" w:eastAsia="zh-CN"/>
                    </w:rPr>
                    <w:t>焊丝</w:t>
                  </w:r>
                </w:p>
              </w:tc>
              <w:tc>
                <w:tcPr>
                  <w:tcW w:w="707" w:type="pct"/>
                  <w:vAlign w:val="center"/>
                </w:tcPr>
                <w:p w14:paraId="3073934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25E7BF5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olor w:val="auto"/>
                      <w:highlight w:val="none"/>
                      <w:lang w:val="en-US" w:eastAsia="zh-CN"/>
                    </w:rPr>
                  </w:pPr>
                  <w:r>
                    <w:rPr>
                      <w:rFonts w:hint="eastAsia"/>
                      <w:color w:val="auto"/>
                      <w:highlight w:val="none"/>
                      <w:lang w:val="en-US" w:eastAsia="zh-CN"/>
                    </w:rPr>
                    <w:t>10</w:t>
                  </w:r>
                </w:p>
              </w:tc>
              <w:tc>
                <w:tcPr>
                  <w:tcW w:w="773" w:type="pct"/>
                  <w:vAlign w:val="center"/>
                </w:tcPr>
                <w:p w14:paraId="1EF04181">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纸箱</w:t>
                  </w:r>
                </w:p>
              </w:tc>
              <w:tc>
                <w:tcPr>
                  <w:tcW w:w="665" w:type="pct"/>
                  <w:gridSpan w:val="2"/>
                  <w:vAlign w:val="center"/>
                </w:tcPr>
                <w:p w14:paraId="7F612D1C">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0.2</w:t>
                  </w:r>
                </w:p>
              </w:tc>
              <w:tc>
                <w:tcPr>
                  <w:tcW w:w="946" w:type="pct"/>
                  <w:vAlign w:val="center"/>
                </w:tcPr>
                <w:p w14:paraId="2311867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rFonts w:hint="eastAsia"/>
                      <w:color w:val="auto"/>
                      <w:highlight w:val="none"/>
                      <w:lang w:val="en-US" w:eastAsia="zh-CN"/>
                    </w:rPr>
                    <w:t>其他原料区</w:t>
                  </w:r>
                </w:p>
              </w:tc>
            </w:tr>
            <w:tr w14:paraId="1032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609D6307">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4</w:t>
                  </w:r>
                </w:p>
              </w:tc>
              <w:tc>
                <w:tcPr>
                  <w:tcW w:w="910" w:type="pct"/>
                  <w:vAlign w:val="center"/>
                </w:tcPr>
                <w:p w14:paraId="6A05DAE6">
                  <w:pPr>
                    <w:pStyle w:val="5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pacing w:val="8"/>
                      <w:sz w:val="21"/>
                      <w:szCs w:val="21"/>
                      <w:highlight w:val="none"/>
                      <w:lang w:val="en-US" w:eastAsia="zh-CN"/>
                    </w:rPr>
                  </w:pPr>
                  <w:r>
                    <w:rPr>
                      <w:rFonts w:hint="eastAsia" w:ascii="宋体" w:hAnsi="宋体" w:cs="宋体"/>
                      <w:b w:val="0"/>
                      <w:bCs w:val="0"/>
                      <w:color w:val="auto"/>
                      <w:spacing w:val="8"/>
                      <w:sz w:val="21"/>
                      <w:szCs w:val="21"/>
                      <w:highlight w:val="none"/>
                      <w:lang w:val="en-US" w:eastAsia="zh-CN"/>
                    </w:rPr>
                    <w:t>二氧化碳</w:t>
                  </w:r>
                </w:p>
              </w:tc>
              <w:tc>
                <w:tcPr>
                  <w:tcW w:w="707" w:type="pct"/>
                  <w:vAlign w:val="center"/>
                </w:tcPr>
                <w:p w14:paraId="1EC567C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olor w:val="auto"/>
                      <w:highlight w:val="none"/>
                      <w:lang w:val="en-US" w:eastAsia="zh-CN"/>
                    </w:rPr>
                  </w:pPr>
                  <w:r>
                    <w:rPr>
                      <w:rFonts w:hint="eastAsia" w:cstheme="minorBidi"/>
                      <w:color w:val="auto"/>
                      <w:kern w:val="2"/>
                      <w:sz w:val="21"/>
                      <w:szCs w:val="24"/>
                      <w:highlight w:val="none"/>
                      <w:lang w:val="en-US" w:eastAsia="zh-CN" w:bidi="ar-SA"/>
                    </w:rPr>
                    <w:t>瓶装</w:t>
                  </w:r>
                </w:p>
              </w:tc>
              <w:tc>
                <w:tcPr>
                  <w:tcW w:w="550" w:type="pct"/>
                  <w:vAlign w:val="center"/>
                </w:tcPr>
                <w:p w14:paraId="436B6D7F">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lang w:val="en-US" w:eastAsia="zh-CN"/>
                    </w:rPr>
                  </w:pPr>
                  <w:r>
                    <w:rPr>
                      <w:rFonts w:hint="eastAsia" w:cstheme="minorBidi"/>
                      <w:color w:val="auto"/>
                      <w:kern w:val="2"/>
                      <w:sz w:val="21"/>
                      <w:szCs w:val="24"/>
                      <w:highlight w:val="none"/>
                      <w:lang w:val="en-US" w:eastAsia="zh-CN" w:bidi="ar-SA"/>
                    </w:rPr>
                    <w:t>800</w:t>
                  </w:r>
                </w:p>
              </w:tc>
              <w:tc>
                <w:tcPr>
                  <w:tcW w:w="773" w:type="pct"/>
                  <w:vAlign w:val="center"/>
                </w:tcPr>
                <w:p w14:paraId="6837C28E">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stheme="minorBidi"/>
                      <w:color w:val="auto"/>
                      <w:kern w:val="2"/>
                      <w:sz w:val="21"/>
                      <w:szCs w:val="24"/>
                      <w:highlight w:val="none"/>
                      <w:lang w:val="en-US" w:eastAsia="zh-CN" w:bidi="ar-SA"/>
                    </w:rPr>
                    <w:t>15kg/瓶装，液态</w:t>
                  </w:r>
                </w:p>
              </w:tc>
              <w:tc>
                <w:tcPr>
                  <w:tcW w:w="665" w:type="pct"/>
                  <w:gridSpan w:val="2"/>
                  <w:vAlign w:val="center"/>
                </w:tcPr>
                <w:p w14:paraId="7581CC35">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heme="minorBidi"/>
                      <w:color w:val="auto"/>
                      <w:kern w:val="2"/>
                      <w:sz w:val="21"/>
                      <w:szCs w:val="24"/>
                      <w:highlight w:val="none"/>
                      <w:lang w:val="en-US" w:eastAsia="zh-CN" w:bidi="ar-SA"/>
                    </w:rPr>
                    <w:t>40</w:t>
                  </w:r>
                </w:p>
              </w:tc>
              <w:tc>
                <w:tcPr>
                  <w:tcW w:w="946" w:type="pct"/>
                  <w:vAlign w:val="center"/>
                </w:tcPr>
                <w:p w14:paraId="6B70B3C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rPr>
                  </w:pPr>
                  <w:r>
                    <w:rPr>
                      <w:rFonts w:hint="eastAsia"/>
                      <w:color w:val="auto"/>
                      <w:highlight w:val="none"/>
                      <w:lang w:val="en-US" w:eastAsia="zh-CN"/>
                    </w:rPr>
                    <w:t>其他原料区</w:t>
                  </w:r>
                </w:p>
              </w:tc>
            </w:tr>
            <w:tr w14:paraId="7C4CB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33856D52">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5</w:t>
                  </w:r>
                </w:p>
              </w:tc>
              <w:tc>
                <w:tcPr>
                  <w:tcW w:w="910" w:type="pct"/>
                  <w:vAlign w:val="center"/>
                </w:tcPr>
                <w:p w14:paraId="0A76517B">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ascii="宋体" w:hAnsi="宋体" w:cs="宋体"/>
                      <w:b w:val="0"/>
                      <w:bCs w:val="0"/>
                      <w:color w:val="auto"/>
                      <w:spacing w:val="8"/>
                      <w:sz w:val="21"/>
                      <w:szCs w:val="21"/>
                      <w:highlight w:val="none"/>
                      <w:lang w:val="en-US" w:eastAsia="zh-CN"/>
                    </w:rPr>
                    <w:t>塑粉</w:t>
                  </w:r>
                </w:p>
              </w:tc>
              <w:tc>
                <w:tcPr>
                  <w:tcW w:w="707" w:type="pct"/>
                  <w:vAlign w:val="center"/>
                </w:tcPr>
                <w:p w14:paraId="24BC222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lang w:val="en-US" w:eastAsia="zh-CN"/>
                    </w:rPr>
                  </w:pPr>
                  <w:r>
                    <w:rPr>
                      <w:rFonts w:hint="eastAsia"/>
                      <w:color w:val="auto"/>
                      <w:highlight w:val="none"/>
                      <w:lang w:val="en-US" w:eastAsia="zh-CN"/>
                    </w:rPr>
                    <w:t>吨</w:t>
                  </w:r>
                </w:p>
              </w:tc>
              <w:tc>
                <w:tcPr>
                  <w:tcW w:w="550" w:type="pct"/>
                  <w:vAlign w:val="center"/>
                </w:tcPr>
                <w:p w14:paraId="1821676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eastAsia="zh-CN"/>
                    </w:rPr>
                  </w:pPr>
                  <w:r>
                    <w:rPr>
                      <w:rFonts w:hint="eastAsia"/>
                      <w:color w:val="auto"/>
                      <w:highlight w:val="none"/>
                      <w:lang w:val="en-US" w:eastAsia="zh-CN"/>
                    </w:rPr>
                    <w:t>32</w:t>
                  </w:r>
                </w:p>
              </w:tc>
              <w:tc>
                <w:tcPr>
                  <w:tcW w:w="773" w:type="pct"/>
                  <w:vAlign w:val="center"/>
                </w:tcPr>
                <w:p w14:paraId="6C6C2A6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纸箱</w:t>
                  </w:r>
                </w:p>
              </w:tc>
              <w:tc>
                <w:tcPr>
                  <w:tcW w:w="665" w:type="pct"/>
                  <w:gridSpan w:val="2"/>
                  <w:vAlign w:val="center"/>
                </w:tcPr>
                <w:p w14:paraId="1B88B1A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2</w:t>
                  </w:r>
                </w:p>
              </w:tc>
              <w:tc>
                <w:tcPr>
                  <w:tcW w:w="946" w:type="pct"/>
                  <w:vAlign w:val="center"/>
                </w:tcPr>
                <w:p w14:paraId="55B8D1FA">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rPr>
                  </w:pPr>
                  <w:r>
                    <w:rPr>
                      <w:rFonts w:hint="eastAsia"/>
                      <w:color w:val="auto"/>
                      <w:highlight w:val="none"/>
                      <w:lang w:val="en-US" w:eastAsia="zh-CN"/>
                    </w:rPr>
                    <w:t>化学品库</w:t>
                  </w:r>
                </w:p>
              </w:tc>
            </w:tr>
            <w:tr w14:paraId="58A2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1BBDC43A">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6</w:t>
                  </w:r>
                </w:p>
              </w:tc>
              <w:tc>
                <w:tcPr>
                  <w:tcW w:w="910" w:type="pct"/>
                  <w:vAlign w:val="center"/>
                </w:tcPr>
                <w:p w14:paraId="64F2EEB4">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color w:val="auto"/>
                      <w:highlight w:val="none"/>
                      <w:lang w:val="en-US" w:eastAsia="zh-CN"/>
                    </w:rPr>
                    <w:t>保护膜</w:t>
                  </w:r>
                </w:p>
              </w:tc>
              <w:tc>
                <w:tcPr>
                  <w:tcW w:w="707" w:type="pct"/>
                  <w:vAlign w:val="center"/>
                </w:tcPr>
                <w:p w14:paraId="78A1388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lang w:val="en-US" w:eastAsia="zh-CN"/>
                    </w:rPr>
                  </w:pPr>
                  <w:r>
                    <w:rPr>
                      <w:rFonts w:hint="eastAsia"/>
                      <w:color w:val="auto"/>
                      <w:highlight w:val="none"/>
                      <w:lang w:val="en-US" w:eastAsia="zh-CN"/>
                    </w:rPr>
                    <w:t>吨</w:t>
                  </w:r>
                </w:p>
              </w:tc>
              <w:tc>
                <w:tcPr>
                  <w:tcW w:w="550" w:type="pct"/>
                  <w:vAlign w:val="center"/>
                </w:tcPr>
                <w:p w14:paraId="69DB6E1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lang w:val="en-US" w:eastAsia="zh-CN"/>
                    </w:rPr>
                  </w:pPr>
                  <w:r>
                    <w:rPr>
                      <w:rFonts w:hint="eastAsia"/>
                      <w:color w:val="auto"/>
                      <w:highlight w:val="none"/>
                      <w:lang w:val="en-US" w:eastAsia="zh-CN"/>
                    </w:rPr>
                    <w:t>3</w:t>
                  </w:r>
                </w:p>
              </w:tc>
              <w:tc>
                <w:tcPr>
                  <w:tcW w:w="773" w:type="pct"/>
                  <w:vAlign w:val="center"/>
                </w:tcPr>
                <w:p w14:paraId="355AB7B2">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卷</w:t>
                  </w:r>
                </w:p>
              </w:tc>
              <w:tc>
                <w:tcPr>
                  <w:tcW w:w="665" w:type="pct"/>
                  <w:gridSpan w:val="2"/>
                  <w:vAlign w:val="center"/>
                </w:tcPr>
                <w:p w14:paraId="77447D41">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0.5</w:t>
                  </w:r>
                </w:p>
              </w:tc>
              <w:tc>
                <w:tcPr>
                  <w:tcW w:w="946" w:type="pct"/>
                  <w:vAlign w:val="center"/>
                </w:tcPr>
                <w:p w14:paraId="683A6728">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color w:val="auto"/>
                      <w:highlight w:val="none"/>
                    </w:rPr>
                  </w:pPr>
                  <w:r>
                    <w:rPr>
                      <w:rFonts w:hint="eastAsia"/>
                      <w:color w:val="auto"/>
                      <w:highlight w:val="none"/>
                      <w:lang w:val="en-US" w:eastAsia="zh-CN"/>
                    </w:rPr>
                    <w:t>成品仓库、包装</w:t>
                  </w:r>
                </w:p>
              </w:tc>
            </w:tr>
            <w:tr w14:paraId="46F6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7C1CA479">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三</w:t>
                  </w:r>
                </w:p>
              </w:tc>
              <w:tc>
                <w:tcPr>
                  <w:tcW w:w="4553" w:type="pct"/>
                  <w:gridSpan w:val="7"/>
                  <w:vAlign w:val="center"/>
                </w:tcPr>
                <w:p w14:paraId="4FFC0C27">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配电桥架生产</w:t>
                  </w:r>
                </w:p>
              </w:tc>
            </w:tr>
            <w:tr w14:paraId="04E3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6EC4272F">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1</w:t>
                  </w:r>
                </w:p>
              </w:tc>
              <w:tc>
                <w:tcPr>
                  <w:tcW w:w="910" w:type="pct"/>
                  <w:vAlign w:val="center"/>
                </w:tcPr>
                <w:p w14:paraId="6893EA7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钢带</w:t>
                  </w:r>
                </w:p>
              </w:tc>
              <w:tc>
                <w:tcPr>
                  <w:tcW w:w="707" w:type="pct"/>
                  <w:vAlign w:val="center"/>
                </w:tcPr>
                <w:p w14:paraId="4AFDC60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吨</w:t>
                  </w:r>
                </w:p>
              </w:tc>
              <w:tc>
                <w:tcPr>
                  <w:tcW w:w="550" w:type="pct"/>
                  <w:vAlign w:val="center"/>
                </w:tcPr>
                <w:p w14:paraId="77DA0ADC">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300</w:t>
                  </w:r>
                </w:p>
              </w:tc>
              <w:tc>
                <w:tcPr>
                  <w:tcW w:w="808" w:type="pct"/>
                  <w:gridSpan w:val="2"/>
                  <w:vAlign w:val="center"/>
                </w:tcPr>
                <w:p w14:paraId="7EF9D66B">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打包带</w:t>
                  </w:r>
                </w:p>
              </w:tc>
              <w:tc>
                <w:tcPr>
                  <w:tcW w:w="630" w:type="pct"/>
                  <w:vAlign w:val="center"/>
                </w:tcPr>
                <w:p w14:paraId="26F41ED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s="Times New Roman"/>
                      <w:color w:val="auto"/>
                      <w:kern w:val="2"/>
                      <w:sz w:val="21"/>
                      <w:szCs w:val="21"/>
                      <w:highlight w:val="none"/>
                      <w:lang w:val="en-US" w:eastAsia="zh-CN" w:bidi="ar-SA"/>
                    </w:rPr>
                  </w:pPr>
                  <w:r>
                    <w:rPr>
                      <w:rFonts w:hint="eastAsia"/>
                      <w:color w:val="auto"/>
                      <w:highlight w:val="none"/>
                      <w:lang w:val="en-US" w:eastAsia="zh-CN"/>
                    </w:rPr>
                    <w:t>20</w:t>
                  </w:r>
                </w:p>
              </w:tc>
              <w:tc>
                <w:tcPr>
                  <w:tcW w:w="946" w:type="pct"/>
                  <w:vAlign w:val="center"/>
                </w:tcPr>
                <w:p w14:paraId="3623BA7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钢板存放区</w:t>
                  </w:r>
                </w:p>
              </w:tc>
            </w:tr>
            <w:tr w14:paraId="72D5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23D44772">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2</w:t>
                  </w:r>
                </w:p>
              </w:tc>
              <w:tc>
                <w:tcPr>
                  <w:tcW w:w="910" w:type="pct"/>
                  <w:vAlign w:val="center"/>
                </w:tcPr>
                <w:p w14:paraId="14AE59B4">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cstheme="minorBidi"/>
                      <w:color w:val="auto"/>
                      <w:kern w:val="2"/>
                      <w:sz w:val="21"/>
                      <w:szCs w:val="24"/>
                      <w:highlight w:val="none"/>
                      <w:lang w:val="en-US" w:eastAsia="zh-CN" w:bidi="ar-SA"/>
                    </w:rPr>
                    <w:t>钢板</w:t>
                  </w:r>
                </w:p>
              </w:tc>
              <w:tc>
                <w:tcPr>
                  <w:tcW w:w="707" w:type="pct"/>
                  <w:vAlign w:val="center"/>
                </w:tcPr>
                <w:p w14:paraId="6DFE103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3474418A">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120</w:t>
                  </w:r>
                </w:p>
              </w:tc>
              <w:tc>
                <w:tcPr>
                  <w:tcW w:w="808" w:type="pct"/>
                  <w:gridSpan w:val="2"/>
                  <w:vAlign w:val="center"/>
                </w:tcPr>
                <w:p w14:paraId="45927269">
                  <w:pPr>
                    <w:pStyle w:val="5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highlight w:val="none"/>
                      <w:lang w:val="en-US" w:eastAsia="zh-CN"/>
                    </w:rPr>
                  </w:pPr>
                  <w:r>
                    <w:rPr>
                      <w:rFonts w:hint="eastAsia" w:cstheme="minorBidi"/>
                      <w:color w:val="auto"/>
                      <w:kern w:val="2"/>
                      <w:sz w:val="21"/>
                      <w:szCs w:val="24"/>
                      <w:highlight w:val="none"/>
                      <w:lang w:val="en-US" w:eastAsia="zh-CN" w:bidi="ar-SA"/>
                    </w:rPr>
                    <w:t>/</w:t>
                  </w:r>
                </w:p>
              </w:tc>
              <w:tc>
                <w:tcPr>
                  <w:tcW w:w="630" w:type="pct"/>
                  <w:vAlign w:val="center"/>
                </w:tcPr>
                <w:p w14:paraId="6D0DF0E9">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30</w:t>
                  </w:r>
                </w:p>
              </w:tc>
              <w:tc>
                <w:tcPr>
                  <w:tcW w:w="946" w:type="pct"/>
                  <w:vAlign w:val="center"/>
                </w:tcPr>
                <w:p w14:paraId="3FE0019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rFonts w:hint="eastAsia"/>
                      <w:color w:val="auto"/>
                      <w:highlight w:val="none"/>
                      <w:lang w:val="en-US" w:eastAsia="zh-CN"/>
                    </w:rPr>
                    <w:t>钢板存放区</w:t>
                  </w:r>
                </w:p>
              </w:tc>
            </w:tr>
            <w:tr w14:paraId="3CCA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457C77AC">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3</w:t>
                  </w:r>
                </w:p>
              </w:tc>
              <w:tc>
                <w:tcPr>
                  <w:tcW w:w="910" w:type="pct"/>
                  <w:vAlign w:val="center"/>
                </w:tcPr>
                <w:p w14:paraId="5F955D81">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color w:val="auto"/>
                      <w:highlight w:val="none"/>
                      <w:lang w:val="en-US" w:eastAsia="zh-CN"/>
                    </w:rPr>
                    <w:t>焊丝</w:t>
                  </w:r>
                </w:p>
              </w:tc>
              <w:tc>
                <w:tcPr>
                  <w:tcW w:w="707" w:type="pct"/>
                  <w:vAlign w:val="center"/>
                </w:tcPr>
                <w:p w14:paraId="2766501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0B755A04">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w:t>
                  </w:r>
                </w:p>
              </w:tc>
              <w:tc>
                <w:tcPr>
                  <w:tcW w:w="808" w:type="pct"/>
                  <w:gridSpan w:val="2"/>
                  <w:vAlign w:val="center"/>
                </w:tcPr>
                <w:p w14:paraId="5D7C6A67">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纸箱</w:t>
                  </w:r>
                </w:p>
              </w:tc>
              <w:tc>
                <w:tcPr>
                  <w:tcW w:w="630" w:type="pct"/>
                  <w:vAlign w:val="center"/>
                </w:tcPr>
                <w:p w14:paraId="3602EBBB">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0.2</w:t>
                  </w:r>
                </w:p>
              </w:tc>
              <w:tc>
                <w:tcPr>
                  <w:tcW w:w="946" w:type="pct"/>
                  <w:vAlign w:val="center"/>
                </w:tcPr>
                <w:p w14:paraId="4406418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rFonts w:hint="eastAsia"/>
                      <w:color w:val="auto"/>
                      <w:highlight w:val="none"/>
                      <w:lang w:val="en-US" w:eastAsia="zh-CN"/>
                    </w:rPr>
                    <w:t>其他原料区</w:t>
                  </w:r>
                </w:p>
              </w:tc>
            </w:tr>
            <w:tr w14:paraId="1B78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4B4F2C2F">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4</w:t>
                  </w:r>
                </w:p>
              </w:tc>
              <w:tc>
                <w:tcPr>
                  <w:tcW w:w="910" w:type="pct"/>
                  <w:vAlign w:val="center"/>
                </w:tcPr>
                <w:p w14:paraId="7005583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ascii="宋体" w:hAnsi="宋体" w:cs="宋体"/>
                      <w:b w:val="0"/>
                      <w:bCs w:val="0"/>
                      <w:color w:val="auto"/>
                      <w:spacing w:val="8"/>
                      <w:sz w:val="21"/>
                      <w:szCs w:val="21"/>
                      <w:highlight w:val="none"/>
                      <w:lang w:val="en-US" w:eastAsia="zh-CN"/>
                    </w:rPr>
                    <w:t>二氧化碳</w:t>
                  </w:r>
                </w:p>
              </w:tc>
              <w:tc>
                <w:tcPr>
                  <w:tcW w:w="707" w:type="pct"/>
                  <w:vAlign w:val="center"/>
                </w:tcPr>
                <w:p w14:paraId="2DE661D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stheme="minorBidi"/>
                      <w:color w:val="auto"/>
                      <w:kern w:val="2"/>
                      <w:sz w:val="21"/>
                      <w:szCs w:val="24"/>
                      <w:highlight w:val="none"/>
                      <w:lang w:val="en-US" w:eastAsia="zh-CN" w:bidi="ar-SA"/>
                    </w:rPr>
                    <w:t>瓶装</w:t>
                  </w:r>
                </w:p>
              </w:tc>
              <w:tc>
                <w:tcPr>
                  <w:tcW w:w="550" w:type="pct"/>
                  <w:vAlign w:val="center"/>
                </w:tcPr>
                <w:p w14:paraId="16A32A86">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heme="minorBidi"/>
                      <w:color w:val="auto"/>
                      <w:kern w:val="2"/>
                      <w:sz w:val="21"/>
                      <w:szCs w:val="24"/>
                      <w:highlight w:val="none"/>
                      <w:lang w:val="en-US" w:eastAsia="zh-CN" w:bidi="ar-SA"/>
                    </w:rPr>
                    <w:t>80</w:t>
                  </w:r>
                </w:p>
              </w:tc>
              <w:tc>
                <w:tcPr>
                  <w:tcW w:w="808" w:type="pct"/>
                  <w:gridSpan w:val="2"/>
                  <w:vAlign w:val="center"/>
                </w:tcPr>
                <w:p w14:paraId="3D9C4C54">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stheme="minorBidi"/>
                      <w:color w:val="auto"/>
                      <w:kern w:val="2"/>
                      <w:sz w:val="21"/>
                      <w:szCs w:val="24"/>
                      <w:highlight w:val="none"/>
                      <w:lang w:val="en-US" w:eastAsia="zh-CN" w:bidi="ar-SA"/>
                    </w:rPr>
                    <w:t>15kg/瓶，液态</w:t>
                  </w:r>
                </w:p>
              </w:tc>
              <w:tc>
                <w:tcPr>
                  <w:tcW w:w="630" w:type="pct"/>
                  <w:vAlign w:val="center"/>
                </w:tcPr>
                <w:p w14:paraId="0FFA96DC">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olor w:val="auto"/>
                      <w:highlight w:val="none"/>
                      <w:lang w:val="en-US" w:eastAsia="zh-CN"/>
                    </w:rPr>
                  </w:pPr>
                  <w:r>
                    <w:rPr>
                      <w:rFonts w:hint="eastAsia" w:cstheme="minorBidi"/>
                      <w:color w:val="auto"/>
                      <w:kern w:val="2"/>
                      <w:sz w:val="21"/>
                      <w:szCs w:val="24"/>
                      <w:highlight w:val="none"/>
                      <w:lang w:val="en-US" w:eastAsia="zh-CN" w:bidi="ar-SA"/>
                    </w:rPr>
                    <w:t>10</w:t>
                  </w:r>
                </w:p>
              </w:tc>
              <w:tc>
                <w:tcPr>
                  <w:tcW w:w="946" w:type="pct"/>
                  <w:vAlign w:val="center"/>
                </w:tcPr>
                <w:p w14:paraId="369D569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rFonts w:hint="eastAsia"/>
                      <w:color w:val="auto"/>
                      <w:highlight w:val="none"/>
                      <w:lang w:val="en-US" w:eastAsia="zh-CN"/>
                    </w:rPr>
                    <w:t>其他原料区</w:t>
                  </w:r>
                </w:p>
              </w:tc>
            </w:tr>
            <w:tr w14:paraId="3712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7C89F279">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5</w:t>
                  </w:r>
                </w:p>
              </w:tc>
              <w:tc>
                <w:tcPr>
                  <w:tcW w:w="910" w:type="pct"/>
                  <w:vAlign w:val="center"/>
                </w:tcPr>
                <w:p w14:paraId="5C2DD31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ascii="宋体" w:hAnsi="宋体" w:cs="宋体"/>
                      <w:b w:val="0"/>
                      <w:bCs w:val="0"/>
                      <w:color w:val="auto"/>
                      <w:spacing w:val="8"/>
                      <w:sz w:val="21"/>
                      <w:szCs w:val="21"/>
                      <w:highlight w:val="none"/>
                      <w:lang w:val="en-US" w:eastAsia="zh-CN"/>
                    </w:rPr>
                    <w:t>塑粉</w:t>
                  </w:r>
                </w:p>
              </w:tc>
              <w:tc>
                <w:tcPr>
                  <w:tcW w:w="707" w:type="pct"/>
                  <w:vAlign w:val="center"/>
                </w:tcPr>
                <w:p w14:paraId="1549870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1788351B">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5.8</w:t>
                  </w:r>
                </w:p>
              </w:tc>
              <w:tc>
                <w:tcPr>
                  <w:tcW w:w="808" w:type="pct"/>
                  <w:gridSpan w:val="2"/>
                  <w:vAlign w:val="center"/>
                </w:tcPr>
                <w:p w14:paraId="2B9A50E6">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纸箱</w:t>
                  </w:r>
                </w:p>
              </w:tc>
              <w:tc>
                <w:tcPr>
                  <w:tcW w:w="630" w:type="pct"/>
                  <w:vAlign w:val="center"/>
                </w:tcPr>
                <w:p w14:paraId="364E11C9">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olor w:val="auto"/>
                      <w:highlight w:val="none"/>
                      <w:lang w:val="en-US" w:eastAsia="zh-CN"/>
                    </w:rPr>
                  </w:pPr>
                  <w:r>
                    <w:rPr>
                      <w:rFonts w:hint="eastAsia"/>
                      <w:color w:val="auto"/>
                      <w:highlight w:val="none"/>
                      <w:lang w:val="en-US" w:eastAsia="zh-CN"/>
                    </w:rPr>
                    <w:t>1.5</w:t>
                  </w:r>
                </w:p>
              </w:tc>
              <w:tc>
                <w:tcPr>
                  <w:tcW w:w="946" w:type="pct"/>
                  <w:vAlign w:val="center"/>
                </w:tcPr>
                <w:p w14:paraId="712A3495">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rFonts w:hint="eastAsia"/>
                      <w:color w:val="auto"/>
                      <w:highlight w:val="none"/>
                      <w:lang w:val="en-US" w:eastAsia="zh-CN"/>
                    </w:rPr>
                    <w:t>化学品库</w:t>
                  </w:r>
                </w:p>
              </w:tc>
            </w:tr>
            <w:tr w14:paraId="7D2B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0F177263">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6</w:t>
                  </w:r>
                </w:p>
              </w:tc>
              <w:tc>
                <w:tcPr>
                  <w:tcW w:w="910" w:type="pct"/>
                  <w:vAlign w:val="center"/>
                </w:tcPr>
                <w:p w14:paraId="3978DEAF">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宋体" w:hAnsi="宋体" w:eastAsia="宋体" w:cs="宋体"/>
                      <w:b w:val="0"/>
                      <w:bCs w:val="0"/>
                      <w:color w:val="auto"/>
                      <w:spacing w:val="8"/>
                      <w:sz w:val="21"/>
                      <w:szCs w:val="21"/>
                      <w:highlight w:val="none"/>
                    </w:rPr>
                  </w:pPr>
                  <w:r>
                    <w:rPr>
                      <w:rFonts w:hint="eastAsia"/>
                      <w:color w:val="auto"/>
                      <w:highlight w:val="none"/>
                      <w:lang w:val="en-US" w:eastAsia="zh-CN"/>
                    </w:rPr>
                    <w:t>保护膜</w:t>
                  </w:r>
                </w:p>
              </w:tc>
              <w:tc>
                <w:tcPr>
                  <w:tcW w:w="707" w:type="pct"/>
                  <w:vAlign w:val="center"/>
                </w:tcPr>
                <w:p w14:paraId="5B98C72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color w:val="auto"/>
                      <w:highlight w:val="none"/>
                      <w:lang w:val="en-US" w:eastAsia="zh-CN"/>
                    </w:rPr>
                    <w:t>吨</w:t>
                  </w:r>
                </w:p>
              </w:tc>
              <w:tc>
                <w:tcPr>
                  <w:tcW w:w="550" w:type="pct"/>
                  <w:vAlign w:val="center"/>
                </w:tcPr>
                <w:p w14:paraId="19986113">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heme="minorBidi"/>
                      <w:color w:val="auto"/>
                      <w:kern w:val="2"/>
                      <w:sz w:val="21"/>
                      <w:szCs w:val="24"/>
                      <w:highlight w:val="none"/>
                      <w:lang w:val="en-US" w:eastAsia="zh-CN" w:bidi="ar-SA"/>
                    </w:rPr>
                    <w:t>2</w:t>
                  </w:r>
                </w:p>
              </w:tc>
              <w:tc>
                <w:tcPr>
                  <w:tcW w:w="808" w:type="pct"/>
                  <w:gridSpan w:val="2"/>
                  <w:vAlign w:val="center"/>
                </w:tcPr>
                <w:p w14:paraId="0317D2A9">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卷</w:t>
                  </w:r>
                </w:p>
              </w:tc>
              <w:tc>
                <w:tcPr>
                  <w:tcW w:w="630" w:type="pct"/>
                  <w:vAlign w:val="center"/>
                </w:tcPr>
                <w:p w14:paraId="5A813CBA">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0.5</w:t>
                  </w:r>
                </w:p>
              </w:tc>
              <w:tc>
                <w:tcPr>
                  <w:tcW w:w="946" w:type="pct"/>
                  <w:vAlign w:val="center"/>
                </w:tcPr>
                <w:p w14:paraId="4F66CA60">
                  <w:pPr>
                    <w:pStyle w:val="52"/>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rFonts w:hint="eastAsia"/>
                      <w:color w:val="auto"/>
                      <w:highlight w:val="none"/>
                      <w:lang w:val="en-US" w:eastAsia="zh-CN"/>
                    </w:rPr>
                    <w:t>成品仓库、包装</w:t>
                  </w:r>
                </w:p>
              </w:tc>
            </w:tr>
            <w:tr w14:paraId="0B77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2A4C0D2D">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六</w:t>
                  </w:r>
                </w:p>
              </w:tc>
              <w:tc>
                <w:tcPr>
                  <w:tcW w:w="4553" w:type="pct"/>
                  <w:gridSpan w:val="7"/>
                  <w:vAlign w:val="center"/>
                </w:tcPr>
                <w:p w14:paraId="6722FBF2">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公共辅料</w:t>
                  </w:r>
                </w:p>
              </w:tc>
            </w:tr>
            <w:tr w14:paraId="6689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26CEDCE1">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1</w:t>
                  </w:r>
                </w:p>
              </w:tc>
              <w:tc>
                <w:tcPr>
                  <w:tcW w:w="910" w:type="pct"/>
                  <w:vAlign w:val="center"/>
                </w:tcPr>
                <w:p w14:paraId="254F4AB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宋体" w:hAnsi="宋体" w:eastAsia="宋体" w:cs="宋体"/>
                      <w:b w:val="0"/>
                      <w:bCs w:val="0"/>
                      <w:color w:val="auto"/>
                      <w:spacing w:val="8"/>
                      <w:sz w:val="21"/>
                      <w:szCs w:val="21"/>
                      <w:highlight w:val="none"/>
                      <w:lang w:val="en-US" w:eastAsia="zh-CN"/>
                    </w:rPr>
                  </w:pPr>
                  <w:r>
                    <w:rPr>
                      <w:rFonts w:hint="eastAsia" w:ascii="宋体" w:hAnsi="宋体" w:cs="宋体"/>
                      <w:b w:val="0"/>
                      <w:bCs w:val="0"/>
                      <w:color w:val="auto"/>
                      <w:spacing w:val="8"/>
                      <w:sz w:val="21"/>
                      <w:szCs w:val="21"/>
                      <w:highlight w:val="none"/>
                      <w:lang w:val="en-US" w:eastAsia="zh-CN"/>
                    </w:rPr>
                    <w:t>脱脂剂</w:t>
                  </w:r>
                </w:p>
              </w:tc>
              <w:tc>
                <w:tcPr>
                  <w:tcW w:w="707" w:type="pct"/>
                  <w:vAlign w:val="center"/>
                </w:tcPr>
                <w:p w14:paraId="22C71C1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ascii="Times New Roman" w:hAnsi="Times New Roman" w:eastAsia="宋体" w:cs="Times New Roman"/>
                      <w:color w:val="auto"/>
                      <w:highlight w:val="none"/>
                      <w:lang w:val="en-US" w:eastAsia="zh-CN"/>
                    </w:rPr>
                    <w:t>吨</w:t>
                  </w:r>
                </w:p>
              </w:tc>
              <w:tc>
                <w:tcPr>
                  <w:tcW w:w="550" w:type="pct"/>
                  <w:vAlign w:val="center"/>
                </w:tcPr>
                <w:p w14:paraId="109F40C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0</w:t>
                  </w:r>
                </w:p>
              </w:tc>
              <w:tc>
                <w:tcPr>
                  <w:tcW w:w="773" w:type="pct"/>
                  <w:vAlign w:val="center"/>
                </w:tcPr>
                <w:p w14:paraId="7039A7E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桶装</w:t>
                  </w:r>
                </w:p>
              </w:tc>
              <w:tc>
                <w:tcPr>
                  <w:tcW w:w="665" w:type="pct"/>
                  <w:gridSpan w:val="2"/>
                  <w:vAlign w:val="center"/>
                </w:tcPr>
                <w:p w14:paraId="6247158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946" w:type="pct"/>
                  <w:vAlign w:val="center"/>
                </w:tcPr>
                <w:p w14:paraId="1BD748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化学品库</w:t>
                  </w:r>
                </w:p>
              </w:tc>
            </w:tr>
            <w:tr w14:paraId="3C2B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68D85CCB">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2</w:t>
                  </w:r>
                </w:p>
              </w:tc>
              <w:tc>
                <w:tcPr>
                  <w:tcW w:w="910" w:type="pct"/>
                  <w:vAlign w:val="center"/>
                </w:tcPr>
                <w:p w14:paraId="440E1BB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cs="Times New Roman"/>
                      <w:b w:val="0"/>
                      <w:bCs w:val="0"/>
                      <w:color w:val="auto"/>
                      <w:spacing w:val="8"/>
                      <w:sz w:val="21"/>
                      <w:szCs w:val="21"/>
                      <w:highlight w:val="none"/>
                      <w:lang w:val="en-US" w:eastAsia="zh-CN"/>
                    </w:rPr>
                    <w:t>无铬钝化剂</w:t>
                  </w:r>
                </w:p>
              </w:tc>
              <w:tc>
                <w:tcPr>
                  <w:tcW w:w="707" w:type="pct"/>
                  <w:vAlign w:val="center"/>
                </w:tcPr>
                <w:p w14:paraId="205C83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ascii="Times New Roman" w:hAnsi="Times New Roman" w:eastAsia="宋体" w:cs="Times New Roman"/>
                      <w:color w:val="auto"/>
                      <w:highlight w:val="none"/>
                      <w:lang w:val="en-US" w:eastAsia="zh-CN"/>
                    </w:rPr>
                    <w:t>吨</w:t>
                  </w:r>
                </w:p>
              </w:tc>
              <w:tc>
                <w:tcPr>
                  <w:tcW w:w="550" w:type="pct"/>
                  <w:vAlign w:val="center"/>
                </w:tcPr>
                <w:p w14:paraId="1156E26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773" w:type="pct"/>
                  <w:vAlign w:val="center"/>
                </w:tcPr>
                <w:p w14:paraId="5350721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桶装</w:t>
                  </w:r>
                </w:p>
              </w:tc>
              <w:tc>
                <w:tcPr>
                  <w:tcW w:w="665" w:type="pct"/>
                  <w:gridSpan w:val="2"/>
                  <w:vAlign w:val="center"/>
                </w:tcPr>
                <w:p w14:paraId="4D57CD4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946" w:type="pct"/>
                  <w:vAlign w:val="center"/>
                </w:tcPr>
                <w:p w14:paraId="313B918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rFonts w:hint="eastAsia"/>
                      <w:color w:val="auto"/>
                      <w:highlight w:val="none"/>
                      <w:lang w:val="en-US" w:eastAsia="zh-CN"/>
                    </w:rPr>
                    <w:t>化学品库</w:t>
                  </w:r>
                </w:p>
              </w:tc>
            </w:tr>
            <w:tr w14:paraId="33E8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2DF006F6">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3</w:t>
                  </w:r>
                </w:p>
              </w:tc>
              <w:tc>
                <w:tcPr>
                  <w:tcW w:w="910" w:type="pct"/>
                  <w:vAlign w:val="center"/>
                </w:tcPr>
                <w:p w14:paraId="169A56B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cs="Times New Roman"/>
                      <w:b w:val="0"/>
                      <w:bCs w:val="0"/>
                      <w:color w:val="auto"/>
                      <w:spacing w:val="8"/>
                      <w:sz w:val="21"/>
                      <w:szCs w:val="21"/>
                      <w:highlight w:val="none"/>
                      <w:lang w:val="en-US" w:eastAsia="zh-CN"/>
                    </w:rPr>
                    <w:t>机油</w:t>
                  </w:r>
                </w:p>
              </w:tc>
              <w:tc>
                <w:tcPr>
                  <w:tcW w:w="707" w:type="pct"/>
                  <w:vAlign w:val="center"/>
                </w:tcPr>
                <w:p w14:paraId="3147F39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rPr>
                  </w:pPr>
                  <w:r>
                    <w:rPr>
                      <w:rFonts w:hint="eastAsia" w:ascii="Times New Roman" w:hAnsi="Times New Roman" w:eastAsia="宋体" w:cs="Times New Roman"/>
                      <w:color w:val="auto"/>
                      <w:highlight w:val="none"/>
                      <w:lang w:val="en-US" w:eastAsia="zh-CN"/>
                    </w:rPr>
                    <w:t>吨</w:t>
                  </w:r>
                </w:p>
              </w:tc>
              <w:tc>
                <w:tcPr>
                  <w:tcW w:w="550" w:type="pct"/>
                  <w:vAlign w:val="center"/>
                </w:tcPr>
                <w:p w14:paraId="4F6811C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773" w:type="pct"/>
                  <w:shd w:val="clear" w:color="auto" w:fill="auto"/>
                  <w:vAlign w:val="center"/>
                </w:tcPr>
                <w:p w14:paraId="5CD1E56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50kg/桶装</w:t>
                  </w:r>
                </w:p>
              </w:tc>
              <w:tc>
                <w:tcPr>
                  <w:tcW w:w="665" w:type="pct"/>
                  <w:gridSpan w:val="2"/>
                  <w:vAlign w:val="center"/>
                </w:tcPr>
                <w:p w14:paraId="467182F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946" w:type="pct"/>
                  <w:vAlign w:val="center"/>
                </w:tcPr>
                <w:p w14:paraId="78E98A82">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rFonts w:hint="eastAsia"/>
                      <w:color w:val="auto"/>
                      <w:highlight w:val="none"/>
                      <w:lang w:val="en-US" w:eastAsia="zh-CN"/>
                    </w:rPr>
                    <w:t>化学品库</w:t>
                  </w:r>
                </w:p>
              </w:tc>
            </w:tr>
            <w:tr w14:paraId="1F1C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6265E527">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4</w:t>
                  </w:r>
                </w:p>
              </w:tc>
              <w:tc>
                <w:tcPr>
                  <w:tcW w:w="910" w:type="pct"/>
                  <w:vAlign w:val="center"/>
                </w:tcPr>
                <w:p w14:paraId="78AD590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s="Times New Roman"/>
                      <w:b w:val="0"/>
                      <w:bCs w:val="0"/>
                      <w:color w:val="auto"/>
                      <w:spacing w:val="8"/>
                      <w:sz w:val="21"/>
                      <w:szCs w:val="21"/>
                      <w:highlight w:val="none"/>
                      <w:lang w:val="en-US" w:eastAsia="zh-CN"/>
                    </w:rPr>
                  </w:pPr>
                  <w:r>
                    <w:rPr>
                      <w:rFonts w:hint="eastAsia" w:cs="Times New Roman"/>
                      <w:b w:val="0"/>
                      <w:bCs w:val="0"/>
                      <w:color w:val="auto"/>
                      <w:spacing w:val="8"/>
                      <w:sz w:val="21"/>
                      <w:szCs w:val="21"/>
                      <w:highlight w:val="none"/>
                      <w:lang w:val="en-US" w:eastAsia="zh-CN"/>
                    </w:rPr>
                    <w:t>絮凝剂</w:t>
                  </w:r>
                </w:p>
              </w:tc>
              <w:tc>
                <w:tcPr>
                  <w:tcW w:w="707" w:type="pct"/>
                  <w:vAlign w:val="center"/>
                </w:tcPr>
                <w:p w14:paraId="172DEFB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吨</w:t>
                  </w:r>
                </w:p>
              </w:tc>
              <w:tc>
                <w:tcPr>
                  <w:tcW w:w="550" w:type="pct"/>
                  <w:vAlign w:val="center"/>
                </w:tcPr>
                <w:p w14:paraId="10F71BB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773" w:type="pct"/>
                  <w:shd w:val="clear" w:color="auto" w:fill="auto"/>
                  <w:vAlign w:val="center"/>
                </w:tcPr>
                <w:p w14:paraId="3018999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袋装</w:t>
                  </w:r>
                </w:p>
              </w:tc>
              <w:tc>
                <w:tcPr>
                  <w:tcW w:w="665" w:type="pct"/>
                  <w:gridSpan w:val="2"/>
                  <w:vAlign w:val="center"/>
                </w:tcPr>
                <w:p w14:paraId="10EE5A0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946" w:type="pct"/>
                  <w:vAlign w:val="center"/>
                </w:tcPr>
                <w:p w14:paraId="131EB19F">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lang w:val="en-US" w:eastAsia="zh-CN"/>
                    </w:rPr>
                  </w:pPr>
                  <w:r>
                    <w:rPr>
                      <w:rFonts w:hint="eastAsia"/>
                      <w:color w:val="auto"/>
                      <w:highlight w:val="none"/>
                      <w:lang w:val="en-US" w:eastAsia="zh-CN"/>
                    </w:rPr>
                    <w:t>化学品库</w:t>
                  </w:r>
                </w:p>
              </w:tc>
            </w:tr>
            <w:tr w14:paraId="4DFA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282292CA">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七</w:t>
                  </w:r>
                </w:p>
              </w:tc>
              <w:tc>
                <w:tcPr>
                  <w:tcW w:w="4553" w:type="pct"/>
                  <w:gridSpan w:val="7"/>
                  <w:vAlign w:val="center"/>
                </w:tcPr>
                <w:p w14:paraId="3F128275">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能源消耗</w:t>
                  </w:r>
                </w:p>
              </w:tc>
            </w:tr>
            <w:tr w14:paraId="59B6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379F6542">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1</w:t>
                  </w:r>
                </w:p>
              </w:tc>
              <w:tc>
                <w:tcPr>
                  <w:tcW w:w="910" w:type="pct"/>
                  <w:vAlign w:val="center"/>
                </w:tcPr>
                <w:p w14:paraId="4830800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b w:val="0"/>
                      <w:bCs w:val="0"/>
                      <w:color w:val="auto"/>
                      <w:spacing w:val="8"/>
                      <w:sz w:val="21"/>
                      <w:szCs w:val="21"/>
                      <w:highlight w:val="none"/>
                      <w:lang w:eastAsia="zh-CN"/>
                    </w:rPr>
                  </w:pPr>
                  <w:r>
                    <w:rPr>
                      <w:rFonts w:hint="eastAsia" w:ascii="宋体" w:hAnsi="宋体" w:eastAsia="宋体" w:cs="宋体"/>
                      <w:b w:val="0"/>
                      <w:bCs w:val="0"/>
                      <w:color w:val="auto"/>
                      <w:spacing w:val="8"/>
                      <w:sz w:val="21"/>
                      <w:szCs w:val="21"/>
                      <w:highlight w:val="none"/>
                      <w:lang w:eastAsia="zh-CN"/>
                    </w:rPr>
                    <w:t>自来水</w:t>
                  </w:r>
                </w:p>
              </w:tc>
              <w:tc>
                <w:tcPr>
                  <w:tcW w:w="707" w:type="pct"/>
                  <w:vAlign w:val="center"/>
                </w:tcPr>
                <w:p w14:paraId="069C4069">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m³/a</w:t>
                  </w:r>
                </w:p>
              </w:tc>
              <w:tc>
                <w:tcPr>
                  <w:tcW w:w="550" w:type="pct"/>
                  <w:vAlign w:val="center"/>
                </w:tcPr>
                <w:p w14:paraId="044375FD">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8555.65</w:t>
                  </w:r>
                </w:p>
              </w:tc>
              <w:tc>
                <w:tcPr>
                  <w:tcW w:w="773" w:type="pct"/>
                  <w:vAlign w:val="center"/>
                </w:tcPr>
                <w:p w14:paraId="45FEADB8">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w:t>
                  </w:r>
                </w:p>
              </w:tc>
              <w:tc>
                <w:tcPr>
                  <w:tcW w:w="665" w:type="pct"/>
                  <w:gridSpan w:val="2"/>
                  <w:vAlign w:val="center"/>
                </w:tcPr>
                <w:p w14:paraId="08C6207C">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w:t>
                  </w:r>
                </w:p>
              </w:tc>
              <w:tc>
                <w:tcPr>
                  <w:tcW w:w="946" w:type="pct"/>
                  <w:vAlign w:val="center"/>
                </w:tcPr>
                <w:p w14:paraId="18CCDFA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eastAsia="zh-CN"/>
                    </w:rPr>
                  </w:pPr>
                  <w:r>
                    <w:rPr>
                      <w:color w:val="auto"/>
                      <w:szCs w:val="21"/>
                      <w:highlight w:val="none"/>
                    </w:rPr>
                    <w:t>园区供水</w:t>
                  </w:r>
                </w:p>
              </w:tc>
            </w:tr>
            <w:tr w14:paraId="01FE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003197D2">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2</w:t>
                  </w:r>
                </w:p>
              </w:tc>
              <w:tc>
                <w:tcPr>
                  <w:tcW w:w="910" w:type="pct"/>
                  <w:vAlign w:val="center"/>
                </w:tcPr>
                <w:p w14:paraId="700D277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b w:val="0"/>
                      <w:bCs w:val="0"/>
                      <w:color w:val="auto"/>
                      <w:spacing w:val="8"/>
                      <w:sz w:val="21"/>
                      <w:szCs w:val="21"/>
                      <w:highlight w:val="none"/>
                      <w:lang w:eastAsia="zh-CN"/>
                    </w:rPr>
                  </w:pPr>
                  <w:r>
                    <w:rPr>
                      <w:rFonts w:hint="eastAsia" w:ascii="宋体" w:hAnsi="宋体" w:eastAsia="宋体" w:cs="宋体"/>
                      <w:b w:val="0"/>
                      <w:bCs w:val="0"/>
                      <w:color w:val="auto"/>
                      <w:spacing w:val="8"/>
                      <w:sz w:val="21"/>
                      <w:szCs w:val="21"/>
                      <w:highlight w:val="none"/>
                      <w:lang w:eastAsia="zh-CN"/>
                    </w:rPr>
                    <w:t>电</w:t>
                  </w:r>
                </w:p>
              </w:tc>
              <w:tc>
                <w:tcPr>
                  <w:tcW w:w="707" w:type="pct"/>
                  <w:vAlign w:val="center"/>
                </w:tcPr>
                <w:p w14:paraId="2612B6C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color w:val="auto"/>
                      <w:kern w:val="0"/>
                      <w:sz w:val="22"/>
                      <w:szCs w:val="22"/>
                      <w:highlight w:val="none"/>
                    </w:rPr>
                    <w:t>万</w:t>
                  </w:r>
                  <w:r>
                    <w:rPr>
                      <w:rFonts w:hint="eastAsia"/>
                      <w:color w:val="auto"/>
                      <w:kern w:val="0"/>
                      <w:sz w:val="22"/>
                      <w:szCs w:val="22"/>
                      <w:highlight w:val="none"/>
                      <w:lang w:eastAsia="zh-CN"/>
                    </w:rPr>
                    <w:t>kW</w:t>
                  </w:r>
                  <w:r>
                    <w:rPr>
                      <w:color w:val="auto"/>
                      <w:kern w:val="0"/>
                      <w:sz w:val="22"/>
                      <w:szCs w:val="22"/>
                      <w:highlight w:val="none"/>
                    </w:rPr>
                    <w:t>·h</w:t>
                  </w:r>
                  <w:r>
                    <w:rPr>
                      <w:rFonts w:hint="eastAsia"/>
                      <w:color w:val="auto"/>
                      <w:kern w:val="0"/>
                      <w:sz w:val="22"/>
                      <w:szCs w:val="22"/>
                      <w:highlight w:val="none"/>
                      <w:lang w:val="en-US" w:eastAsia="zh-CN"/>
                    </w:rPr>
                    <w:t>/a</w:t>
                  </w:r>
                </w:p>
              </w:tc>
              <w:tc>
                <w:tcPr>
                  <w:tcW w:w="550" w:type="pct"/>
                  <w:vAlign w:val="center"/>
                </w:tcPr>
                <w:p w14:paraId="4F1144AA">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50</w:t>
                  </w:r>
                </w:p>
              </w:tc>
              <w:tc>
                <w:tcPr>
                  <w:tcW w:w="773" w:type="pct"/>
                  <w:vAlign w:val="center"/>
                </w:tcPr>
                <w:p w14:paraId="526DFE38">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w:t>
                  </w:r>
                </w:p>
              </w:tc>
              <w:tc>
                <w:tcPr>
                  <w:tcW w:w="665" w:type="pct"/>
                  <w:gridSpan w:val="2"/>
                  <w:vAlign w:val="center"/>
                </w:tcPr>
                <w:p w14:paraId="3D14DC43">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w:t>
                  </w:r>
                </w:p>
              </w:tc>
              <w:tc>
                <w:tcPr>
                  <w:tcW w:w="946" w:type="pct"/>
                  <w:vAlign w:val="center"/>
                </w:tcPr>
                <w:p w14:paraId="2E2D13E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color w:val="auto"/>
                      <w:szCs w:val="21"/>
                      <w:highlight w:val="none"/>
                    </w:rPr>
                    <w:t>园区供电</w:t>
                  </w:r>
                </w:p>
              </w:tc>
            </w:tr>
            <w:tr w14:paraId="2A2A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14:paraId="67C3E9A1">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3</w:t>
                  </w:r>
                </w:p>
              </w:tc>
              <w:tc>
                <w:tcPr>
                  <w:tcW w:w="910" w:type="pct"/>
                  <w:vAlign w:val="center"/>
                </w:tcPr>
                <w:p w14:paraId="3CDD969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宋体" w:hAnsi="宋体" w:eastAsia="宋体" w:cs="宋体"/>
                      <w:b w:val="0"/>
                      <w:bCs w:val="0"/>
                      <w:color w:val="auto"/>
                      <w:spacing w:val="8"/>
                      <w:sz w:val="21"/>
                      <w:szCs w:val="21"/>
                      <w:highlight w:val="none"/>
                      <w:lang w:val="en-US" w:eastAsia="zh-CN"/>
                    </w:rPr>
                  </w:pPr>
                  <w:r>
                    <w:rPr>
                      <w:rFonts w:hint="eastAsia" w:ascii="宋体" w:hAnsi="宋体" w:cs="宋体"/>
                      <w:b w:val="0"/>
                      <w:bCs w:val="0"/>
                      <w:color w:val="auto"/>
                      <w:spacing w:val="8"/>
                      <w:sz w:val="21"/>
                      <w:szCs w:val="21"/>
                      <w:highlight w:val="none"/>
                      <w:lang w:val="en-US" w:eastAsia="zh-CN"/>
                    </w:rPr>
                    <w:t>天然气</w:t>
                  </w:r>
                </w:p>
              </w:tc>
              <w:tc>
                <w:tcPr>
                  <w:tcW w:w="707" w:type="pct"/>
                  <w:vAlign w:val="center"/>
                </w:tcPr>
                <w:p w14:paraId="38459CE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highlight w:val="none"/>
                      <w:lang w:val="en-US" w:eastAsia="zh-CN"/>
                    </w:rPr>
                  </w:pPr>
                  <w:r>
                    <w:rPr>
                      <w:rFonts w:hint="eastAsia" w:ascii="Times New Roman" w:hAnsi="Times New Roman" w:eastAsia="宋体" w:cs="Times New Roman"/>
                      <w:color w:val="auto"/>
                      <w:szCs w:val="21"/>
                      <w:highlight w:val="none"/>
                      <w:lang w:val="en-US" w:eastAsia="zh-CN"/>
                    </w:rPr>
                    <w:t>万m³</w:t>
                  </w:r>
                </w:p>
              </w:tc>
              <w:tc>
                <w:tcPr>
                  <w:tcW w:w="550" w:type="pct"/>
                  <w:vAlign w:val="center"/>
                </w:tcPr>
                <w:p w14:paraId="1FCF3A41">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17</w:t>
                  </w:r>
                </w:p>
              </w:tc>
              <w:tc>
                <w:tcPr>
                  <w:tcW w:w="773" w:type="pct"/>
                  <w:vAlign w:val="center"/>
                </w:tcPr>
                <w:p w14:paraId="37272F20">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w:t>
                  </w:r>
                </w:p>
              </w:tc>
              <w:tc>
                <w:tcPr>
                  <w:tcW w:w="665" w:type="pct"/>
                  <w:gridSpan w:val="2"/>
                  <w:vAlign w:val="center"/>
                </w:tcPr>
                <w:p w14:paraId="7717A404">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w:t>
                  </w:r>
                </w:p>
              </w:tc>
              <w:tc>
                <w:tcPr>
                  <w:tcW w:w="946" w:type="pct"/>
                  <w:vAlign w:val="center"/>
                </w:tcPr>
                <w:p w14:paraId="18F11407">
                  <w:pPr>
                    <w:pStyle w:val="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highlight w:val="none"/>
                      <w:lang w:val="en-US" w:eastAsia="zh-CN"/>
                    </w:rPr>
                  </w:pPr>
                  <w:r>
                    <w:rPr>
                      <w:color w:val="auto"/>
                      <w:szCs w:val="21"/>
                      <w:highlight w:val="none"/>
                    </w:rPr>
                    <w:t>园区供</w:t>
                  </w:r>
                  <w:r>
                    <w:rPr>
                      <w:rFonts w:hint="eastAsia"/>
                      <w:color w:val="auto"/>
                      <w:szCs w:val="21"/>
                      <w:highlight w:val="none"/>
                      <w:lang w:val="en-US" w:eastAsia="zh-CN"/>
                    </w:rPr>
                    <w:t>气</w:t>
                  </w:r>
                </w:p>
              </w:tc>
            </w:tr>
          </w:tbl>
          <w:p w14:paraId="1EB549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Cs/>
                <w:color w:val="auto"/>
                <w:sz w:val="24"/>
                <w:highlight w:val="none"/>
                <w:lang w:val="en-US" w:eastAsia="zh-CN"/>
              </w:rPr>
            </w:pPr>
            <w:r>
              <w:rPr>
                <w:rFonts w:hint="eastAsia" w:cs="Times New Roman"/>
                <w:bCs/>
                <w:color w:val="auto"/>
                <w:sz w:val="24"/>
                <w:highlight w:val="none"/>
                <w:lang w:val="en-US" w:eastAsia="zh-CN"/>
              </w:rPr>
              <w:t>①天然气消耗量核算：</w:t>
            </w:r>
          </w:p>
          <w:p w14:paraId="38D269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Cs/>
                <w:color w:val="auto"/>
                <w:sz w:val="24"/>
                <w:highlight w:val="none"/>
                <w:lang w:val="en-US" w:eastAsia="zh-CN"/>
              </w:rPr>
            </w:pPr>
            <w:r>
              <w:rPr>
                <w:rFonts w:hint="eastAsia" w:cs="Times New Roman"/>
                <w:bCs/>
                <w:color w:val="auto"/>
                <w:sz w:val="24"/>
                <w:highlight w:val="none"/>
                <w:lang w:val="en-US" w:eastAsia="zh-CN"/>
              </w:rPr>
              <w:t>根据建设单位提供的资料，项目设置</w:t>
            </w:r>
            <w:r>
              <w:rPr>
                <w:rFonts w:hint="eastAsia" w:ascii="Times New Roman" w:hAnsi="Times New Roman" w:eastAsia="宋体" w:cs="Times New Roman"/>
                <w:color w:val="auto"/>
                <w:sz w:val="24"/>
                <w:highlight w:val="none"/>
                <w:lang w:val="en-US" w:eastAsia="zh-CN"/>
              </w:rPr>
              <w:t>水分烘干隧道配套1台</w:t>
            </w:r>
            <w:r>
              <w:rPr>
                <w:rFonts w:hint="eastAsia" w:cs="Times New Roman"/>
                <w:color w:val="auto"/>
                <w:sz w:val="24"/>
                <w:highlight w:val="none"/>
                <w:lang w:val="en-US" w:eastAsia="zh-CN"/>
              </w:rPr>
              <w:t>（30万大卡/小时）</w:t>
            </w:r>
            <w:r>
              <w:rPr>
                <w:rFonts w:hint="eastAsia" w:ascii="Times New Roman" w:hAnsi="Times New Roman" w:eastAsia="宋体" w:cs="Times New Roman"/>
                <w:color w:val="auto"/>
                <w:sz w:val="24"/>
                <w:highlight w:val="none"/>
                <w:lang w:val="en-US" w:eastAsia="zh-CN"/>
              </w:rPr>
              <w:t>，固化烘道装置配套2台</w:t>
            </w:r>
            <w:r>
              <w:rPr>
                <w:rFonts w:hint="eastAsia" w:cs="Times New Roman"/>
                <w:color w:val="auto"/>
                <w:sz w:val="24"/>
                <w:highlight w:val="none"/>
                <w:lang w:val="en-US" w:eastAsia="zh-CN"/>
              </w:rPr>
              <w:t>（50万大卡/小时），天然气热值约8000大卡，项目水分烘干炉天然气消耗量约41.67m³/h，固化炉天然气消耗量约138.89m³/h。项目水分烘干炉烘干时间为3h/d（900h/a），固化炉固化时间为3h/d（900h/a），经计算项目天然气年用量约为17万m³。</w:t>
            </w:r>
          </w:p>
          <w:p w14:paraId="7D217F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②水性</w:t>
            </w:r>
            <w:r>
              <w:rPr>
                <w:rFonts w:hint="default" w:ascii="Times New Roman" w:hAnsi="Times New Roman" w:eastAsia="宋体" w:cs="Times New Roman"/>
                <w:color w:val="auto"/>
                <w:sz w:val="24"/>
                <w:szCs w:val="24"/>
                <w:highlight w:val="none"/>
                <w:lang w:val="en-US" w:eastAsia="zh-CN"/>
              </w:rPr>
              <w:t>漆及塑粉达标性判定</w:t>
            </w:r>
          </w:p>
          <w:p w14:paraId="1AE9C0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项目使用的油漆为水性漆，根据水性漆检测报告，</w:t>
            </w:r>
            <w:r>
              <w:rPr>
                <w:rFonts w:hint="eastAsia" w:ascii="Times New Roman" w:hAnsi="Times New Roman" w:eastAsia="宋体" w:cs="Times New Roman"/>
                <w:color w:val="auto"/>
                <w:sz w:val="24"/>
                <w:szCs w:val="24"/>
                <w:highlight w:val="none"/>
                <w:lang w:val="en-US" w:eastAsia="zh-CN"/>
              </w:rPr>
              <w:t>水性底漆含量为</w:t>
            </w:r>
            <w:r>
              <w:rPr>
                <w:rFonts w:hint="eastAsia"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lang w:val="en-US" w:eastAsia="zh-CN"/>
              </w:rPr>
              <w:t>g/L</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水性</w:t>
            </w:r>
            <w:r>
              <w:rPr>
                <w:rFonts w:hint="eastAsia" w:ascii="Times New Roman" w:hAnsi="Times New Roman" w:eastAsia="宋体" w:cs="Times New Roman"/>
                <w:color w:val="auto"/>
                <w:sz w:val="24"/>
                <w:szCs w:val="24"/>
                <w:highlight w:val="none"/>
                <w:lang w:val="en-US" w:eastAsia="zh-CN"/>
              </w:rPr>
              <w:t>面</w:t>
            </w:r>
            <w:r>
              <w:rPr>
                <w:rFonts w:hint="default" w:ascii="Times New Roman" w:hAnsi="Times New Roman" w:eastAsia="宋体" w:cs="Times New Roman"/>
                <w:color w:val="auto"/>
                <w:sz w:val="24"/>
                <w:szCs w:val="24"/>
                <w:highlight w:val="none"/>
                <w:lang w:val="en-US" w:eastAsia="zh-CN"/>
              </w:rPr>
              <w:t>漆含量为</w:t>
            </w:r>
            <w:r>
              <w:rPr>
                <w:rFonts w:hint="eastAsia" w:ascii="Times New Roman" w:hAnsi="Times New Roman" w:eastAsia="宋体" w:cs="Times New Roman"/>
                <w:color w:val="auto"/>
                <w:sz w:val="24"/>
                <w:szCs w:val="24"/>
                <w:highlight w:val="none"/>
                <w:lang w:val="en-US" w:eastAsia="zh-CN"/>
              </w:rPr>
              <w:t>113</w:t>
            </w:r>
            <w:r>
              <w:rPr>
                <w:rFonts w:hint="default" w:ascii="Times New Roman" w:hAnsi="Times New Roman" w:eastAsia="宋体" w:cs="Times New Roman"/>
                <w:color w:val="auto"/>
                <w:sz w:val="24"/>
                <w:szCs w:val="24"/>
                <w:highlight w:val="none"/>
                <w:lang w:val="en-US" w:eastAsia="zh-CN"/>
              </w:rPr>
              <w:t>g/L，满足《低挥发性有机化合物含量涂料产品技术要求》（GB/T38597-2020）</w:t>
            </w:r>
            <w:r>
              <w:rPr>
                <w:rFonts w:hint="eastAsia" w:ascii="Times New Roman" w:hAnsi="Times New Roman" w:eastAsia="宋体" w:cs="Times New Roman"/>
                <w:color w:val="auto"/>
                <w:sz w:val="24"/>
                <w:szCs w:val="24"/>
                <w:highlight w:val="none"/>
                <w:lang w:val="en-US" w:eastAsia="zh-CN"/>
              </w:rPr>
              <w:t>（底漆&lt;250</w:t>
            </w:r>
            <w:r>
              <w:rPr>
                <w:rFonts w:hint="default" w:ascii="Times New Roman" w:hAnsi="Times New Roman" w:eastAsia="宋体" w:cs="Times New Roman"/>
                <w:color w:val="auto"/>
                <w:sz w:val="24"/>
                <w:szCs w:val="24"/>
                <w:highlight w:val="none"/>
                <w:lang w:val="en-US" w:eastAsia="zh-CN"/>
              </w:rPr>
              <w:t>g/L</w:t>
            </w:r>
            <w:r>
              <w:rPr>
                <w:rFonts w:hint="eastAsia" w:ascii="Times New Roman" w:hAnsi="Times New Roman" w:eastAsia="宋体" w:cs="Times New Roman"/>
                <w:color w:val="auto"/>
                <w:sz w:val="24"/>
                <w:szCs w:val="24"/>
                <w:highlight w:val="none"/>
                <w:lang w:val="en-US" w:eastAsia="zh-CN"/>
              </w:rPr>
              <w:t>，面漆&lt;</w:t>
            </w:r>
            <w:r>
              <w:rPr>
                <w:rFonts w:hint="eastAsia" w:cs="Times New Roman"/>
                <w:color w:val="auto"/>
                <w:sz w:val="24"/>
                <w:szCs w:val="24"/>
                <w:highlight w:val="none"/>
                <w:lang w:val="en-US" w:eastAsia="zh-CN"/>
              </w:rPr>
              <w:t>300</w:t>
            </w:r>
            <w:r>
              <w:rPr>
                <w:rFonts w:hint="eastAsia" w:ascii="Times New Roman" w:hAnsi="Times New Roman" w:eastAsia="宋体" w:cs="Times New Roman"/>
                <w:color w:val="auto"/>
                <w:sz w:val="24"/>
                <w:szCs w:val="24"/>
                <w:highlight w:val="none"/>
                <w:lang w:val="en-US" w:eastAsia="zh-CN"/>
              </w:rPr>
              <w:t>g/L）</w:t>
            </w:r>
            <w:r>
              <w:rPr>
                <w:rFonts w:hint="default" w:ascii="Times New Roman" w:hAnsi="Times New Roman" w:eastAsia="宋体" w:cs="Times New Roman"/>
                <w:color w:val="auto"/>
                <w:sz w:val="24"/>
                <w:szCs w:val="24"/>
                <w:highlight w:val="none"/>
                <w:lang w:val="en-US" w:eastAsia="zh-CN"/>
              </w:rPr>
              <w:t>标准要求；</w:t>
            </w:r>
          </w:p>
          <w:p w14:paraId="5CFD16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项目使用的塑粉为环保型塑粉，</w:t>
            </w:r>
            <w:r>
              <w:rPr>
                <w:rFonts w:hint="eastAsia" w:ascii="Times New Roman" w:hAnsi="Times New Roman" w:eastAsia="宋体" w:cs="Times New Roman"/>
                <w:color w:val="auto"/>
                <w:sz w:val="24"/>
                <w:szCs w:val="24"/>
                <w:highlight w:val="none"/>
                <w:lang w:val="en-US" w:eastAsia="zh-CN"/>
              </w:rPr>
              <w:t>属于低VOCs固体份涂料，</w:t>
            </w:r>
            <w:r>
              <w:rPr>
                <w:rFonts w:hint="default" w:ascii="Times New Roman" w:hAnsi="Times New Roman" w:eastAsia="宋体" w:cs="Times New Roman"/>
                <w:color w:val="auto"/>
                <w:sz w:val="24"/>
                <w:szCs w:val="24"/>
                <w:highlight w:val="none"/>
                <w:lang w:val="en-US" w:eastAsia="zh-CN"/>
              </w:rPr>
              <w:t>故本项目所使用的水性面漆和塑粉满足达标要求。</w:t>
            </w:r>
          </w:p>
          <w:p w14:paraId="7DCC92D7">
            <w:pPr>
              <w:numPr>
                <w:ilvl w:val="0"/>
                <w:numId w:val="0"/>
              </w:numPr>
              <w:kinsoku/>
              <w:adjustRightInd/>
              <w:snapToGrid/>
              <w:spacing w:line="360" w:lineRule="auto"/>
              <w:ind w:firstLine="480" w:firstLineChars="200"/>
              <w:rPr>
                <w:rFonts w:hint="eastAsia" w:cs="Times New Roman"/>
                <w:bCs/>
                <w:color w:val="auto"/>
                <w:sz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bidi="ar-SA"/>
              </w:rPr>
              <w:t>（1）</w:t>
            </w:r>
            <w:r>
              <w:rPr>
                <w:rFonts w:hint="eastAsia" w:cs="Times New Roman"/>
                <w:bCs/>
                <w:color w:val="auto"/>
                <w:sz w:val="24"/>
                <w:highlight w:val="none"/>
                <w:lang w:val="en-US" w:eastAsia="zh-CN"/>
              </w:rPr>
              <w:t>塑粉用量：</w:t>
            </w:r>
          </w:p>
          <w:p w14:paraId="1B062AA6">
            <w:pPr>
              <w:widowControl w:val="0"/>
              <w:numPr>
                <w:ilvl w:val="0"/>
                <w:numId w:val="0"/>
              </w:numPr>
              <w:kinsoku/>
              <w:adjustRightInd/>
              <w:snapToGrid/>
              <w:spacing w:line="360" w:lineRule="auto"/>
              <w:ind w:firstLine="480" w:firstLineChars="200"/>
              <w:jc w:val="both"/>
              <w:rPr>
                <w:rFonts w:hint="default" w:eastAsia="宋体" w:cs="Times New Roman"/>
                <w:bCs/>
                <w:color w:val="auto"/>
                <w:sz w:val="24"/>
                <w:highlight w:val="none"/>
                <w:lang w:val="en-US" w:eastAsia="zh-CN"/>
              </w:rPr>
            </w:pPr>
            <w:r>
              <w:rPr>
                <w:rFonts w:hint="eastAsia" w:cs="Times New Roman"/>
                <w:bCs/>
                <w:color w:val="auto"/>
                <w:sz w:val="24"/>
                <w:highlight w:val="none"/>
                <w:lang w:val="en-US" w:eastAsia="zh-CN"/>
              </w:rPr>
              <w:t>①根据业主提供的产品方案，</w:t>
            </w:r>
            <w:r>
              <w:rPr>
                <w:rFonts w:hint="eastAsia" w:ascii="Times New Roman" w:hAnsi="Times New Roman" w:cs="Times New Roman"/>
                <w:color w:val="auto"/>
                <w:sz w:val="24"/>
                <w:szCs w:val="32"/>
                <w:highlight w:val="none"/>
                <w:lang w:val="en-US" w:eastAsia="zh-CN"/>
              </w:rPr>
              <w:t>85%的金属铝板需要喷塑，护栏、桥架均只喷塑，不喷漆。</w:t>
            </w:r>
          </w:p>
          <w:p w14:paraId="7CE8E7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32"/>
                <w:highlight w:val="none"/>
                <w:lang w:val="en-US" w:eastAsia="zh-CN"/>
              </w:rPr>
            </w:pPr>
            <w:r>
              <w:rPr>
                <w:rFonts w:hint="eastAsia" w:cs="Times New Roman"/>
                <w:bCs/>
                <w:color w:val="auto"/>
                <w:sz w:val="24"/>
                <w:highlight w:val="none"/>
                <w:lang w:val="en-US" w:eastAsia="zh-CN"/>
              </w:rPr>
              <w:t>铝单板喷塑厚度约80</w:t>
            </w:r>
            <w:r>
              <w:rPr>
                <w:rFonts w:hint="default" w:ascii="Times New Roman" w:hAnsi="Times New Roman" w:cs="Times New Roman"/>
                <w:color w:val="auto"/>
                <w:sz w:val="24"/>
                <w:szCs w:val="32"/>
                <w:highlight w:val="none"/>
                <w:lang w:val="en-US" w:eastAsia="zh-CN"/>
              </w:rPr>
              <w:t>μm</w:t>
            </w:r>
            <w:r>
              <w:rPr>
                <w:rFonts w:hint="eastAsia" w:cs="Times New Roman"/>
                <w:color w:val="auto"/>
                <w:sz w:val="24"/>
                <w:szCs w:val="32"/>
                <w:highlight w:val="none"/>
                <w:lang w:eastAsia="zh-CN"/>
              </w:rPr>
              <w:t>，</w:t>
            </w:r>
            <w:r>
              <w:rPr>
                <w:rFonts w:hint="eastAsia" w:cs="Times New Roman"/>
                <w:color w:val="auto"/>
                <w:sz w:val="24"/>
                <w:szCs w:val="32"/>
                <w:highlight w:val="none"/>
                <w:lang w:val="en-US" w:eastAsia="zh-CN"/>
              </w:rPr>
              <w:t>根据建设单位提供的资料，项目铝单板尺寸为</w:t>
            </w:r>
            <w:r>
              <w:rPr>
                <w:rFonts w:hint="default" w:ascii="Times New Roman" w:hAnsi="Times New Roman" w:cs="Times New Roman"/>
                <w:bCs/>
                <w:color w:val="auto"/>
                <w:sz w:val="24"/>
                <w:szCs w:val="24"/>
                <w:highlight w:val="none"/>
                <w:vertAlign w:val="baseline"/>
                <w:lang w:val="en-US" w:eastAsia="zh-CN"/>
              </w:rPr>
              <w:t>L6m×W2m×H0.0015-0.003m，</w:t>
            </w:r>
            <w:r>
              <w:rPr>
                <w:rFonts w:hint="eastAsia" w:ascii="Times New Roman" w:hAnsi="Times New Roman" w:cs="Times New Roman"/>
                <w:bCs/>
                <w:color w:val="auto"/>
                <w:sz w:val="24"/>
                <w:szCs w:val="24"/>
                <w:highlight w:val="none"/>
                <w:vertAlign w:val="baseline"/>
                <w:lang w:val="en-US" w:eastAsia="zh-CN"/>
              </w:rPr>
              <w:t>本次计算以尺寸</w:t>
            </w:r>
            <w:r>
              <w:rPr>
                <w:rFonts w:hint="default" w:ascii="Times New Roman" w:hAnsi="Times New Roman" w:cs="Times New Roman"/>
                <w:bCs/>
                <w:color w:val="auto"/>
                <w:sz w:val="24"/>
                <w:szCs w:val="24"/>
                <w:highlight w:val="none"/>
                <w:vertAlign w:val="baseline"/>
                <w:lang w:val="en-US" w:eastAsia="zh-CN"/>
              </w:rPr>
              <w:t>L6m×W2m×H0.003m</w:t>
            </w:r>
            <w:r>
              <w:rPr>
                <w:rFonts w:hint="eastAsia" w:ascii="Times New Roman" w:hAnsi="Times New Roman" w:cs="Times New Roman"/>
                <w:bCs/>
                <w:color w:val="auto"/>
                <w:sz w:val="24"/>
                <w:szCs w:val="24"/>
                <w:highlight w:val="none"/>
                <w:vertAlign w:val="baseline"/>
                <w:lang w:val="en-US" w:eastAsia="zh-CN"/>
              </w:rPr>
              <w:t>为例，</w:t>
            </w:r>
            <w:r>
              <w:rPr>
                <w:rFonts w:hint="eastAsia" w:cs="Times New Roman"/>
                <w:bCs/>
                <w:color w:val="auto"/>
                <w:sz w:val="24"/>
                <w:szCs w:val="24"/>
                <w:highlight w:val="none"/>
                <w:vertAlign w:val="baseline"/>
                <w:lang w:val="en-US" w:eastAsia="zh-CN"/>
              </w:rPr>
              <w:t>项目</w:t>
            </w:r>
            <w:r>
              <w:rPr>
                <w:rFonts w:hint="eastAsia" w:cs="Times New Roman"/>
                <w:color w:val="auto"/>
                <w:sz w:val="24"/>
                <w:szCs w:val="32"/>
                <w:highlight w:val="none"/>
                <w:lang w:val="en-US" w:eastAsia="zh-CN"/>
              </w:rPr>
              <w:t>年产31211张铝单板，其中85%进行喷塑计26530张，15%进行喷漆计4681张，</w:t>
            </w:r>
          </w:p>
          <w:p w14:paraId="53E95EE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32"/>
                <w:highlight w:val="none"/>
                <w:lang w:val="en-US" w:eastAsia="zh-CN"/>
              </w:rPr>
            </w:pPr>
            <w:r>
              <w:rPr>
                <w:rFonts w:hint="eastAsia" w:cs="Times New Roman"/>
                <w:color w:val="auto"/>
                <w:sz w:val="24"/>
                <w:szCs w:val="32"/>
                <w:highlight w:val="none"/>
                <w:lang w:val="en-US" w:eastAsia="zh-CN"/>
              </w:rPr>
              <w:t>铝单板喷涂两面，则单块铝单板喷塑面积为</w:t>
            </w:r>
            <w:r>
              <w:rPr>
                <w:rFonts w:hint="default" w:ascii="Times New Roman" w:hAnsi="Times New Roman" w:cs="Times New Roman"/>
                <w:bCs/>
                <w:color w:val="auto"/>
                <w:sz w:val="24"/>
                <w:szCs w:val="24"/>
                <w:highlight w:val="none"/>
                <w:vertAlign w:val="baseline"/>
                <w:lang w:val="en-US" w:eastAsia="zh-CN"/>
              </w:rPr>
              <w:t>6m×2m×</w:t>
            </w:r>
            <w:r>
              <w:rPr>
                <w:rFonts w:hint="eastAsia" w:ascii="Times New Roman" w:hAnsi="Times New Roman" w:cs="Times New Roman"/>
                <w:bCs/>
                <w:color w:val="auto"/>
                <w:sz w:val="24"/>
                <w:szCs w:val="24"/>
                <w:highlight w:val="none"/>
                <w:vertAlign w:val="baseline"/>
                <w:lang w:val="en-US" w:eastAsia="zh-CN"/>
              </w:rPr>
              <w:t>2=24m²，总喷涂面积为63.7万m²</w:t>
            </w:r>
            <w:r>
              <w:rPr>
                <w:rFonts w:hint="eastAsia" w:ascii="Times New Roman" w:hAnsi="Times New Roman" w:cs="Times New Roman"/>
                <w:color w:val="auto"/>
                <w:sz w:val="24"/>
                <w:szCs w:val="32"/>
                <w:highlight w:val="none"/>
                <w:lang w:val="en-US" w:eastAsia="zh-CN"/>
              </w:rPr>
              <w:t>。</w:t>
            </w:r>
          </w:p>
          <w:p w14:paraId="22801F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cs="Times New Roman"/>
                <w:bCs/>
                <w:color w:val="auto"/>
                <w:sz w:val="24"/>
                <w:szCs w:val="24"/>
                <w:highlight w:val="none"/>
                <w:vertAlign w:val="baseline"/>
                <w:lang w:val="en-US" w:eastAsia="zh-CN"/>
              </w:rPr>
            </w:pPr>
            <w:r>
              <w:rPr>
                <w:rFonts w:hint="eastAsia" w:ascii="Times New Roman" w:hAnsi="Times New Roman" w:cs="Times New Roman"/>
                <w:color w:val="auto"/>
                <w:sz w:val="24"/>
                <w:szCs w:val="32"/>
                <w:highlight w:val="none"/>
                <w:lang w:val="en-US" w:eastAsia="zh-CN"/>
              </w:rPr>
              <w:t>②项目金属护栏根据</w:t>
            </w:r>
            <w:r>
              <w:rPr>
                <w:rFonts w:hint="eastAsia" w:cs="Times New Roman"/>
                <w:color w:val="auto"/>
                <w:sz w:val="24"/>
                <w:szCs w:val="32"/>
                <w:highlight w:val="none"/>
                <w:lang w:val="en-US" w:eastAsia="zh-CN"/>
              </w:rPr>
              <w:t>建设单位提供的资料，常规金属护栏为顶部扶手+中间横杆+竖杆：顶部扶手尺寸约L1.2m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W0.1</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H0.05m；中间横杆L1.2m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W0.05</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0.05m；竖杆尺寸约L0.05m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W0.05m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H1.1m。单个护栏由1个顶部扶手+1个横杆+4个竖杆组合而成。经计算单个护栏面积约：</w:t>
            </w:r>
          </w:p>
          <w:p w14:paraId="3CB6578F">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cs="Times New Roman"/>
                <w:bCs/>
                <w:color w:val="auto"/>
                <w:sz w:val="24"/>
                <w:szCs w:val="24"/>
                <w:highlight w:val="none"/>
                <w:vertAlign w:val="baseline"/>
                <w:lang w:val="en-US" w:eastAsia="zh-CN"/>
              </w:rPr>
            </w:pPr>
            <w:r>
              <w:rPr>
                <w:rFonts w:hint="eastAsia" w:ascii="Times New Roman" w:hAnsi="Times New Roman" w:cs="Times New Roman"/>
                <w:bCs/>
                <w:color w:val="auto"/>
                <w:sz w:val="24"/>
                <w:szCs w:val="24"/>
                <w:highlight w:val="none"/>
                <w:vertAlign w:val="baseline"/>
                <w:lang w:val="en-US" w:eastAsia="zh-CN"/>
              </w:rPr>
              <w:t>（1.2</w:t>
            </w:r>
            <w:r>
              <w:rPr>
                <w:rFonts w:hint="eastAsia" w:cs="Times New Roman"/>
                <w:color w:val="auto"/>
                <w:sz w:val="24"/>
                <w:szCs w:val="32"/>
                <w:highlight w:val="none"/>
                <w:lang w:val="en-US" w:eastAsia="zh-CN"/>
              </w:rPr>
              <w:t>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0.1m+0.1m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0.05</w:t>
            </w:r>
            <w:r>
              <w:rPr>
                <w:rFonts w:hint="eastAsia" w:cs="Times New Roman"/>
                <w:bCs/>
                <w:color w:val="auto"/>
                <w:sz w:val="24"/>
                <w:szCs w:val="24"/>
                <w:highlight w:val="none"/>
                <w:vertAlign w:val="baseline"/>
                <w:lang w:val="en-US" w:eastAsia="zh-CN"/>
              </w:rPr>
              <w:t>m+1.2m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0.05</w:t>
            </w:r>
            <w:r>
              <w:rPr>
                <w:rFonts w:hint="eastAsia" w:cs="Times New Roman"/>
                <w:bCs/>
                <w:color w:val="auto"/>
                <w:sz w:val="24"/>
                <w:szCs w:val="24"/>
                <w:highlight w:val="none"/>
                <w:vertAlign w:val="baseline"/>
                <w:lang w:val="en-US" w:eastAsia="zh-CN"/>
              </w:rPr>
              <w:t>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2+</w:t>
            </w:r>
            <w:r>
              <w:rPr>
                <w:rFonts w:hint="eastAsia" w:ascii="Times New Roman" w:hAnsi="Times New Roman" w:cs="Times New Roman"/>
                <w:bCs/>
                <w:color w:val="auto"/>
                <w:sz w:val="24"/>
                <w:szCs w:val="24"/>
                <w:highlight w:val="none"/>
                <w:vertAlign w:val="baseline"/>
                <w:lang w:val="en-US" w:eastAsia="zh-CN"/>
              </w:rPr>
              <w:t>1.2</w:t>
            </w:r>
            <w:r>
              <w:rPr>
                <w:rFonts w:hint="eastAsia" w:cs="Times New Roman"/>
                <w:color w:val="auto"/>
                <w:sz w:val="24"/>
                <w:szCs w:val="32"/>
                <w:highlight w:val="none"/>
                <w:lang w:val="en-US" w:eastAsia="zh-CN"/>
              </w:rPr>
              <w:t>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0.05m+0.05m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0.05</w:t>
            </w:r>
            <w:r>
              <w:rPr>
                <w:rFonts w:hint="eastAsia" w:cs="Times New Roman"/>
                <w:bCs/>
                <w:color w:val="auto"/>
                <w:sz w:val="24"/>
                <w:szCs w:val="24"/>
                <w:highlight w:val="none"/>
                <w:vertAlign w:val="baseline"/>
                <w:lang w:val="en-US" w:eastAsia="zh-CN"/>
              </w:rPr>
              <w:t>m+1.2m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0.05</w:t>
            </w:r>
            <w:r>
              <w:rPr>
                <w:rFonts w:hint="eastAsia" w:cs="Times New Roman"/>
                <w:bCs/>
                <w:color w:val="auto"/>
                <w:sz w:val="24"/>
                <w:szCs w:val="24"/>
                <w:highlight w:val="none"/>
                <w:vertAlign w:val="baseline"/>
                <w:lang w:val="en-US" w:eastAsia="zh-CN"/>
              </w:rPr>
              <w:t>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2+</w:t>
            </w:r>
            <w:r>
              <w:rPr>
                <w:rFonts w:hint="eastAsia" w:ascii="Times New Roman" w:hAnsi="Times New Roman" w:cs="Times New Roman"/>
                <w:bCs/>
                <w:color w:val="auto"/>
                <w:sz w:val="24"/>
                <w:szCs w:val="24"/>
                <w:highlight w:val="none"/>
                <w:vertAlign w:val="baseline"/>
                <w:lang w:val="en-US" w:eastAsia="zh-CN"/>
              </w:rPr>
              <w:t>（0.05</w:t>
            </w:r>
            <w:r>
              <w:rPr>
                <w:rFonts w:hint="eastAsia" w:cs="Times New Roman"/>
                <w:color w:val="auto"/>
                <w:sz w:val="24"/>
                <w:szCs w:val="32"/>
                <w:highlight w:val="none"/>
                <w:lang w:val="en-US" w:eastAsia="zh-CN"/>
              </w:rPr>
              <w:t>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0.05m+1.1m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0.05</w:t>
            </w:r>
            <w:r>
              <w:rPr>
                <w:rFonts w:hint="eastAsia" w:cs="Times New Roman"/>
                <w:bCs/>
                <w:color w:val="auto"/>
                <w:sz w:val="24"/>
                <w:szCs w:val="24"/>
                <w:highlight w:val="none"/>
                <w:vertAlign w:val="baseline"/>
                <w:lang w:val="en-US" w:eastAsia="zh-CN"/>
              </w:rPr>
              <w:t>m+1.1m</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0.05</w:t>
            </w:r>
            <w:r>
              <w:rPr>
                <w:rFonts w:hint="eastAsia" w:cs="Times New Roman"/>
                <w:bCs/>
                <w:color w:val="auto"/>
                <w:sz w:val="24"/>
                <w:szCs w:val="24"/>
                <w:highlight w:val="none"/>
                <w:vertAlign w:val="baseline"/>
                <w:lang w:val="en-US" w:eastAsia="zh-CN"/>
              </w:rPr>
              <w:t>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2</w:t>
            </w:r>
            <w:r>
              <w:rPr>
                <w:rFonts w:hint="default" w:ascii="Times New Roman" w:hAnsi="Times New Roman" w:cs="Times New Roman"/>
                <w:bCs/>
                <w:color w:val="auto"/>
                <w:sz w:val="24"/>
                <w:szCs w:val="24"/>
                <w:highlight w:val="none"/>
                <w:vertAlign w:val="baseline"/>
                <w:lang w:val="en-US" w:eastAsia="zh-CN"/>
              </w:rPr>
              <w:t>×</w:t>
            </w:r>
            <w:r>
              <w:rPr>
                <w:rFonts w:hint="eastAsia" w:ascii="Times New Roman" w:hAnsi="Times New Roman" w:cs="Times New Roman"/>
                <w:bCs/>
                <w:color w:val="auto"/>
                <w:sz w:val="24"/>
                <w:szCs w:val="24"/>
                <w:highlight w:val="none"/>
                <w:vertAlign w:val="baseline"/>
                <w:lang w:val="en-US" w:eastAsia="zh-CN"/>
              </w:rPr>
              <w:t>4=1.6</w:t>
            </w:r>
            <w:r>
              <w:rPr>
                <w:rFonts w:hint="eastAsia" w:cs="Times New Roman"/>
                <w:bCs/>
                <w:color w:val="auto"/>
                <w:sz w:val="24"/>
                <w:szCs w:val="24"/>
                <w:highlight w:val="none"/>
                <w:vertAlign w:val="baseline"/>
                <w:lang w:val="en-US" w:eastAsia="zh-CN"/>
              </w:rPr>
              <w:t>m²</w:t>
            </w:r>
          </w:p>
          <w:p w14:paraId="330903A1">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eastAsia" w:ascii="Times New Roman" w:hAnsi="Times New Roman" w:cs="Times New Roman"/>
                <w:color w:val="auto"/>
                <w:sz w:val="24"/>
                <w:szCs w:val="32"/>
                <w:highlight w:val="none"/>
                <w:lang w:eastAsia="zh-CN"/>
              </w:rPr>
            </w:pPr>
            <w:r>
              <w:rPr>
                <w:rFonts w:hint="eastAsia" w:cs="Times New Roman"/>
                <w:bCs/>
                <w:color w:val="auto"/>
                <w:sz w:val="24"/>
                <w:szCs w:val="24"/>
                <w:highlight w:val="none"/>
                <w:vertAlign w:val="baseline"/>
                <w:lang w:val="en-US" w:eastAsia="zh-CN"/>
              </w:rPr>
              <w:t>一个金属护栏约0.016t，</w:t>
            </w:r>
            <w:r>
              <w:rPr>
                <w:rFonts w:hint="eastAsia" w:ascii="Times New Roman" w:hAnsi="Times New Roman" w:cs="Times New Roman"/>
                <w:color w:val="auto"/>
                <w:sz w:val="24"/>
                <w:szCs w:val="32"/>
                <w:highlight w:val="none"/>
                <w:lang w:val="en-US" w:eastAsia="zh-CN"/>
              </w:rPr>
              <w:t>项目金属护栏年产1500t/a，</w:t>
            </w:r>
            <w:r>
              <w:rPr>
                <w:rFonts w:hint="eastAsia" w:cs="Times New Roman"/>
                <w:color w:val="auto"/>
                <w:sz w:val="24"/>
                <w:szCs w:val="32"/>
                <w:highlight w:val="none"/>
                <w:lang w:val="en-US" w:eastAsia="zh-CN"/>
              </w:rPr>
              <w:t>则年产93750个金属护栏，总面积为：93750</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0.016=15万m²，项目金属护栏</w:t>
            </w:r>
            <w:r>
              <w:rPr>
                <w:rFonts w:hint="eastAsia" w:ascii="Times New Roman" w:hAnsi="Times New Roman" w:cs="Times New Roman"/>
                <w:color w:val="auto"/>
                <w:sz w:val="24"/>
                <w:szCs w:val="32"/>
                <w:highlight w:val="none"/>
                <w:lang w:val="en-US" w:eastAsia="zh-CN"/>
              </w:rPr>
              <w:t>喷粉厚度为100</w:t>
            </w:r>
            <w:r>
              <w:rPr>
                <w:rFonts w:hint="default" w:ascii="Times New Roman" w:hAnsi="Times New Roman" w:cs="Times New Roman"/>
                <w:color w:val="auto"/>
                <w:sz w:val="24"/>
                <w:szCs w:val="32"/>
                <w:highlight w:val="none"/>
                <w:lang w:val="en-US" w:eastAsia="zh-CN"/>
              </w:rPr>
              <w:t>μm</w:t>
            </w:r>
            <w:r>
              <w:rPr>
                <w:rFonts w:hint="eastAsia" w:ascii="Times New Roman" w:hAnsi="Times New Roman" w:cs="Times New Roman"/>
                <w:color w:val="auto"/>
                <w:sz w:val="24"/>
                <w:szCs w:val="32"/>
                <w:highlight w:val="none"/>
                <w:lang w:eastAsia="zh-CN"/>
              </w:rPr>
              <w:t>。</w:t>
            </w:r>
          </w:p>
          <w:p w14:paraId="670D4F1A">
            <w:pPr>
              <w:pageBreakBefore w:val="0"/>
              <w:kinsoku/>
              <w:wordWrap/>
              <w:overflowPunct/>
              <w:topLinePunct w:val="0"/>
              <w:bidi w:val="0"/>
              <w:adjustRightInd/>
              <w:snapToGrid/>
              <w:spacing w:line="360" w:lineRule="auto"/>
              <w:ind w:right="0" w:rightChars="0" w:firstLine="480" w:firstLineChars="200"/>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cs="Times New Roman"/>
                <w:color w:val="auto"/>
                <w:sz w:val="24"/>
                <w:szCs w:val="32"/>
                <w:highlight w:val="none"/>
                <w:lang w:val="en-US" w:eastAsia="zh-CN"/>
              </w:rPr>
              <w:t>③项目金属桥架</w:t>
            </w:r>
            <w:r>
              <w:rPr>
                <w:rFonts w:hint="eastAsia" w:cs="Times New Roman"/>
                <w:color w:val="auto"/>
                <w:sz w:val="24"/>
                <w:szCs w:val="32"/>
                <w:highlight w:val="none"/>
                <w:lang w:val="en-US" w:eastAsia="zh-CN"/>
              </w:rPr>
              <w:t>根据建设单位提供的资料，常规金属桥架为长方体，常规尺寸为L3m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W0.5m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H0.2m，喷涂经喷涂外表面，则单个金属桥架面积约</w:t>
            </w:r>
            <w:r>
              <w:rPr>
                <w:rFonts w:hint="eastAsia" w:cs="Times New Roman"/>
                <w:color w:val="auto"/>
                <w:sz w:val="24"/>
                <w:szCs w:val="32"/>
                <w:highlight w:val="none"/>
                <w:lang w:val="en-US" w:eastAsia="zh-CN"/>
              </w:rPr>
              <w:t>（3m</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0.5m+3</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0.2）</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2=4.2m²，已知单个金属桥架约0.05t，</w:t>
            </w:r>
            <w:r>
              <w:rPr>
                <w:rFonts w:hint="eastAsia" w:ascii="Times New Roman" w:hAnsi="Times New Roman" w:cs="Times New Roman"/>
                <w:color w:val="auto"/>
                <w:sz w:val="24"/>
                <w:szCs w:val="32"/>
                <w:highlight w:val="none"/>
                <w:lang w:val="en-US" w:eastAsia="zh-CN"/>
              </w:rPr>
              <w:t>项目年产400t/a金属桥架，</w:t>
            </w:r>
            <w:r>
              <w:rPr>
                <w:rFonts w:hint="eastAsia" w:cs="Times New Roman"/>
                <w:color w:val="auto"/>
                <w:sz w:val="24"/>
                <w:szCs w:val="32"/>
                <w:highlight w:val="none"/>
                <w:lang w:val="en-US" w:eastAsia="zh-CN"/>
              </w:rPr>
              <w:t>则年产8000个金属桥架，</w:t>
            </w:r>
            <w:r>
              <w:rPr>
                <w:rFonts w:hint="eastAsia" w:ascii="Times New Roman" w:hAnsi="Times New Roman" w:cs="Times New Roman"/>
                <w:color w:val="auto"/>
                <w:sz w:val="24"/>
                <w:szCs w:val="32"/>
                <w:highlight w:val="none"/>
                <w:lang w:val="en-US" w:eastAsia="zh-CN"/>
              </w:rPr>
              <w:t>约为</w:t>
            </w:r>
            <w:r>
              <w:rPr>
                <w:rFonts w:hint="eastAsia" w:cs="Times New Roman"/>
                <w:color w:val="auto"/>
                <w:sz w:val="24"/>
                <w:szCs w:val="32"/>
                <w:highlight w:val="none"/>
                <w:lang w:val="en-US" w:eastAsia="zh-CN"/>
              </w:rPr>
              <w:t>3.36</w:t>
            </w:r>
            <w:r>
              <w:rPr>
                <w:rFonts w:hint="eastAsia" w:ascii="Times New Roman" w:hAnsi="Times New Roman" w:cs="Times New Roman"/>
                <w:color w:val="auto"/>
                <w:sz w:val="24"/>
                <w:szCs w:val="32"/>
                <w:highlight w:val="none"/>
                <w:lang w:val="en-US" w:eastAsia="zh-CN"/>
              </w:rPr>
              <w:t>万</w:t>
            </w:r>
            <w:r>
              <w:rPr>
                <w:rFonts w:hint="eastAsia" w:cs="Times New Roman"/>
                <w:color w:val="auto"/>
                <w:sz w:val="24"/>
                <w:szCs w:val="32"/>
                <w:highlight w:val="none"/>
                <w:lang w:val="en-US" w:eastAsia="zh-CN"/>
              </w:rPr>
              <w:t>m²</w:t>
            </w:r>
            <w:r>
              <w:rPr>
                <w:rFonts w:hint="eastAsia" w:ascii="Times New Roman" w:hAnsi="Times New Roman" w:cs="Times New Roman"/>
                <w:color w:val="auto"/>
                <w:sz w:val="24"/>
                <w:szCs w:val="32"/>
                <w:highlight w:val="none"/>
                <w:lang w:val="en-US" w:eastAsia="zh-CN"/>
              </w:rPr>
              <w:t>，喷粉厚度为</w:t>
            </w:r>
            <w:r>
              <w:rPr>
                <w:rFonts w:hint="eastAsia" w:cs="Times New Roman"/>
                <w:color w:val="auto"/>
                <w:sz w:val="24"/>
                <w:szCs w:val="32"/>
                <w:highlight w:val="none"/>
                <w:lang w:val="en-US" w:eastAsia="zh-CN"/>
              </w:rPr>
              <w:t>80</w:t>
            </w:r>
            <w:r>
              <w:rPr>
                <w:rFonts w:hint="default" w:ascii="Times New Roman" w:hAnsi="Times New Roman" w:cs="Times New Roman"/>
                <w:color w:val="auto"/>
                <w:sz w:val="24"/>
                <w:szCs w:val="32"/>
                <w:highlight w:val="none"/>
                <w:lang w:val="en-US" w:eastAsia="zh-CN"/>
              </w:rPr>
              <w:t>μm</w:t>
            </w:r>
            <w:r>
              <w:rPr>
                <w:rFonts w:hint="eastAsia" w:cs="Times New Roman"/>
                <w:color w:val="auto"/>
                <w:sz w:val="24"/>
                <w:szCs w:val="32"/>
                <w:highlight w:val="none"/>
                <w:lang w:eastAsia="zh-CN"/>
              </w:rPr>
              <w:t>。</w:t>
            </w:r>
          </w:p>
          <w:p w14:paraId="6ECB0C8E">
            <w:pPr>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cs="Times New Roman"/>
                <w:color w:val="auto"/>
                <w:sz w:val="24"/>
                <w:szCs w:val="32"/>
                <w:highlight w:val="none"/>
              </w:rPr>
            </w:pPr>
            <w:r>
              <w:rPr>
                <w:rFonts w:hint="eastAsia" w:ascii="Times New Roman" w:hAnsi="Times New Roman" w:cs="Times New Roman"/>
                <w:color w:val="auto"/>
                <w:sz w:val="24"/>
                <w:szCs w:val="32"/>
                <w:highlight w:val="none"/>
                <w:lang w:val="en-US" w:eastAsia="zh-CN"/>
              </w:rPr>
              <w:t>根据</w:t>
            </w:r>
            <w:r>
              <w:rPr>
                <w:rFonts w:hint="default" w:ascii="Times New Roman" w:hAnsi="Times New Roman" w:cs="Times New Roman"/>
                <w:color w:val="auto"/>
                <w:sz w:val="24"/>
                <w:szCs w:val="32"/>
                <w:highlight w:val="none"/>
                <w:lang w:eastAsia="zh-CN"/>
              </w:rPr>
              <w:t>《喷塑行业污染物源强估算及治理方法探讨》塑粉</w:t>
            </w:r>
            <w:r>
              <w:rPr>
                <w:rFonts w:hint="default" w:ascii="Times New Roman" w:hAnsi="Times New Roman" w:cs="Times New Roman"/>
                <w:color w:val="auto"/>
                <w:sz w:val="24"/>
                <w:szCs w:val="32"/>
                <w:highlight w:val="none"/>
              </w:rPr>
              <w:t>用量采用以下公式计算：</w:t>
            </w:r>
          </w:p>
          <w:p w14:paraId="592CDBD0">
            <w:pPr>
              <w:pStyle w:val="3"/>
              <w:keepNext/>
              <w:keepLines/>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Q=S</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vertAlign w:val="superscript"/>
              </w:rPr>
              <w:t>-6</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sz w:val="24"/>
                <w:szCs w:val="24"/>
                <w:highlight w:val="none"/>
              </w:rPr>
              <w:t>Ρ/Cj/R</w:t>
            </w:r>
          </w:p>
          <w:p w14:paraId="3AC62216">
            <w:pPr>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其中：</w:t>
            </w:r>
            <w:r>
              <w:rPr>
                <w:rFonts w:hint="eastAsia" w:ascii="Times New Roman" w:hAnsi="Times New Roman" w:eastAsia="宋体" w:cs="Times New Roman"/>
                <w:color w:val="auto"/>
                <w:sz w:val="24"/>
                <w:szCs w:val="24"/>
                <w:highlight w:val="none"/>
                <w:lang w:val="en-US" w:eastAsia="zh-CN"/>
              </w:rPr>
              <w:t>Q</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塑粉</w:t>
            </w:r>
            <w:r>
              <w:rPr>
                <w:rFonts w:hint="default" w:ascii="Times New Roman" w:hAnsi="Times New Roman" w:cs="Times New Roman"/>
                <w:color w:val="auto"/>
                <w:sz w:val="24"/>
                <w:szCs w:val="24"/>
                <w:highlight w:val="none"/>
              </w:rPr>
              <w:t>总用量（t/a）；</w:t>
            </w:r>
            <w:r>
              <w:rPr>
                <w:rFonts w:hint="eastAsia" w:ascii="Times New Roman" w:hAnsi="Times New Roman" w:eastAsia="宋体" w:cs="Times New Roman"/>
                <w:color w:val="auto"/>
                <w:sz w:val="24"/>
                <w:szCs w:val="24"/>
                <w:highlight w:val="none"/>
                <w:lang w:val="en-US" w:eastAsia="zh-CN"/>
              </w:rPr>
              <w:t>P</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塑粉</w:t>
            </w:r>
            <w:r>
              <w:rPr>
                <w:rFonts w:hint="default" w:ascii="Times New Roman" w:hAnsi="Times New Roman" w:cs="Times New Roman"/>
                <w:color w:val="auto"/>
                <w:sz w:val="24"/>
                <w:szCs w:val="24"/>
                <w:highlight w:val="none"/>
              </w:rPr>
              <w:t>密度(g/cm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H</w:t>
            </w:r>
            <w:r>
              <w:rPr>
                <w:rFonts w:hint="default" w:ascii="Times New Roman" w:hAnsi="Times New Roman" w:cs="Times New Roman"/>
                <w:color w:val="auto"/>
                <w:sz w:val="24"/>
                <w:szCs w:val="24"/>
                <w:highlight w:val="none"/>
              </w:rPr>
              <w:t>—涂层厚度（um）；s—总面积（m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/年）；Cj</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附着率；R——塑粉回收率。</w:t>
            </w:r>
          </w:p>
          <w:p w14:paraId="12376B4E">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szCs w:val="32"/>
                <w:highlight w:val="none"/>
                <w:lang w:eastAsia="zh-CN"/>
              </w:rPr>
              <w:t>根据《喷塑行业污染物源强估算及治理方法探讨》，喷塑工程中粉末涂料附着率约为使用量的60%~80%，本项目取</w:t>
            </w:r>
            <w:r>
              <w:rPr>
                <w:rFonts w:hint="eastAsia" w:ascii="Times New Roman" w:hAnsi="Times New Roman" w:cs="Times New Roman"/>
                <w:color w:val="auto"/>
                <w:sz w:val="24"/>
                <w:szCs w:val="32"/>
                <w:highlight w:val="none"/>
                <w:lang w:val="en-US" w:eastAsia="zh-CN"/>
              </w:rPr>
              <w:t>70</w:t>
            </w:r>
            <w:r>
              <w:rPr>
                <w:rFonts w:hint="default" w:ascii="Times New Roman" w:hAnsi="Times New Roman" w:cs="Times New Roman"/>
                <w:color w:val="auto"/>
                <w:sz w:val="24"/>
                <w:szCs w:val="32"/>
                <w:highlight w:val="none"/>
                <w:lang w:eastAsia="zh-CN"/>
              </w:rPr>
              <w:t>%。</w:t>
            </w:r>
            <w:r>
              <w:rPr>
                <w:rFonts w:hint="eastAsia" w:ascii="Times New Roman" w:hAnsi="Times New Roman" w:cs="Times New Roman"/>
                <w:color w:val="auto"/>
                <w:sz w:val="24"/>
                <w:szCs w:val="32"/>
                <w:highlight w:val="none"/>
                <w:lang w:val="en-US" w:eastAsia="zh-CN"/>
              </w:rPr>
              <w:t>回收率为9</w:t>
            </w:r>
            <w:r>
              <w:rPr>
                <w:rFonts w:hint="eastAsia" w:cs="Times New Roman"/>
                <w:color w:val="auto"/>
                <w:sz w:val="24"/>
                <w:szCs w:val="32"/>
                <w:highlight w:val="none"/>
                <w:lang w:val="en-US" w:eastAsia="zh-CN"/>
              </w:rPr>
              <w:t>0</w:t>
            </w:r>
            <w:r>
              <w:rPr>
                <w:rFonts w:hint="eastAsia" w:ascii="Times New Roman" w:hAnsi="Times New Roman" w:cs="Times New Roman"/>
                <w:color w:val="auto"/>
                <w:sz w:val="24"/>
                <w:szCs w:val="32"/>
                <w:highlight w:val="none"/>
                <w:lang w:val="en-US" w:eastAsia="zh-CN"/>
              </w:rPr>
              <w:t>%，</w:t>
            </w:r>
            <w:r>
              <w:rPr>
                <w:rFonts w:hint="default" w:ascii="Times New Roman" w:hAnsi="Times New Roman" w:cs="Times New Roman"/>
                <w:color w:val="auto"/>
                <w:sz w:val="24"/>
                <w:szCs w:val="32"/>
                <w:highlight w:val="none"/>
                <w:lang w:eastAsia="zh-CN"/>
              </w:rPr>
              <w:t>则</w:t>
            </w:r>
            <w:r>
              <w:rPr>
                <w:rFonts w:hint="default" w:ascii="Times New Roman" w:hAnsi="Times New Roman" w:cs="Times New Roman"/>
                <w:color w:val="auto"/>
                <w:sz w:val="24"/>
                <w:szCs w:val="32"/>
                <w:highlight w:val="none"/>
              </w:rPr>
              <w:t>本项目</w:t>
            </w:r>
            <w:r>
              <w:rPr>
                <w:rFonts w:hint="default" w:ascii="Times New Roman" w:hAnsi="Times New Roman" w:cs="Times New Roman"/>
                <w:color w:val="auto"/>
                <w:sz w:val="24"/>
                <w:szCs w:val="32"/>
                <w:highlight w:val="none"/>
                <w:lang w:eastAsia="zh-CN"/>
              </w:rPr>
              <w:t>塑粉</w:t>
            </w:r>
            <w:r>
              <w:rPr>
                <w:rFonts w:hint="default" w:ascii="Times New Roman" w:hAnsi="Times New Roman" w:cs="Times New Roman"/>
                <w:color w:val="auto"/>
                <w:sz w:val="24"/>
                <w:szCs w:val="32"/>
                <w:highlight w:val="none"/>
              </w:rPr>
              <w:t>用量及计算结果见下表。</w:t>
            </w:r>
          </w:p>
          <w:p w14:paraId="5F2C8E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b/>
                <w:bCs/>
                <w:color w:val="auto"/>
                <w:sz w:val="24"/>
                <w:szCs w:val="32"/>
                <w:highlight w:val="none"/>
                <w:lang w:val="en-US" w:eastAsia="zh-CN"/>
              </w:rPr>
              <w:t>表2-</w:t>
            </w:r>
            <w:r>
              <w:rPr>
                <w:rFonts w:hint="eastAsia" w:cs="Times New Roman"/>
                <w:b/>
                <w:bCs/>
                <w:color w:val="auto"/>
                <w:sz w:val="24"/>
                <w:szCs w:val="32"/>
                <w:highlight w:val="none"/>
                <w:lang w:val="en-US" w:eastAsia="zh-CN"/>
              </w:rPr>
              <w:t>4</w:t>
            </w:r>
            <w:r>
              <w:rPr>
                <w:rFonts w:hint="eastAsia" w:ascii="Times New Roman" w:hAnsi="Times New Roman" w:eastAsia="宋体" w:cs="Times New Roman"/>
                <w:b/>
                <w:bCs/>
                <w:color w:val="auto"/>
                <w:sz w:val="24"/>
                <w:szCs w:val="32"/>
                <w:highlight w:val="none"/>
                <w:lang w:val="en-US" w:eastAsia="zh-CN"/>
              </w:rPr>
              <w:t xml:space="preserve"> </w:t>
            </w:r>
            <w:r>
              <w:rPr>
                <w:rFonts w:hint="default" w:ascii="Times New Roman" w:hAnsi="Times New Roman" w:eastAsia="宋体" w:cs="Times New Roman"/>
                <w:b/>
                <w:bCs/>
                <w:color w:val="auto"/>
                <w:sz w:val="24"/>
                <w:szCs w:val="32"/>
                <w:highlight w:val="none"/>
                <w:lang w:val="en-US" w:eastAsia="zh-CN"/>
              </w:rPr>
              <w:t>塑粉用量计算一览表</w:t>
            </w:r>
          </w:p>
          <w:tbl>
            <w:tblPr>
              <w:tblStyle w:val="2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4"/>
              <w:gridCol w:w="899"/>
              <w:gridCol w:w="1412"/>
              <w:gridCol w:w="1230"/>
              <w:gridCol w:w="1098"/>
              <w:gridCol w:w="1379"/>
              <w:gridCol w:w="1379"/>
            </w:tblGrid>
            <w:tr w14:paraId="2B18E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pct"/>
                  <w:noWrap w:val="0"/>
                  <w:vAlign w:val="center"/>
                </w:tcPr>
                <w:p w14:paraId="3FFB0A19">
                  <w:pPr>
                    <w:pStyle w:val="41"/>
                    <w:pageBreakBefore w:val="0"/>
                    <w:kinsoku/>
                    <w:wordWrap/>
                    <w:overflowPunct/>
                    <w:topLinePunct w:val="0"/>
                    <w:bidi w:val="0"/>
                    <w:adjustRightInd/>
                    <w:snapToGrid/>
                    <w:spacing w:line="240" w:lineRule="auto"/>
                    <w:ind w:left="0" w:leftChars="0" w:right="0" w:rightChars="0" w:firstLine="0" w:firstLineChars="0"/>
                    <w:jc w:val="center"/>
                    <w:rPr>
                      <w:rFonts w:hint="eastAsia" w:ascii="Times New Roman" w:hAnsi="Times New Roman" w:eastAsia="宋体"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产品</w:t>
                  </w:r>
                </w:p>
              </w:tc>
              <w:tc>
                <w:tcPr>
                  <w:tcW w:w="529" w:type="pct"/>
                  <w:noWrap w:val="0"/>
                  <w:vAlign w:val="center"/>
                </w:tcPr>
                <w:p w14:paraId="73012A1A">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类型</w:t>
                  </w:r>
                </w:p>
              </w:tc>
              <w:tc>
                <w:tcPr>
                  <w:tcW w:w="831" w:type="pct"/>
                  <w:noWrap w:val="0"/>
                  <w:vAlign w:val="center"/>
                </w:tcPr>
                <w:p w14:paraId="3E43BE52">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密度</w:t>
                  </w:r>
                </w:p>
                <w:p w14:paraId="5A4C726D">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（g/cm</w:t>
                  </w:r>
                  <w:r>
                    <w:rPr>
                      <w:rFonts w:hint="default" w:ascii="Times New Roman" w:hAnsi="Times New Roman" w:eastAsia="宋体" w:cs="Times New Roman"/>
                      <w:b w:val="0"/>
                      <w:bCs w:val="0"/>
                      <w:color w:val="auto"/>
                      <w:highlight w:val="none"/>
                      <w:vertAlign w:val="superscript"/>
                    </w:rPr>
                    <w:t>3</w:t>
                  </w:r>
                  <w:r>
                    <w:rPr>
                      <w:rFonts w:hint="default" w:ascii="Times New Roman" w:hAnsi="Times New Roman" w:eastAsia="宋体" w:cs="Times New Roman"/>
                      <w:b w:val="0"/>
                      <w:bCs w:val="0"/>
                      <w:color w:val="auto"/>
                      <w:highlight w:val="none"/>
                    </w:rPr>
                    <w:t>）</w:t>
                  </w:r>
                </w:p>
              </w:tc>
              <w:tc>
                <w:tcPr>
                  <w:tcW w:w="724" w:type="pct"/>
                  <w:noWrap w:val="0"/>
                  <w:vAlign w:val="center"/>
                </w:tcPr>
                <w:p w14:paraId="69FC998F">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涂层厚度</w:t>
                  </w:r>
                </w:p>
                <w:p w14:paraId="686584EB">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u</w:t>
                  </w:r>
                  <w:r>
                    <w:rPr>
                      <w:rFonts w:hint="default" w:ascii="Times New Roman" w:hAnsi="Times New Roman" w:eastAsia="宋体" w:cs="Times New Roman"/>
                      <w:b w:val="0"/>
                      <w:bCs w:val="0"/>
                      <w:color w:val="auto"/>
                      <w:highlight w:val="none"/>
                    </w:rPr>
                    <w:t>m）</w:t>
                  </w:r>
                </w:p>
              </w:tc>
              <w:tc>
                <w:tcPr>
                  <w:tcW w:w="646" w:type="pct"/>
                  <w:noWrap w:val="0"/>
                  <w:vAlign w:val="center"/>
                </w:tcPr>
                <w:p w14:paraId="4762B3ED">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上</w:t>
                  </w:r>
                  <w:r>
                    <w:rPr>
                      <w:rFonts w:hint="default" w:ascii="Times New Roman" w:hAnsi="Times New Roman" w:eastAsia="宋体" w:cs="Times New Roman"/>
                      <w:b w:val="0"/>
                      <w:bCs w:val="0"/>
                      <w:color w:val="auto"/>
                      <w:highlight w:val="none"/>
                      <w:lang w:eastAsia="zh-CN"/>
                    </w:rPr>
                    <w:t>粉</w:t>
                  </w:r>
                  <w:r>
                    <w:rPr>
                      <w:rFonts w:hint="default" w:ascii="Times New Roman" w:hAnsi="Times New Roman" w:eastAsia="宋体" w:cs="Times New Roman"/>
                      <w:b w:val="0"/>
                      <w:bCs w:val="0"/>
                      <w:color w:val="auto"/>
                      <w:highlight w:val="none"/>
                    </w:rPr>
                    <w:t>率</w:t>
                  </w:r>
                </w:p>
                <w:p w14:paraId="7464CA8D">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w:t>
                  </w:r>
                </w:p>
              </w:tc>
              <w:tc>
                <w:tcPr>
                  <w:tcW w:w="812" w:type="pct"/>
                  <w:noWrap w:val="0"/>
                  <w:vAlign w:val="center"/>
                </w:tcPr>
                <w:p w14:paraId="30E376D9">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涂装面积</w:t>
                  </w:r>
                </w:p>
                <w:p w14:paraId="0327E6E4">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（m</w:t>
                  </w:r>
                  <w:r>
                    <w:rPr>
                      <w:rFonts w:hint="default" w:ascii="Times New Roman" w:hAnsi="Times New Roman" w:eastAsia="宋体" w:cs="Times New Roman"/>
                      <w:b w:val="0"/>
                      <w:bCs w:val="0"/>
                      <w:color w:val="auto"/>
                      <w:highlight w:val="none"/>
                      <w:vertAlign w:val="superscript"/>
                    </w:rPr>
                    <w:t>2</w:t>
                  </w:r>
                  <w:r>
                    <w:rPr>
                      <w:rFonts w:hint="default" w:ascii="Times New Roman" w:hAnsi="Times New Roman" w:eastAsia="宋体" w:cs="Times New Roman"/>
                      <w:b w:val="0"/>
                      <w:bCs w:val="0"/>
                      <w:color w:val="auto"/>
                      <w:highlight w:val="none"/>
                    </w:rPr>
                    <w:t>）</w:t>
                  </w:r>
                </w:p>
              </w:tc>
              <w:tc>
                <w:tcPr>
                  <w:tcW w:w="812" w:type="pct"/>
                  <w:noWrap w:val="0"/>
                  <w:vAlign w:val="center"/>
                </w:tcPr>
                <w:p w14:paraId="45874ABB">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塑粉用量</w:t>
                  </w:r>
                  <w:r>
                    <w:rPr>
                      <w:rFonts w:hint="eastAsia" w:cs="Times New Roman"/>
                      <w:b w:val="0"/>
                      <w:bCs w:val="0"/>
                      <w:color w:val="auto"/>
                      <w:highlight w:val="none"/>
                      <w:lang w:val="en-US" w:eastAsia="zh-CN"/>
                    </w:rPr>
                    <w:t>（t/a）</w:t>
                  </w:r>
                </w:p>
              </w:tc>
            </w:tr>
            <w:tr w14:paraId="36D76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pct"/>
                  <w:noWrap w:val="0"/>
                  <w:vAlign w:val="center"/>
                </w:tcPr>
                <w:p w14:paraId="3D8732A0">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金属铝单板</w:t>
                  </w:r>
                </w:p>
              </w:tc>
              <w:tc>
                <w:tcPr>
                  <w:tcW w:w="529" w:type="pct"/>
                  <w:noWrap w:val="0"/>
                  <w:vAlign w:val="center"/>
                </w:tcPr>
                <w:p w14:paraId="307C290F">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塑粉</w:t>
                  </w:r>
                </w:p>
              </w:tc>
              <w:tc>
                <w:tcPr>
                  <w:tcW w:w="831" w:type="pct"/>
                  <w:noWrap w:val="0"/>
                  <w:vAlign w:val="center"/>
                </w:tcPr>
                <w:p w14:paraId="112A2CF8">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1.34</w:t>
                  </w:r>
                </w:p>
              </w:tc>
              <w:tc>
                <w:tcPr>
                  <w:tcW w:w="724" w:type="pct"/>
                  <w:noWrap w:val="0"/>
                  <w:vAlign w:val="center"/>
                </w:tcPr>
                <w:p w14:paraId="3BD53FC1">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80</w:t>
                  </w:r>
                </w:p>
              </w:tc>
              <w:tc>
                <w:tcPr>
                  <w:tcW w:w="646" w:type="pct"/>
                  <w:noWrap w:val="0"/>
                  <w:vAlign w:val="center"/>
                </w:tcPr>
                <w:p w14:paraId="031AAF10">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c>
                <w:tcPr>
                  <w:tcW w:w="812" w:type="pct"/>
                  <w:noWrap w:val="0"/>
                  <w:vAlign w:val="center"/>
                </w:tcPr>
                <w:p w14:paraId="07B22705">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63.7万</w:t>
                  </w:r>
                </w:p>
              </w:tc>
              <w:tc>
                <w:tcPr>
                  <w:tcW w:w="812" w:type="pct"/>
                  <w:noWrap w:val="0"/>
                  <w:vAlign w:val="center"/>
                </w:tcPr>
                <w:p w14:paraId="1155D4F8">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109</w:t>
                  </w:r>
                </w:p>
              </w:tc>
            </w:tr>
            <w:tr w14:paraId="49524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pct"/>
                  <w:noWrap w:val="0"/>
                  <w:vAlign w:val="center"/>
                </w:tcPr>
                <w:p w14:paraId="3A5E7F18">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金属护栏</w:t>
                  </w:r>
                </w:p>
              </w:tc>
              <w:tc>
                <w:tcPr>
                  <w:tcW w:w="529" w:type="pct"/>
                  <w:noWrap w:val="0"/>
                  <w:vAlign w:val="center"/>
                </w:tcPr>
                <w:p w14:paraId="5BE1FC29">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塑粉</w:t>
                  </w:r>
                </w:p>
              </w:tc>
              <w:tc>
                <w:tcPr>
                  <w:tcW w:w="831" w:type="pct"/>
                  <w:noWrap w:val="0"/>
                  <w:vAlign w:val="center"/>
                </w:tcPr>
                <w:p w14:paraId="4E23409C">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1.34</w:t>
                  </w:r>
                </w:p>
              </w:tc>
              <w:tc>
                <w:tcPr>
                  <w:tcW w:w="724" w:type="pct"/>
                  <w:noWrap w:val="0"/>
                  <w:vAlign w:val="center"/>
                </w:tcPr>
                <w:p w14:paraId="060DE2E0">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100</w:t>
                  </w:r>
                </w:p>
              </w:tc>
              <w:tc>
                <w:tcPr>
                  <w:tcW w:w="646" w:type="pct"/>
                  <w:noWrap w:val="0"/>
                  <w:vAlign w:val="center"/>
                </w:tcPr>
                <w:p w14:paraId="3F17CD82">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c>
                <w:tcPr>
                  <w:tcW w:w="812" w:type="pct"/>
                  <w:noWrap w:val="0"/>
                  <w:vAlign w:val="center"/>
                </w:tcPr>
                <w:p w14:paraId="74EE2E92">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15</w:t>
                  </w:r>
                  <w:r>
                    <w:rPr>
                      <w:rFonts w:hint="eastAsia" w:cs="Times New Roman"/>
                      <w:color w:val="auto"/>
                      <w:highlight w:val="none"/>
                      <w:lang w:val="en-US" w:eastAsia="zh-CN"/>
                    </w:rPr>
                    <w:t>万</w:t>
                  </w:r>
                </w:p>
              </w:tc>
              <w:tc>
                <w:tcPr>
                  <w:tcW w:w="812" w:type="pct"/>
                  <w:noWrap w:val="0"/>
                  <w:vAlign w:val="center"/>
                </w:tcPr>
                <w:p w14:paraId="532D4143">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32</w:t>
                  </w:r>
                </w:p>
              </w:tc>
            </w:tr>
            <w:tr w14:paraId="48309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pct"/>
                  <w:noWrap w:val="0"/>
                  <w:vAlign w:val="center"/>
                </w:tcPr>
                <w:p w14:paraId="581A1A6D">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金属桥架</w:t>
                  </w:r>
                </w:p>
              </w:tc>
              <w:tc>
                <w:tcPr>
                  <w:tcW w:w="529" w:type="pct"/>
                  <w:noWrap w:val="0"/>
                  <w:vAlign w:val="center"/>
                </w:tcPr>
                <w:p w14:paraId="02186824">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塑粉</w:t>
                  </w:r>
                </w:p>
              </w:tc>
              <w:tc>
                <w:tcPr>
                  <w:tcW w:w="831" w:type="pct"/>
                  <w:noWrap w:val="0"/>
                  <w:vAlign w:val="center"/>
                </w:tcPr>
                <w:p w14:paraId="61A9FA98">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1.34</w:t>
                  </w:r>
                </w:p>
              </w:tc>
              <w:tc>
                <w:tcPr>
                  <w:tcW w:w="724" w:type="pct"/>
                  <w:noWrap w:val="0"/>
                  <w:vAlign w:val="center"/>
                </w:tcPr>
                <w:p w14:paraId="2E55FB79">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80</w:t>
                  </w:r>
                </w:p>
              </w:tc>
              <w:tc>
                <w:tcPr>
                  <w:tcW w:w="646" w:type="pct"/>
                  <w:noWrap w:val="0"/>
                  <w:vAlign w:val="center"/>
                </w:tcPr>
                <w:p w14:paraId="29000831">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c>
                <w:tcPr>
                  <w:tcW w:w="812" w:type="pct"/>
                  <w:noWrap w:val="0"/>
                  <w:vAlign w:val="center"/>
                </w:tcPr>
                <w:p w14:paraId="41DD6567">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3.36万</w:t>
                  </w:r>
                </w:p>
              </w:tc>
              <w:tc>
                <w:tcPr>
                  <w:tcW w:w="812" w:type="pct"/>
                  <w:noWrap w:val="0"/>
                  <w:vAlign w:val="center"/>
                </w:tcPr>
                <w:p w14:paraId="57D1181E">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5.8</w:t>
                  </w:r>
                </w:p>
              </w:tc>
            </w:tr>
            <w:tr w14:paraId="1B26B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375" w:type="pct"/>
                  <w:gridSpan w:val="5"/>
                  <w:noWrap w:val="0"/>
                  <w:vAlign w:val="center"/>
                </w:tcPr>
                <w:p w14:paraId="5A25AD34">
                  <w:pPr>
                    <w:pStyle w:val="41"/>
                    <w:pageBreakBefore w:val="0"/>
                    <w:kinsoku/>
                    <w:wordWrap/>
                    <w:overflowPunct/>
                    <w:topLinePunct w:val="0"/>
                    <w:bidi w:val="0"/>
                    <w:adjustRightInd/>
                    <w:snapToGrid/>
                    <w:spacing w:line="240" w:lineRule="auto"/>
                    <w:ind w:left="0" w:leftChars="0" w:right="0" w:rightChars="0"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共计</w:t>
                  </w:r>
                </w:p>
              </w:tc>
              <w:tc>
                <w:tcPr>
                  <w:tcW w:w="812" w:type="pct"/>
                  <w:noWrap w:val="0"/>
                  <w:vAlign w:val="center"/>
                </w:tcPr>
                <w:p w14:paraId="5C35CBC2">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82.06万</w:t>
                  </w:r>
                </w:p>
              </w:tc>
              <w:tc>
                <w:tcPr>
                  <w:tcW w:w="812" w:type="pct"/>
                  <w:noWrap w:val="0"/>
                  <w:vAlign w:val="center"/>
                </w:tcPr>
                <w:p w14:paraId="52EB7943">
                  <w:pPr>
                    <w:pStyle w:val="41"/>
                    <w:pageBreakBefore w:val="0"/>
                    <w:kinsoku/>
                    <w:wordWrap/>
                    <w:overflowPunct/>
                    <w:topLinePunct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146.8</w:t>
                  </w:r>
                </w:p>
              </w:tc>
            </w:tr>
          </w:tbl>
          <w:p w14:paraId="29FF78A8">
            <w:pPr>
              <w:pStyle w:val="31"/>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textAlignment w:val="auto"/>
              <w:rPr>
                <w:rFonts w:hint="default" w:ascii="Times New Roman" w:hAnsi="Times New Roman" w:cs="Times New Roman"/>
                <w:color w:val="auto"/>
                <w:sz w:val="24"/>
                <w:szCs w:val="32"/>
                <w:highlight w:val="none"/>
                <w:lang w:val="en-US" w:eastAsia="zh-CN"/>
              </w:rPr>
            </w:pPr>
            <w:r>
              <w:rPr>
                <w:rFonts w:hint="eastAsia" w:cs="Times New Roman"/>
                <w:color w:val="auto"/>
                <w:sz w:val="24"/>
                <w:szCs w:val="32"/>
                <w:highlight w:val="none"/>
                <w:lang w:val="en-US" w:eastAsia="zh-CN"/>
              </w:rPr>
              <w:t>综上，项目</w:t>
            </w:r>
            <w:r>
              <w:rPr>
                <w:rFonts w:hint="default" w:ascii="Times New Roman" w:hAnsi="Times New Roman" w:cs="Times New Roman"/>
                <w:color w:val="auto"/>
                <w:sz w:val="24"/>
                <w:szCs w:val="24"/>
                <w:highlight w:val="none"/>
                <w:lang w:val="en-US" w:eastAsia="zh-CN"/>
              </w:rPr>
              <w:t>塑粉用量约</w:t>
            </w:r>
            <w:r>
              <w:rPr>
                <w:rFonts w:hint="eastAsia" w:ascii="Times New Roman" w:hAnsi="Times New Roman" w:cs="Times New Roman"/>
                <w:color w:val="auto"/>
                <w:sz w:val="24"/>
                <w:szCs w:val="24"/>
                <w:highlight w:val="none"/>
                <w:lang w:val="en-US" w:eastAsia="zh-CN"/>
              </w:rPr>
              <w:t>146.8</w:t>
            </w:r>
            <w:r>
              <w:rPr>
                <w:rFonts w:hint="default" w:ascii="Times New Roman" w:hAnsi="Times New Roman" w:cs="Times New Roman"/>
                <w:color w:val="auto"/>
                <w:sz w:val="24"/>
                <w:szCs w:val="24"/>
                <w:highlight w:val="none"/>
                <w:lang w:val="en-US" w:eastAsia="zh-CN"/>
              </w:rPr>
              <w:t>t/a。</w:t>
            </w:r>
          </w:p>
          <w:p w14:paraId="2058736E">
            <w:pPr>
              <w:numPr>
                <w:ilvl w:val="0"/>
                <w:numId w:val="0"/>
              </w:numPr>
              <w:kinsoku/>
              <w:adjustRightInd/>
              <w:snapToGrid/>
              <w:spacing w:line="360" w:lineRule="auto"/>
              <w:rPr>
                <w:rFonts w:hint="default" w:ascii="Times New Roman" w:hAnsi="Times New Roman" w:cs="Times New Roman"/>
                <w:color w:val="auto"/>
                <w:sz w:val="24"/>
                <w:szCs w:val="32"/>
                <w:highlight w:val="none"/>
                <w:lang w:val="en-US" w:eastAsia="zh-CN"/>
              </w:rPr>
            </w:pPr>
            <w:r>
              <w:rPr>
                <w:rFonts w:hint="eastAsia" w:ascii="Times New Roman" w:hAnsi="Times New Roman" w:cs="Times New Roman"/>
                <w:color w:val="auto"/>
                <w:sz w:val="24"/>
                <w:szCs w:val="32"/>
                <w:highlight w:val="none"/>
                <w:lang w:val="en-US" w:eastAsia="zh-CN"/>
              </w:rPr>
              <w:t>（2）</w:t>
            </w:r>
            <w:r>
              <w:rPr>
                <w:rFonts w:hint="eastAsia" w:cs="Times New Roman"/>
                <w:color w:val="auto"/>
                <w:sz w:val="24"/>
                <w:szCs w:val="32"/>
                <w:highlight w:val="none"/>
                <w:lang w:val="en-US" w:eastAsia="zh-CN"/>
              </w:rPr>
              <w:t>水性</w:t>
            </w:r>
            <w:r>
              <w:rPr>
                <w:rFonts w:hint="eastAsia" w:ascii="Times New Roman" w:hAnsi="Times New Roman" w:cs="Times New Roman"/>
                <w:color w:val="auto"/>
                <w:sz w:val="24"/>
                <w:szCs w:val="32"/>
                <w:highlight w:val="none"/>
                <w:lang w:val="en-US" w:eastAsia="zh-CN"/>
              </w:rPr>
              <w:t>漆用量</w:t>
            </w:r>
          </w:p>
          <w:p w14:paraId="63256E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highlight w:val="none"/>
                <w:lang w:val="en-US" w:eastAsia="zh-CN"/>
              </w:rPr>
            </w:pPr>
            <w:r>
              <w:rPr>
                <w:rFonts w:hint="eastAsia" w:cs="Times New Roman"/>
                <w:bCs/>
                <w:color w:val="auto"/>
                <w:kern w:val="2"/>
                <w:sz w:val="24"/>
                <w:szCs w:val="24"/>
                <w:highlight w:val="none"/>
                <w:lang w:val="en-US" w:eastAsia="zh-CN" w:bidi="ar-SA"/>
              </w:rPr>
              <w:t>项目喷漆铝板年产4681张，</w:t>
            </w:r>
            <w:r>
              <w:rPr>
                <w:rFonts w:hint="eastAsia" w:cs="Times New Roman"/>
                <w:color w:val="auto"/>
                <w:sz w:val="24"/>
                <w:szCs w:val="32"/>
                <w:highlight w:val="none"/>
                <w:lang w:val="en-US" w:eastAsia="zh-CN"/>
              </w:rPr>
              <w:t>铝单板尺寸为</w:t>
            </w:r>
            <w:r>
              <w:rPr>
                <w:rFonts w:hint="default" w:ascii="Times New Roman" w:hAnsi="Times New Roman" w:cs="Times New Roman"/>
                <w:bCs/>
                <w:color w:val="auto"/>
                <w:sz w:val="24"/>
                <w:szCs w:val="24"/>
                <w:highlight w:val="none"/>
                <w:vertAlign w:val="baseline"/>
                <w:lang w:val="en-US" w:eastAsia="zh-CN"/>
              </w:rPr>
              <w:t>L6m×W2m×H0.0015-0.003m，</w:t>
            </w:r>
            <w:r>
              <w:rPr>
                <w:rFonts w:hint="eastAsia" w:ascii="Times New Roman" w:hAnsi="Times New Roman" w:cs="Times New Roman"/>
                <w:bCs/>
                <w:color w:val="auto"/>
                <w:sz w:val="24"/>
                <w:szCs w:val="24"/>
                <w:highlight w:val="none"/>
                <w:vertAlign w:val="baseline"/>
                <w:lang w:val="en-US" w:eastAsia="zh-CN"/>
              </w:rPr>
              <w:t>本次</w:t>
            </w:r>
            <w:r>
              <w:rPr>
                <w:rFonts w:hint="eastAsia" w:cs="Times New Roman"/>
                <w:bCs/>
                <w:color w:val="auto"/>
                <w:sz w:val="24"/>
                <w:szCs w:val="24"/>
                <w:highlight w:val="none"/>
                <w:vertAlign w:val="baseline"/>
                <w:lang w:val="en-US" w:eastAsia="zh-CN"/>
              </w:rPr>
              <w:t>根据企业订单最大量考虑，</w:t>
            </w:r>
            <w:r>
              <w:rPr>
                <w:rFonts w:hint="eastAsia" w:ascii="Times New Roman" w:hAnsi="Times New Roman" w:cs="Times New Roman"/>
                <w:bCs/>
                <w:color w:val="auto"/>
                <w:sz w:val="24"/>
                <w:szCs w:val="24"/>
                <w:highlight w:val="none"/>
                <w:vertAlign w:val="baseline"/>
                <w:lang w:val="en-US" w:eastAsia="zh-CN"/>
              </w:rPr>
              <w:t>以尺寸</w:t>
            </w:r>
            <w:r>
              <w:rPr>
                <w:rFonts w:hint="default" w:ascii="Times New Roman" w:hAnsi="Times New Roman" w:cs="Times New Roman"/>
                <w:bCs/>
                <w:color w:val="auto"/>
                <w:sz w:val="24"/>
                <w:szCs w:val="24"/>
                <w:highlight w:val="none"/>
                <w:vertAlign w:val="baseline"/>
                <w:lang w:val="en-US" w:eastAsia="zh-CN"/>
              </w:rPr>
              <w:t>L6m×W2m×H0.003m</w:t>
            </w:r>
            <w:r>
              <w:rPr>
                <w:rFonts w:hint="eastAsia" w:ascii="Times New Roman" w:hAnsi="Times New Roman" w:cs="Times New Roman"/>
                <w:bCs/>
                <w:color w:val="auto"/>
                <w:sz w:val="24"/>
                <w:szCs w:val="24"/>
                <w:highlight w:val="none"/>
                <w:vertAlign w:val="baseline"/>
                <w:lang w:val="en-US" w:eastAsia="zh-CN"/>
              </w:rPr>
              <w:t>为例，单个铝板面积为</w:t>
            </w:r>
            <w:r>
              <w:rPr>
                <w:rFonts w:hint="default" w:ascii="Times New Roman" w:hAnsi="Times New Roman" w:cs="Times New Roman"/>
                <w:bCs/>
                <w:color w:val="auto"/>
                <w:sz w:val="24"/>
                <w:szCs w:val="24"/>
                <w:highlight w:val="none"/>
                <w:vertAlign w:val="baseline"/>
                <w:lang w:val="en-US" w:eastAsia="zh-CN"/>
              </w:rPr>
              <w:t>6m×2m×</w:t>
            </w:r>
            <w:r>
              <w:rPr>
                <w:rFonts w:hint="eastAsia" w:ascii="Times New Roman" w:hAnsi="Times New Roman" w:cs="Times New Roman"/>
                <w:bCs/>
                <w:color w:val="auto"/>
                <w:sz w:val="24"/>
                <w:szCs w:val="24"/>
                <w:highlight w:val="none"/>
                <w:vertAlign w:val="baseline"/>
                <w:lang w:val="en-US" w:eastAsia="zh-CN"/>
              </w:rPr>
              <w:t>2=24m²，</w:t>
            </w:r>
            <w:r>
              <w:rPr>
                <w:rFonts w:hint="eastAsia" w:ascii="Times New Roman" w:hAnsi="Times New Roman" w:cs="Times New Roman"/>
                <w:color w:val="auto"/>
                <w:sz w:val="24"/>
                <w:szCs w:val="32"/>
                <w:highlight w:val="none"/>
                <w:lang w:val="en-US" w:eastAsia="zh-CN"/>
              </w:rPr>
              <w:t>经计算喷漆面积约</w:t>
            </w:r>
            <w:r>
              <w:rPr>
                <w:rFonts w:hint="eastAsia" w:cs="Times New Roman"/>
                <w:color w:val="auto"/>
                <w:sz w:val="24"/>
                <w:szCs w:val="32"/>
                <w:highlight w:val="none"/>
                <w:lang w:val="en-US" w:eastAsia="zh-CN"/>
              </w:rPr>
              <w:t>11.23万</w:t>
            </w:r>
            <w:r>
              <w:rPr>
                <w:rFonts w:hint="eastAsia" w:ascii="Times New Roman" w:hAnsi="Times New Roman" w:cs="Times New Roman"/>
                <w:color w:val="auto"/>
                <w:sz w:val="24"/>
                <w:szCs w:val="32"/>
                <w:highlight w:val="none"/>
                <w:lang w:val="en-US" w:eastAsia="zh-CN"/>
              </w:rPr>
              <w:t>m²。</w:t>
            </w:r>
          </w:p>
          <w:p w14:paraId="612A8F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4"/>
                <w:sz w:val="24"/>
                <w:szCs w:val="20"/>
                <w:highlight w:val="none"/>
                <w:lang w:val="en-US" w:eastAsia="zh-CN" w:bidi="ar-SA"/>
              </w:rPr>
            </w:pPr>
            <w:r>
              <w:rPr>
                <w:rFonts w:hint="eastAsia" w:cs="Times New Roman"/>
                <w:bCs/>
                <w:color w:val="auto"/>
                <w:kern w:val="2"/>
                <w:sz w:val="24"/>
                <w:szCs w:val="24"/>
                <w:highlight w:val="none"/>
                <w:lang w:val="en-US" w:eastAsia="zh-CN" w:bidi="ar-SA"/>
              </w:rPr>
              <w:t>铝板表面喷涂2种不同的漆料，分别为水性底漆和水性面漆，各喷一遍，</w:t>
            </w:r>
            <w:r>
              <w:rPr>
                <w:rFonts w:hint="eastAsia" w:ascii="Times New Roman" w:hAnsi="Times New Roman" w:eastAsia="宋体" w:cs="Times New Roman"/>
                <w:color w:val="auto"/>
                <w:kern w:val="24"/>
                <w:sz w:val="24"/>
                <w:szCs w:val="20"/>
                <w:highlight w:val="none"/>
                <w:lang w:val="en-US" w:eastAsia="zh-CN" w:bidi="ar-SA"/>
              </w:rPr>
              <w:t>根据企业提供的资料，构件喷涂厚度约在</w:t>
            </w:r>
            <w:r>
              <w:rPr>
                <w:rFonts w:hint="eastAsia" w:cs="Times New Roman"/>
                <w:color w:val="auto"/>
                <w:kern w:val="24"/>
                <w:sz w:val="24"/>
                <w:szCs w:val="20"/>
                <w:highlight w:val="none"/>
                <w:lang w:val="en-US" w:eastAsia="zh-CN" w:bidi="ar-SA"/>
              </w:rPr>
              <w:t>60-80</w:t>
            </w:r>
            <w:r>
              <w:rPr>
                <w:rFonts w:hint="default" w:ascii="Times New Roman" w:hAnsi="Times New Roman" w:cs="Times New Roman"/>
                <w:color w:val="auto"/>
                <w:sz w:val="24"/>
                <w:szCs w:val="32"/>
                <w:highlight w:val="none"/>
                <w:lang w:val="en-US" w:eastAsia="zh-CN"/>
              </w:rPr>
              <w:t>μm</w:t>
            </w:r>
            <w:r>
              <w:rPr>
                <w:rFonts w:hint="eastAsia" w:ascii="Times New Roman" w:hAnsi="Times New Roman" w:eastAsia="宋体" w:cs="Times New Roman"/>
                <w:color w:val="auto"/>
                <w:kern w:val="24"/>
                <w:sz w:val="24"/>
                <w:szCs w:val="20"/>
                <w:highlight w:val="none"/>
                <w:lang w:val="en-US" w:eastAsia="zh-CN" w:bidi="ar-SA"/>
              </w:rPr>
              <w:t>，本次根据企业信息按照本次根据企业实际生产经验，以企业</w:t>
            </w:r>
            <w:r>
              <w:rPr>
                <w:rFonts w:hint="eastAsia" w:cs="Times New Roman"/>
                <w:color w:val="auto"/>
                <w:kern w:val="24"/>
                <w:sz w:val="24"/>
                <w:szCs w:val="20"/>
                <w:highlight w:val="none"/>
                <w:lang w:val="en-US" w:eastAsia="zh-CN" w:bidi="ar-SA"/>
              </w:rPr>
              <w:t>取80</w:t>
            </w:r>
            <w:r>
              <w:rPr>
                <w:rFonts w:hint="default" w:ascii="Times New Roman" w:hAnsi="Times New Roman" w:cs="Times New Roman"/>
                <w:color w:val="auto"/>
                <w:sz w:val="24"/>
                <w:szCs w:val="32"/>
                <w:highlight w:val="none"/>
                <w:lang w:val="en-US" w:eastAsia="zh-CN"/>
              </w:rPr>
              <w:t>μm</w:t>
            </w:r>
            <w:r>
              <w:rPr>
                <w:rFonts w:hint="eastAsia" w:cs="Times New Roman"/>
                <w:color w:val="auto"/>
                <w:kern w:val="24"/>
                <w:sz w:val="24"/>
                <w:szCs w:val="20"/>
                <w:highlight w:val="none"/>
                <w:lang w:val="en-US" w:eastAsia="zh-CN" w:bidi="ar-SA"/>
              </w:rPr>
              <w:t>计。</w:t>
            </w:r>
          </w:p>
          <w:p w14:paraId="18BF37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4"/>
                <w:sz w:val="24"/>
                <w:szCs w:val="20"/>
                <w:highlight w:val="none"/>
                <w:lang w:val="en-US" w:eastAsia="zh-CN" w:bidi="ar-SA"/>
              </w:rPr>
            </w:pPr>
            <w:r>
              <w:rPr>
                <w:rFonts w:hint="eastAsia" w:ascii="Times New Roman" w:hAnsi="Times New Roman" w:eastAsia="宋体" w:cs="Times New Roman"/>
                <w:color w:val="auto"/>
                <w:kern w:val="24"/>
                <w:sz w:val="24"/>
                <w:szCs w:val="20"/>
                <w:highlight w:val="none"/>
                <w:lang w:val="en-US" w:eastAsia="zh-CN" w:bidi="ar-SA"/>
              </w:rPr>
              <w:t>油性漆用量采用以下公式计算：</w:t>
            </w:r>
          </w:p>
          <w:p w14:paraId="07A1531D">
            <w:pPr>
              <w:ind w:firstLine="480"/>
              <w:jc w:val="center"/>
              <w:rPr>
                <w:color w:val="auto"/>
                <w:highlight w:val="none"/>
              </w:rPr>
            </w:pPr>
            <w:r>
              <w:rPr>
                <w:color w:val="auto"/>
                <w:highlight w:val="none"/>
              </w:rPr>
              <w:drawing>
                <wp:inline distT="0" distB="0" distL="114300" distR="114300">
                  <wp:extent cx="1600200" cy="227965"/>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0"/>
                          <a:stretch>
                            <a:fillRect/>
                          </a:stretch>
                        </pic:blipFill>
                        <pic:spPr>
                          <a:xfrm>
                            <a:off x="0" y="0"/>
                            <a:ext cx="1600200" cy="227965"/>
                          </a:xfrm>
                          <a:prstGeom prst="rect">
                            <a:avLst/>
                          </a:prstGeom>
                          <a:noFill/>
                          <a:ln>
                            <a:noFill/>
                          </a:ln>
                        </pic:spPr>
                      </pic:pic>
                    </a:graphicData>
                  </a:graphic>
                </wp:inline>
              </w:drawing>
            </w:r>
          </w:p>
          <w:p w14:paraId="597F5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4"/>
                <w:sz w:val="24"/>
                <w:szCs w:val="20"/>
                <w:highlight w:val="none"/>
                <w:lang w:val="en-US" w:eastAsia="zh-CN" w:bidi="ar-SA"/>
              </w:rPr>
            </w:pPr>
            <w:r>
              <w:rPr>
                <w:rFonts w:hint="eastAsia" w:ascii="Times New Roman" w:hAnsi="Times New Roman" w:eastAsia="宋体" w:cs="Times New Roman"/>
                <w:color w:val="auto"/>
                <w:kern w:val="24"/>
                <w:sz w:val="24"/>
                <w:szCs w:val="20"/>
                <w:highlight w:val="none"/>
                <w:lang w:val="en-US" w:eastAsia="zh-CN" w:bidi="ar-SA"/>
              </w:rPr>
              <w:t>其中：m—油漆总用量（t/a）；</w:t>
            </w:r>
          </w:p>
          <w:p w14:paraId="5B554B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4"/>
                <w:sz w:val="24"/>
                <w:szCs w:val="20"/>
                <w:highlight w:val="none"/>
                <w:lang w:val="en-US" w:eastAsia="zh-CN" w:bidi="ar-SA"/>
              </w:rPr>
            </w:pPr>
            <w:r>
              <w:rPr>
                <w:rFonts w:hint="eastAsia" w:ascii="Times New Roman" w:hAnsi="Times New Roman" w:eastAsia="宋体" w:cs="Times New Roman"/>
                <w:color w:val="auto"/>
                <w:kern w:val="24"/>
                <w:sz w:val="24"/>
                <w:szCs w:val="20"/>
                <w:highlight w:val="none"/>
                <w:lang w:val="en-US" w:eastAsia="zh-CN" w:bidi="ar-SA"/>
              </w:rPr>
              <w:t>ρ—油漆密度(g/cm³)；</w:t>
            </w:r>
          </w:p>
          <w:p w14:paraId="7FFF21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4"/>
                <w:sz w:val="24"/>
                <w:szCs w:val="20"/>
                <w:highlight w:val="none"/>
                <w:lang w:val="en-US" w:eastAsia="zh-CN" w:bidi="ar-SA"/>
              </w:rPr>
            </w:pPr>
            <w:r>
              <w:rPr>
                <w:rFonts w:hint="eastAsia" w:ascii="Times New Roman" w:hAnsi="Times New Roman" w:eastAsia="宋体" w:cs="Times New Roman"/>
                <w:color w:val="auto"/>
                <w:kern w:val="24"/>
                <w:sz w:val="24"/>
                <w:szCs w:val="20"/>
                <w:highlight w:val="none"/>
                <w:lang w:val="en-US" w:eastAsia="zh-CN" w:bidi="ar-SA"/>
              </w:rPr>
              <w:t>δ—涂层厚度（μm）；</w:t>
            </w:r>
          </w:p>
          <w:p w14:paraId="3580E6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4"/>
                <w:sz w:val="24"/>
                <w:szCs w:val="20"/>
                <w:highlight w:val="none"/>
                <w:lang w:val="en-US" w:eastAsia="zh-CN" w:bidi="ar-SA"/>
              </w:rPr>
            </w:pPr>
            <w:r>
              <w:rPr>
                <w:rFonts w:hint="eastAsia" w:ascii="Times New Roman" w:hAnsi="Times New Roman" w:eastAsia="宋体" w:cs="Times New Roman"/>
                <w:color w:val="auto"/>
                <w:kern w:val="24"/>
                <w:sz w:val="24"/>
                <w:szCs w:val="20"/>
                <w:highlight w:val="none"/>
                <w:lang w:val="en-US" w:eastAsia="zh-CN" w:bidi="ar-SA"/>
              </w:rPr>
              <w:t>s—涂装总面积（m²/年）；</w:t>
            </w:r>
          </w:p>
          <w:p w14:paraId="35A989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4"/>
                <w:sz w:val="24"/>
                <w:szCs w:val="20"/>
                <w:highlight w:val="none"/>
                <w:lang w:val="en-US" w:eastAsia="zh-CN" w:bidi="ar-SA"/>
              </w:rPr>
            </w:pPr>
            <w:r>
              <w:rPr>
                <w:rFonts w:hint="eastAsia" w:ascii="Times New Roman" w:hAnsi="Times New Roman" w:eastAsia="宋体" w:cs="Times New Roman"/>
                <w:color w:val="auto"/>
                <w:kern w:val="24"/>
                <w:sz w:val="24"/>
                <w:szCs w:val="20"/>
                <w:highlight w:val="none"/>
                <w:lang w:val="en-US" w:eastAsia="zh-CN" w:bidi="ar-SA"/>
              </w:rPr>
              <w:t>NV—油漆中（已配好）的体积固体份（%）；</w:t>
            </w:r>
          </w:p>
          <w:p w14:paraId="22CAFB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4"/>
                <w:sz w:val="24"/>
                <w:szCs w:val="20"/>
                <w:highlight w:val="none"/>
                <w:lang w:val="en-US" w:eastAsia="zh-CN" w:bidi="ar-SA"/>
              </w:rPr>
            </w:pPr>
            <w:r>
              <w:rPr>
                <w:rFonts w:hint="eastAsia" w:ascii="Times New Roman" w:hAnsi="Times New Roman" w:eastAsia="宋体" w:cs="Times New Roman"/>
                <w:color w:val="auto"/>
                <w:kern w:val="24"/>
                <w:sz w:val="24"/>
                <w:szCs w:val="20"/>
                <w:highlight w:val="none"/>
                <w:lang w:val="en-US" w:eastAsia="zh-CN" w:bidi="ar-SA"/>
              </w:rPr>
              <w:t>ε：—上漆率，类比同类行业，油漆上漆率均在60%~80%，本项目</w:t>
            </w:r>
            <w:r>
              <w:rPr>
                <w:rFonts w:hint="eastAsia" w:cs="Times New Roman"/>
                <w:color w:val="auto"/>
                <w:kern w:val="24"/>
                <w:sz w:val="24"/>
                <w:szCs w:val="20"/>
                <w:highlight w:val="none"/>
                <w:lang w:val="en-US" w:eastAsia="zh-CN" w:bidi="ar-SA"/>
              </w:rPr>
              <w:t>喷漆通过人工手持喷枪喷涂，</w:t>
            </w:r>
            <w:r>
              <w:rPr>
                <w:rFonts w:hint="eastAsia" w:ascii="Times New Roman" w:hAnsi="Times New Roman" w:eastAsia="宋体" w:cs="Times New Roman"/>
                <w:color w:val="auto"/>
                <w:kern w:val="24"/>
                <w:sz w:val="24"/>
                <w:szCs w:val="20"/>
                <w:highlight w:val="none"/>
                <w:lang w:val="en-US" w:eastAsia="zh-CN" w:bidi="ar-SA"/>
              </w:rPr>
              <w:t>油漆上漆率采用</w:t>
            </w:r>
            <w:r>
              <w:rPr>
                <w:rFonts w:hint="eastAsia" w:cs="Times New Roman"/>
                <w:color w:val="auto"/>
                <w:kern w:val="24"/>
                <w:sz w:val="24"/>
                <w:szCs w:val="20"/>
                <w:highlight w:val="none"/>
                <w:lang w:val="en-US" w:eastAsia="zh-CN" w:bidi="ar-SA"/>
              </w:rPr>
              <w:t>60</w:t>
            </w:r>
            <w:r>
              <w:rPr>
                <w:rFonts w:hint="eastAsia" w:ascii="Times New Roman" w:hAnsi="Times New Roman" w:eastAsia="宋体" w:cs="Times New Roman"/>
                <w:color w:val="auto"/>
                <w:kern w:val="24"/>
                <w:sz w:val="24"/>
                <w:szCs w:val="20"/>
                <w:highlight w:val="none"/>
                <w:lang w:val="en-US" w:eastAsia="zh-CN" w:bidi="ar-SA"/>
              </w:rPr>
              <w:t>%计。</w:t>
            </w:r>
          </w:p>
          <w:p w14:paraId="0493CA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eastAsia="宋体" w:cs="Times New Roman"/>
                <w:color w:val="auto"/>
                <w:kern w:val="24"/>
                <w:sz w:val="24"/>
                <w:szCs w:val="20"/>
                <w:highlight w:val="none"/>
                <w:lang w:val="en-US" w:eastAsia="zh-CN" w:bidi="ar-SA"/>
              </w:rPr>
              <w:t>本项目产品喷涂一遍底漆、一遍面漆。根据建设单位提供的油漆检测报告，本项目</w:t>
            </w:r>
            <w:r>
              <w:rPr>
                <w:rFonts w:hint="eastAsia" w:cs="Times New Roman"/>
                <w:color w:val="auto"/>
                <w:kern w:val="24"/>
                <w:sz w:val="24"/>
                <w:szCs w:val="20"/>
                <w:highlight w:val="none"/>
                <w:lang w:val="en-US" w:eastAsia="zh-CN" w:bidi="ar-SA"/>
              </w:rPr>
              <w:t>水性漆</w:t>
            </w:r>
            <w:r>
              <w:rPr>
                <w:rFonts w:hint="eastAsia" w:ascii="Times New Roman" w:hAnsi="Times New Roman" w:eastAsia="宋体" w:cs="Times New Roman"/>
                <w:color w:val="auto"/>
                <w:kern w:val="24"/>
                <w:sz w:val="24"/>
                <w:szCs w:val="20"/>
                <w:highlight w:val="none"/>
                <w:lang w:val="en-US" w:eastAsia="zh-CN" w:bidi="ar-SA"/>
              </w:rPr>
              <w:t>用量及计算结果见下表。</w:t>
            </w:r>
          </w:p>
          <w:p w14:paraId="7B565E44">
            <w:pPr>
              <w:pStyle w:val="60"/>
              <w:pageBreakBefore w:val="0"/>
              <w:wordWrap/>
              <w:overflowPunct/>
              <w:topLinePunct w:val="0"/>
              <w:bidi w:val="0"/>
              <w:adjustRightInd/>
              <w:snapToGrid/>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w:t>
            </w:r>
            <w:r>
              <w:rPr>
                <w:rFonts w:hint="eastAsia" w:ascii="Times New Roman" w:hAnsi="Times New Roman" w:eastAsia="宋体" w:cs="Times New Roman"/>
                <w:color w:val="auto"/>
                <w:sz w:val="24"/>
                <w:szCs w:val="24"/>
                <w:highlight w:val="none"/>
                <w:lang w:val="en-US" w:eastAsia="zh-CN"/>
              </w:rPr>
              <w:t>2-5</w:t>
            </w:r>
            <w:r>
              <w:rPr>
                <w:rFonts w:hint="default" w:ascii="Times New Roman" w:hAnsi="Times New Roman" w:cs="Times New Roman"/>
                <w:color w:val="auto"/>
                <w:sz w:val="24"/>
                <w:szCs w:val="24"/>
                <w:highlight w:val="none"/>
              </w:rPr>
              <w:t xml:space="preserve"> 油漆用量计算一览表</w:t>
            </w:r>
          </w:p>
          <w:tbl>
            <w:tblPr>
              <w:tblStyle w:val="26"/>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696"/>
              <w:gridCol w:w="661"/>
              <w:gridCol w:w="1139"/>
              <w:gridCol w:w="1069"/>
              <w:gridCol w:w="659"/>
              <w:gridCol w:w="960"/>
              <w:gridCol w:w="864"/>
              <w:gridCol w:w="1056"/>
              <w:gridCol w:w="781"/>
            </w:tblGrid>
            <w:tr w14:paraId="0DCF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Align w:val="center"/>
                </w:tcPr>
                <w:p w14:paraId="7F20136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喷漆构件</w:t>
                  </w:r>
                </w:p>
              </w:tc>
              <w:tc>
                <w:tcPr>
                  <w:tcW w:w="406" w:type="pct"/>
                  <w:vAlign w:val="center"/>
                </w:tcPr>
                <w:p w14:paraId="326017A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漆料</w:t>
                  </w:r>
                </w:p>
              </w:tc>
              <w:tc>
                <w:tcPr>
                  <w:tcW w:w="386" w:type="pct"/>
                  <w:vAlign w:val="center"/>
                </w:tcPr>
                <w:p w14:paraId="1151D6BA">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类型</w:t>
                  </w:r>
                </w:p>
              </w:tc>
              <w:tc>
                <w:tcPr>
                  <w:tcW w:w="665" w:type="pct"/>
                  <w:vAlign w:val="center"/>
                </w:tcPr>
                <w:p w14:paraId="0BCECACD">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油漆密度（</w:t>
                  </w:r>
                  <w:r>
                    <w:rPr>
                      <w:rFonts w:hint="default" w:ascii="Times New Roman" w:hAnsi="Times New Roman" w:eastAsia="宋体" w:cs="Times New Roman"/>
                      <w:color w:val="auto"/>
                      <w:kern w:val="24"/>
                      <w:sz w:val="21"/>
                      <w:szCs w:val="16"/>
                      <w:highlight w:val="none"/>
                      <w:lang w:val="en-US" w:eastAsia="zh-CN" w:bidi="ar-SA"/>
                    </w:rPr>
                    <w:t>g/cm³</w:t>
                  </w:r>
                  <w:r>
                    <w:rPr>
                      <w:rFonts w:hint="default" w:ascii="Times New Roman" w:hAnsi="Times New Roman" w:cs="Times New Roman"/>
                      <w:color w:val="auto"/>
                      <w:highlight w:val="none"/>
                    </w:rPr>
                    <w:t>）</w:t>
                  </w:r>
                </w:p>
              </w:tc>
              <w:tc>
                <w:tcPr>
                  <w:tcW w:w="624" w:type="pct"/>
                  <w:vAlign w:val="center"/>
                </w:tcPr>
                <w:p w14:paraId="38B5EC8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涂层厚度</w:t>
                  </w:r>
                </w:p>
                <w:p w14:paraId="1798FCB2">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（μ</w:t>
                  </w:r>
                  <w:r>
                    <w:rPr>
                      <w:rFonts w:hint="default" w:ascii="Times New Roman" w:hAnsi="Times New Roman" w:cs="Times New Roman"/>
                      <w:color w:val="auto"/>
                      <w:highlight w:val="none"/>
                      <w:lang w:val="zh-CN"/>
                    </w:rPr>
                    <w:t>m</w:t>
                  </w:r>
                  <w:r>
                    <w:rPr>
                      <w:rFonts w:hint="default" w:ascii="Times New Roman" w:hAnsi="Times New Roman" w:cs="Times New Roman"/>
                      <w:color w:val="auto"/>
                      <w:highlight w:val="none"/>
                    </w:rPr>
                    <w:t>）</w:t>
                  </w:r>
                </w:p>
              </w:tc>
              <w:tc>
                <w:tcPr>
                  <w:tcW w:w="385" w:type="pct"/>
                  <w:vAlign w:val="center"/>
                </w:tcPr>
                <w:p w14:paraId="5F1B269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喷涂遍数</w:t>
                  </w:r>
                </w:p>
              </w:tc>
              <w:tc>
                <w:tcPr>
                  <w:tcW w:w="560" w:type="pct"/>
                  <w:vAlign w:val="center"/>
                </w:tcPr>
                <w:p w14:paraId="550C9E4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油漆中的固体份（%）</w:t>
                  </w:r>
                </w:p>
              </w:tc>
              <w:tc>
                <w:tcPr>
                  <w:tcW w:w="504" w:type="pct"/>
                  <w:vAlign w:val="center"/>
                </w:tcPr>
                <w:p w14:paraId="4351CA02">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上漆率（%）</w:t>
                  </w:r>
                </w:p>
              </w:tc>
              <w:tc>
                <w:tcPr>
                  <w:tcW w:w="616" w:type="pct"/>
                  <w:vAlign w:val="center"/>
                </w:tcPr>
                <w:p w14:paraId="0CCBB1D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涂装面积（m²）</w:t>
                  </w:r>
                </w:p>
              </w:tc>
              <w:tc>
                <w:tcPr>
                  <w:tcW w:w="456" w:type="pct"/>
                  <w:vAlign w:val="center"/>
                </w:tcPr>
                <w:p w14:paraId="2517346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用量（t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val="zh-CN"/>
                    </w:rPr>
                    <w:t>）</w:t>
                  </w:r>
                </w:p>
              </w:tc>
            </w:tr>
            <w:tr w14:paraId="0331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restart"/>
                  <w:vAlign w:val="center"/>
                </w:tcPr>
                <w:p w14:paraId="291B19FD">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铝单板</w:t>
                  </w:r>
                </w:p>
              </w:tc>
              <w:tc>
                <w:tcPr>
                  <w:tcW w:w="406" w:type="pct"/>
                  <w:vMerge w:val="restart"/>
                  <w:vAlign w:val="center"/>
                </w:tcPr>
                <w:p w14:paraId="5D184A9C">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水性漆</w:t>
                  </w:r>
                </w:p>
              </w:tc>
              <w:tc>
                <w:tcPr>
                  <w:tcW w:w="386" w:type="pct"/>
                  <w:vAlign w:val="center"/>
                </w:tcPr>
                <w:p w14:paraId="0912EB8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en-US" w:eastAsia="zh-CN"/>
                    </w:rPr>
                    <w:t>底</w:t>
                  </w:r>
                  <w:r>
                    <w:rPr>
                      <w:rFonts w:hint="default" w:ascii="Times New Roman" w:hAnsi="Times New Roman" w:cs="Times New Roman"/>
                      <w:color w:val="auto"/>
                      <w:highlight w:val="none"/>
                      <w:lang w:val="zh-CN"/>
                    </w:rPr>
                    <w:t>漆</w:t>
                  </w:r>
                </w:p>
              </w:tc>
              <w:tc>
                <w:tcPr>
                  <w:tcW w:w="665" w:type="pct"/>
                  <w:vAlign w:val="center"/>
                </w:tcPr>
                <w:p w14:paraId="4099F35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1.6</w:t>
                  </w:r>
                </w:p>
              </w:tc>
              <w:tc>
                <w:tcPr>
                  <w:tcW w:w="624" w:type="pct"/>
                  <w:vAlign w:val="center"/>
                </w:tcPr>
                <w:p w14:paraId="2AF85A47">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p>
              </w:tc>
              <w:tc>
                <w:tcPr>
                  <w:tcW w:w="385" w:type="pct"/>
                  <w:vAlign w:val="center"/>
                </w:tcPr>
                <w:p w14:paraId="70EB2E3D">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560" w:type="pct"/>
                  <w:vAlign w:val="center"/>
                </w:tcPr>
                <w:p w14:paraId="0BC9C24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75.0</w:t>
                  </w:r>
                  <w:r>
                    <w:rPr>
                      <w:rFonts w:hint="default" w:ascii="Times New Roman" w:hAnsi="Times New Roman" w:eastAsia="宋体" w:cs="Times New Roman"/>
                      <w:color w:val="auto"/>
                      <w:highlight w:val="none"/>
                      <w:lang w:val="en-US" w:eastAsia="zh-CN"/>
                    </w:rPr>
                    <w:t>%</w:t>
                  </w:r>
                </w:p>
              </w:tc>
              <w:tc>
                <w:tcPr>
                  <w:tcW w:w="504" w:type="pct"/>
                  <w:vAlign w:val="center"/>
                </w:tcPr>
                <w:p w14:paraId="06388FF0">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616" w:type="pct"/>
                  <w:vAlign w:val="center"/>
                </w:tcPr>
                <w:p w14:paraId="2522ECD3">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112300</w:t>
                  </w:r>
                </w:p>
              </w:tc>
              <w:tc>
                <w:tcPr>
                  <w:tcW w:w="456" w:type="pct"/>
                  <w:vAlign w:val="center"/>
                </w:tcPr>
                <w:p w14:paraId="52705F13">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31.94</w:t>
                  </w:r>
                </w:p>
              </w:tc>
            </w:tr>
            <w:tr w14:paraId="4B28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vMerge w:val="continue"/>
                  <w:vAlign w:val="center"/>
                </w:tcPr>
                <w:p w14:paraId="47A1F37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en-US" w:eastAsia="zh-CN"/>
                    </w:rPr>
                  </w:pPr>
                </w:p>
              </w:tc>
              <w:tc>
                <w:tcPr>
                  <w:tcW w:w="406" w:type="pct"/>
                  <w:vMerge w:val="continue"/>
                  <w:vAlign w:val="center"/>
                </w:tcPr>
                <w:p w14:paraId="7F08C95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zh-CN"/>
                    </w:rPr>
                  </w:pPr>
                </w:p>
              </w:tc>
              <w:tc>
                <w:tcPr>
                  <w:tcW w:w="386" w:type="pct"/>
                  <w:vAlign w:val="center"/>
                </w:tcPr>
                <w:p w14:paraId="30CC587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面漆</w:t>
                  </w:r>
                </w:p>
              </w:tc>
              <w:tc>
                <w:tcPr>
                  <w:tcW w:w="665" w:type="pct"/>
                  <w:vAlign w:val="center"/>
                </w:tcPr>
                <w:p w14:paraId="480AF2C0">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w:t>
                  </w:r>
                </w:p>
              </w:tc>
              <w:tc>
                <w:tcPr>
                  <w:tcW w:w="624" w:type="pct"/>
                  <w:vAlign w:val="center"/>
                </w:tcPr>
                <w:p w14:paraId="1700BED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385" w:type="pct"/>
                  <w:vAlign w:val="center"/>
                </w:tcPr>
                <w:p w14:paraId="23586D77">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560" w:type="pct"/>
                  <w:vAlign w:val="center"/>
                </w:tcPr>
                <w:p w14:paraId="2AF3CF2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41.9</w:t>
                  </w:r>
                  <w:r>
                    <w:rPr>
                      <w:rFonts w:hint="default" w:ascii="Times New Roman" w:hAnsi="Times New Roman" w:cs="Times New Roman"/>
                      <w:color w:val="auto"/>
                      <w:highlight w:val="none"/>
                    </w:rPr>
                    <w:t>%</w:t>
                  </w:r>
                </w:p>
              </w:tc>
              <w:tc>
                <w:tcPr>
                  <w:tcW w:w="504" w:type="pct"/>
                  <w:vAlign w:val="center"/>
                </w:tcPr>
                <w:p w14:paraId="1640E96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616" w:type="pct"/>
                  <w:vAlign w:val="center"/>
                </w:tcPr>
                <w:p w14:paraId="6B261055">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112300</w:t>
                  </w:r>
                </w:p>
              </w:tc>
              <w:tc>
                <w:tcPr>
                  <w:tcW w:w="456" w:type="pct"/>
                  <w:vAlign w:val="center"/>
                </w:tcPr>
                <w:p w14:paraId="1B74D1BB">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textAlignment w:val="baseline"/>
                    <w:rPr>
                      <w:rFonts w:hint="default" w:ascii="Times New Roman" w:hAnsi="Times New Roman" w:cs="Times New Roman"/>
                      <w:color w:val="auto"/>
                      <w:highlight w:val="none"/>
                      <w:lang w:val="en-US" w:eastAsia="zh-CN"/>
                    </w:rPr>
                  </w:pPr>
                  <w:r>
                    <w:rPr>
                      <w:rFonts w:hint="eastAsia" w:ascii="Times New Roman" w:cs="Times New Roman"/>
                      <w:color w:val="auto"/>
                      <w:highlight w:val="none"/>
                      <w:lang w:val="en-US" w:eastAsia="zh-CN"/>
                    </w:rPr>
                    <w:t>50.03</w:t>
                  </w:r>
                </w:p>
              </w:tc>
            </w:tr>
          </w:tbl>
          <w:p w14:paraId="090EB0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rPr>
              <w:t>综上，</w:t>
            </w:r>
            <w:r>
              <w:rPr>
                <w:rFonts w:hint="eastAsia" w:ascii="Times New Roman" w:hAnsi="Times New Roman" w:eastAsia="宋体" w:cs="Times New Roman"/>
                <w:color w:val="auto"/>
                <w:kern w:val="2"/>
                <w:sz w:val="24"/>
                <w:szCs w:val="24"/>
                <w:highlight w:val="none"/>
                <w:lang w:val="en-US" w:eastAsia="zh-CN"/>
              </w:rPr>
              <w:t>本项目水性底漆用量因实际用量有损耗，故水性底漆取</w:t>
            </w:r>
            <w:r>
              <w:rPr>
                <w:rFonts w:hint="eastAsia" w:cs="Times New Roman"/>
                <w:color w:val="auto"/>
                <w:kern w:val="2"/>
                <w:sz w:val="24"/>
                <w:szCs w:val="24"/>
                <w:highlight w:val="none"/>
                <w:lang w:val="en-US" w:eastAsia="zh-CN"/>
              </w:rPr>
              <w:t>32</w:t>
            </w:r>
            <w:r>
              <w:rPr>
                <w:rFonts w:hint="eastAsia" w:ascii="Times New Roman" w:hAnsi="Times New Roman" w:eastAsia="宋体" w:cs="Times New Roman"/>
                <w:color w:val="auto"/>
                <w:kern w:val="2"/>
                <w:sz w:val="24"/>
                <w:szCs w:val="24"/>
                <w:highlight w:val="none"/>
                <w:lang w:val="en-US" w:eastAsia="zh-CN"/>
              </w:rPr>
              <w:t>t/a，水性面漆取</w:t>
            </w:r>
            <w:r>
              <w:rPr>
                <w:rFonts w:hint="eastAsia" w:cs="Times New Roman"/>
                <w:color w:val="auto"/>
                <w:kern w:val="2"/>
                <w:sz w:val="24"/>
                <w:szCs w:val="24"/>
                <w:highlight w:val="none"/>
                <w:lang w:val="en-US" w:eastAsia="zh-CN"/>
              </w:rPr>
              <w:t>50.2</w:t>
            </w:r>
            <w:r>
              <w:rPr>
                <w:rFonts w:hint="eastAsia" w:ascii="Times New Roman" w:hAnsi="Times New Roman" w:eastAsia="宋体" w:cs="Times New Roman"/>
                <w:color w:val="auto"/>
                <w:kern w:val="2"/>
                <w:sz w:val="24"/>
                <w:szCs w:val="24"/>
                <w:highlight w:val="none"/>
                <w:lang w:val="en-US" w:eastAsia="zh-CN"/>
              </w:rPr>
              <w:t>t/a。根据企业提供的检测报告可知，水性底漆VOC</w:t>
            </w:r>
            <w:r>
              <w:rPr>
                <w:rFonts w:hint="eastAsia" w:cs="Times New Roman"/>
                <w:color w:val="auto"/>
                <w:kern w:val="2"/>
                <w:sz w:val="24"/>
                <w:szCs w:val="24"/>
                <w:highlight w:val="none"/>
                <w:lang w:val="en-US" w:eastAsia="zh-CN"/>
              </w:rPr>
              <w:t>s</w:t>
            </w:r>
            <w:r>
              <w:rPr>
                <w:rFonts w:hint="eastAsia" w:ascii="Times New Roman" w:hAnsi="Times New Roman" w:eastAsia="宋体" w:cs="Times New Roman"/>
                <w:color w:val="auto"/>
                <w:kern w:val="2"/>
                <w:sz w:val="24"/>
                <w:szCs w:val="24"/>
                <w:highlight w:val="none"/>
                <w:lang w:val="en-US" w:eastAsia="zh-CN"/>
              </w:rPr>
              <w:t>含量为</w:t>
            </w:r>
            <w:r>
              <w:rPr>
                <w:rFonts w:hint="eastAsia" w:cs="Times New Roman"/>
                <w:color w:val="auto"/>
                <w:kern w:val="2"/>
                <w:sz w:val="24"/>
                <w:szCs w:val="24"/>
                <w:highlight w:val="none"/>
                <w:lang w:val="en-US" w:eastAsia="zh-CN"/>
              </w:rPr>
              <w:t>80</w:t>
            </w:r>
            <w:r>
              <w:rPr>
                <w:rFonts w:hint="eastAsia" w:ascii="Times New Roman" w:hAnsi="Times New Roman" w:eastAsia="宋体" w:cs="Times New Roman"/>
                <w:color w:val="auto"/>
                <w:kern w:val="2"/>
                <w:sz w:val="24"/>
                <w:szCs w:val="24"/>
                <w:highlight w:val="none"/>
                <w:lang w:val="en-US" w:eastAsia="zh-CN"/>
              </w:rPr>
              <w:t>g/L，水性面漆VO</w:t>
            </w:r>
            <w:r>
              <w:rPr>
                <w:rFonts w:hint="eastAsia" w:cs="Times New Roman"/>
                <w:color w:val="auto"/>
                <w:kern w:val="2"/>
                <w:sz w:val="24"/>
                <w:szCs w:val="24"/>
                <w:highlight w:val="none"/>
                <w:lang w:val="en-US" w:eastAsia="zh-CN"/>
              </w:rPr>
              <w:t>Cs</w:t>
            </w:r>
            <w:r>
              <w:rPr>
                <w:rFonts w:hint="eastAsia" w:ascii="Times New Roman" w:hAnsi="Times New Roman" w:eastAsia="宋体" w:cs="Times New Roman"/>
                <w:color w:val="auto"/>
                <w:kern w:val="2"/>
                <w:sz w:val="24"/>
                <w:szCs w:val="24"/>
                <w:highlight w:val="none"/>
                <w:lang w:val="en-US" w:eastAsia="zh-CN"/>
              </w:rPr>
              <w:t>含量为113g/L。经计算：项目水性面漆挥发性有机物</w:t>
            </w:r>
            <w:r>
              <w:rPr>
                <w:rFonts w:hint="eastAsia" w:cs="Times New Roman"/>
                <w:color w:val="auto"/>
                <w:kern w:val="2"/>
                <w:sz w:val="24"/>
                <w:szCs w:val="24"/>
                <w:highlight w:val="none"/>
                <w:lang w:val="en-US" w:eastAsia="zh-CN"/>
              </w:rPr>
              <w:t>占比约8.17%，即挥发性有机物产生量为4.1</w:t>
            </w:r>
            <w:r>
              <w:rPr>
                <w:rFonts w:hint="eastAsia" w:ascii="Times New Roman" w:hAnsi="Times New Roman" w:eastAsia="宋体" w:cs="Times New Roman"/>
                <w:color w:val="auto"/>
                <w:kern w:val="2"/>
                <w:sz w:val="24"/>
                <w:szCs w:val="24"/>
                <w:highlight w:val="none"/>
                <w:lang w:val="en-US" w:eastAsia="zh-CN"/>
              </w:rPr>
              <w:t>t/a，水性底漆挥发性有机物</w:t>
            </w:r>
            <w:r>
              <w:rPr>
                <w:rFonts w:hint="eastAsia" w:cs="Times New Roman"/>
                <w:color w:val="auto"/>
                <w:kern w:val="2"/>
                <w:sz w:val="24"/>
                <w:szCs w:val="24"/>
                <w:highlight w:val="none"/>
                <w:lang w:val="en-US" w:eastAsia="zh-CN"/>
              </w:rPr>
              <w:t>占比约5%，即挥发性有机物产生量为1.6</w:t>
            </w:r>
            <w:r>
              <w:rPr>
                <w:rFonts w:hint="eastAsia" w:ascii="Times New Roman" w:hAnsi="Times New Roman" w:eastAsia="宋体" w:cs="Times New Roman"/>
                <w:color w:val="auto"/>
                <w:kern w:val="2"/>
                <w:sz w:val="24"/>
                <w:szCs w:val="24"/>
                <w:highlight w:val="none"/>
                <w:lang w:val="en-US" w:eastAsia="zh-CN"/>
              </w:rPr>
              <w:t>t/a。</w:t>
            </w:r>
          </w:p>
          <w:p w14:paraId="728D1878">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drawing>
                <wp:inline distT="0" distB="0" distL="114300" distR="114300">
                  <wp:extent cx="5400040" cy="2694940"/>
                  <wp:effectExtent l="0" t="0" r="10160" b="2540"/>
                  <wp:docPr id="3" name="F360BE8B-6686-4F3D-AEAF-501FE73E4058-1" descr="C:/Users/Administrator/AppData/Local/Temp/绘图1(24).png绘图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60BE8B-6686-4F3D-AEAF-501FE73E4058-1" descr="C:/Users/Administrator/AppData/Local/Temp/绘图1(24).png绘图1(24)"/>
                          <pic:cNvPicPr>
                            <a:picLocks noChangeAspect="1"/>
                          </pic:cNvPicPr>
                        </pic:nvPicPr>
                        <pic:blipFill>
                          <a:blip r:embed="rId11"/>
                          <a:stretch>
                            <a:fillRect/>
                          </a:stretch>
                        </pic:blipFill>
                        <pic:spPr>
                          <a:xfrm>
                            <a:off x="0" y="0"/>
                            <a:ext cx="5400040" cy="2694940"/>
                          </a:xfrm>
                          <a:prstGeom prst="rect">
                            <a:avLst/>
                          </a:prstGeom>
                        </pic:spPr>
                      </pic:pic>
                    </a:graphicData>
                  </a:graphic>
                </wp:inline>
              </w:drawing>
            </w:r>
          </w:p>
          <w:p w14:paraId="07351AEC">
            <w:pPr>
              <w:numPr>
                <w:ilvl w:val="0"/>
                <w:numId w:val="0"/>
              </w:numPr>
              <w:kinsoku/>
              <w:adjustRightInd/>
              <w:snapToGrid/>
              <w:spacing w:line="360" w:lineRule="auto"/>
              <w:ind w:firstLine="482" w:firstLineChars="200"/>
              <w:jc w:val="center"/>
              <w:rPr>
                <w:rFonts w:hint="eastAsia"/>
                <w:b/>
                <w:bCs/>
                <w:color w:val="auto"/>
                <w:sz w:val="24"/>
                <w:szCs w:val="32"/>
                <w:highlight w:val="none"/>
              </w:rPr>
            </w:pPr>
            <w:r>
              <w:rPr>
                <w:rFonts w:hint="eastAsia"/>
                <w:b/>
                <w:bCs/>
                <w:color w:val="auto"/>
                <w:sz w:val="24"/>
                <w:szCs w:val="32"/>
                <w:highlight w:val="none"/>
              </w:rPr>
              <w:t>图</w:t>
            </w:r>
            <w:r>
              <w:rPr>
                <w:rFonts w:hint="eastAsia"/>
                <w:b/>
                <w:bCs/>
                <w:color w:val="auto"/>
                <w:sz w:val="24"/>
                <w:szCs w:val="32"/>
                <w:highlight w:val="none"/>
                <w:lang w:val="en-US" w:eastAsia="zh-CN"/>
              </w:rPr>
              <w:t>2</w:t>
            </w:r>
            <w:r>
              <w:rPr>
                <w:rFonts w:hint="eastAsia"/>
                <w:b/>
                <w:bCs/>
                <w:color w:val="auto"/>
                <w:sz w:val="24"/>
                <w:szCs w:val="32"/>
                <w:highlight w:val="none"/>
              </w:rPr>
              <w:t>-1 水性</w:t>
            </w:r>
            <w:r>
              <w:rPr>
                <w:rFonts w:hint="eastAsia"/>
                <w:b/>
                <w:bCs/>
                <w:color w:val="auto"/>
                <w:sz w:val="24"/>
                <w:szCs w:val="32"/>
                <w:highlight w:val="none"/>
                <w:lang w:val="en-US" w:eastAsia="zh-CN"/>
              </w:rPr>
              <w:t>底漆</w:t>
            </w:r>
            <w:r>
              <w:rPr>
                <w:rFonts w:hint="eastAsia"/>
                <w:b/>
                <w:bCs/>
                <w:color w:val="auto"/>
                <w:sz w:val="24"/>
                <w:szCs w:val="32"/>
                <w:highlight w:val="none"/>
              </w:rPr>
              <w:t>平衡图  单位t/a</w:t>
            </w:r>
          </w:p>
          <w:p w14:paraId="66E07199">
            <w:pPr>
              <w:numPr>
                <w:ilvl w:val="0"/>
                <w:numId w:val="0"/>
              </w:numPr>
              <w:kinsoku/>
              <w:adjustRightInd/>
              <w:snapToGrid/>
              <w:spacing w:line="360" w:lineRule="auto"/>
              <w:jc w:val="center"/>
              <w:rPr>
                <w:rFonts w:hint="eastAsia"/>
                <w:b/>
                <w:bCs/>
                <w:color w:val="auto"/>
                <w:sz w:val="24"/>
                <w:szCs w:val="32"/>
                <w:highlight w:val="none"/>
                <w:lang w:val="en-US" w:eastAsia="zh-CN"/>
              </w:rPr>
            </w:pPr>
            <w:r>
              <w:rPr>
                <w:rFonts w:hint="eastAsia" w:eastAsia="宋体"/>
                <w:b/>
                <w:bCs/>
                <w:color w:val="auto"/>
                <w:sz w:val="24"/>
                <w:szCs w:val="32"/>
                <w:highlight w:val="none"/>
                <w:lang w:eastAsia="zh-CN"/>
              </w:rPr>
              <w:drawing>
                <wp:inline distT="0" distB="0" distL="114300" distR="114300">
                  <wp:extent cx="5400040" cy="2910205"/>
                  <wp:effectExtent l="0" t="0" r="10160" b="635"/>
                  <wp:docPr id="2" name="F360BE8B-6686-4F3D-AEAF-501FE73E4058-2" descr="C:/Users/Administrator/AppData/Local/Temp/绘图1(25).png绘图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2" descr="C:/Users/Administrator/AppData/Local/Temp/绘图1(25).png绘图1(25)"/>
                          <pic:cNvPicPr>
                            <a:picLocks noChangeAspect="1"/>
                          </pic:cNvPicPr>
                        </pic:nvPicPr>
                        <pic:blipFill>
                          <a:blip r:embed="rId12"/>
                          <a:stretch>
                            <a:fillRect/>
                          </a:stretch>
                        </pic:blipFill>
                        <pic:spPr>
                          <a:xfrm>
                            <a:off x="0" y="0"/>
                            <a:ext cx="5400040" cy="2910205"/>
                          </a:xfrm>
                          <a:prstGeom prst="rect">
                            <a:avLst/>
                          </a:prstGeom>
                        </pic:spPr>
                      </pic:pic>
                    </a:graphicData>
                  </a:graphic>
                </wp:inline>
              </w:drawing>
            </w:r>
          </w:p>
          <w:p w14:paraId="626C6000">
            <w:pPr>
              <w:numPr>
                <w:ilvl w:val="0"/>
                <w:numId w:val="0"/>
              </w:numPr>
              <w:kinsoku/>
              <w:adjustRightInd/>
              <w:snapToGrid/>
              <w:spacing w:line="360" w:lineRule="auto"/>
              <w:ind w:firstLine="482" w:firstLineChars="200"/>
              <w:jc w:val="center"/>
              <w:rPr>
                <w:rFonts w:hint="eastAsia" w:ascii="宋体" w:hAnsi="宋体" w:eastAsia="宋体" w:cs="宋体"/>
                <w:b/>
                <w:bCs/>
                <w:color w:val="auto"/>
                <w:sz w:val="24"/>
                <w:szCs w:val="24"/>
                <w:highlight w:val="none"/>
                <w:lang w:eastAsia="zh-CN" w:bidi="ar"/>
              </w:rPr>
            </w:pPr>
            <w:r>
              <w:rPr>
                <w:rFonts w:hint="eastAsia"/>
                <w:b/>
                <w:bCs/>
                <w:color w:val="auto"/>
                <w:sz w:val="24"/>
                <w:szCs w:val="32"/>
                <w:highlight w:val="none"/>
              </w:rPr>
              <w:t>图</w:t>
            </w:r>
            <w:r>
              <w:rPr>
                <w:rFonts w:hint="eastAsia"/>
                <w:b/>
                <w:bCs/>
                <w:color w:val="auto"/>
                <w:sz w:val="24"/>
                <w:szCs w:val="32"/>
                <w:highlight w:val="none"/>
                <w:lang w:val="en-US" w:eastAsia="zh-CN"/>
              </w:rPr>
              <w:t>2</w:t>
            </w:r>
            <w:r>
              <w:rPr>
                <w:rFonts w:hint="eastAsia"/>
                <w:b/>
                <w:bCs/>
                <w:color w:val="auto"/>
                <w:sz w:val="24"/>
                <w:szCs w:val="32"/>
                <w:highlight w:val="none"/>
              </w:rPr>
              <w:t>-</w:t>
            </w:r>
            <w:r>
              <w:rPr>
                <w:rFonts w:hint="eastAsia"/>
                <w:b/>
                <w:bCs/>
                <w:color w:val="auto"/>
                <w:sz w:val="24"/>
                <w:szCs w:val="32"/>
                <w:highlight w:val="none"/>
                <w:lang w:val="en-US" w:eastAsia="zh-CN"/>
              </w:rPr>
              <w:t xml:space="preserve">2  </w:t>
            </w:r>
            <w:r>
              <w:rPr>
                <w:rFonts w:hint="eastAsia"/>
                <w:b/>
                <w:bCs/>
                <w:color w:val="auto"/>
                <w:sz w:val="24"/>
                <w:szCs w:val="32"/>
                <w:highlight w:val="none"/>
              </w:rPr>
              <w:t>水性</w:t>
            </w:r>
            <w:r>
              <w:rPr>
                <w:rFonts w:hint="eastAsia"/>
                <w:b/>
                <w:bCs/>
                <w:color w:val="auto"/>
                <w:sz w:val="24"/>
                <w:szCs w:val="32"/>
                <w:highlight w:val="none"/>
                <w:lang w:val="en-US" w:eastAsia="zh-CN"/>
              </w:rPr>
              <w:t>面漆</w:t>
            </w:r>
            <w:r>
              <w:rPr>
                <w:rFonts w:hint="eastAsia"/>
                <w:b/>
                <w:bCs/>
                <w:color w:val="auto"/>
                <w:sz w:val="24"/>
                <w:szCs w:val="32"/>
                <w:highlight w:val="none"/>
              </w:rPr>
              <w:t>平衡图  单位t/a</w:t>
            </w:r>
          </w:p>
          <w:p w14:paraId="47A419D2">
            <w:pPr>
              <w:kinsoku/>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bidi="ar"/>
              </w:rPr>
              <w:t>原辅材料的理化性质：</w:t>
            </w:r>
          </w:p>
          <w:p w14:paraId="30A7B66B">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rPr>
            </w:pPr>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highlight w:val="none"/>
                <w:lang w:val="en-US" w:eastAsia="zh-CN"/>
              </w:rPr>
              <w:t>水性漆</w:t>
            </w:r>
            <w:r>
              <w:rPr>
                <w:rFonts w:hint="eastAsia" w:ascii="宋体" w:hAnsi="宋体" w:eastAsia="宋体" w:cs="宋体"/>
                <w:color w:val="auto"/>
                <w:sz w:val="24"/>
                <w:szCs w:val="24"/>
                <w:highlight w:val="none"/>
              </w:rPr>
              <w:t>种类及组成如下表。详见附件。</w:t>
            </w:r>
          </w:p>
          <w:p w14:paraId="385A3EEB">
            <w:pPr>
              <w:keepNext w:val="0"/>
              <w:keepLines w:val="0"/>
              <w:pageBreakBefore w:val="0"/>
              <w:widowControl/>
              <w:kinsoku/>
              <w:wordWrap/>
              <w:overflowPunct/>
              <w:topLinePunct w:val="0"/>
              <w:autoSpaceDE w:val="0"/>
              <w:autoSpaceDN w:val="0"/>
              <w:bidi w:val="0"/>
              <w:adjustRightInd/>
              <w:snapToGrid/>
              <w:spacing w:line="240" w:lineRule="auto"/>
              <w:ind w:firstLine="482" w:firstLineChars="200"/>
              <w:jc w:val="center"/>
              <w:textAlignment w:val="baseline"/>
              <w:rPr>
                <w:rFonts w:hint="default" w:ascii="Times New Roman" w:hAnsi="Times New Roman" w:eastAsia="宋体" w:cs="Times New Roman"/>
                <w:b/>
                <w:bCs/>
                <w:color w:val="auto"/>
                <w:sz w:val="24"/>
                <w:szCs w:val="24"/>
                <w:highlight w:val="none"/>
              </w:rPr>
            </w:pPr>
          </w:p>
          <w:p w14:paraId="61C8CCAA">
            <w:pPr>
              <w:keepNext w:val="0"/>
              <w:keepLines w:val="0"/>
              <w:pageBreakBefore w:val="0"/>
              <w:widowControl/>
              <w:kinsoku/>
              <w:wordWrap/>
              <w:overflowPunct/>
              <w:topLinePunct w:val="0"/>
              <w:autoSpaceDE w:val="0"/>
              <w:autoSpaceDN w:val="0"/>
              <w:bidi w:val="0"/>
              <w:adjustRightInd/>
              <w:snapToGrid/>
              <w:spacing w:line="240" w:lineRule="auto"/>
              <w:ind w:firstLine="482" w:firstLineChars="200"/>
              <w:jc w:val="center"/>
              <w:textAlignment w:val="baseline"/>
              <w:rPr>
                <w:rFonts w:hint="default" w:ascii="Times New Roman" w:hAnsi="Times New Roman" w:eastAsia="宋体" w:cs="Times New Roman"/>
                <w:b/>
                <w:bCs/>
                <w:color w:val="auto"/>
                <w:sz w:val="24"/>
                <w:szCs w:val="24"/>
                <w:highlight w:val="none"/>
              </w:rPr>
            </w:pPr>
          </w:p>
          <w:p w14:paraId="2A0B37AC">
            <w:pPr>
              <w:keepNext w:val="0"/>
              <w:keepLines w:val="0"/>
              <w:pageBreakBefore w:val="0"/>
              <w:widowControl/>
              <w:kinsoku/>
              <w:wordWrap/>
              <w:overflowPunct/>
              <w:topLinePunct w:val="0"/>
              <w:autoSpaceDE w:val="0"/>
              <w:autoSpaceDN w:val="0"/>
              <w:bidi w:val="0"/>
              <w:adjustRightInd/>
              <w:snapToGrid/>
              <w:spacing w:line="240" w:lineRule="auto"/>
              <w:ind w:firstLine="482" w:firstLineChars="200"/>
              <w:jc w:val="center"/>
              <w:textAlignment w:val="baseline"/>
              <w:rPr>
                <w:rFonts w:hint="default" w:ascii="Times New Roman" w:hAnsi="Times New Roman" w:eastAsia="宋体" w:cs="Times New Roman"/>
                <w:b/>
                <w:bCs/>
                <w:color w:val="auto"/>
                <w:sz w:val="32"/>
                <w:szCs w:val="32"/>
                <w:highlight w:val="none"/>
                <w:lang w:eastAsia="zh-CN"/>
              </w:rPr>
            </w:pPr>
            <w:r>
              <w:rPr>
                <w:rFonts w:hint="default" w:ascii="Times New Roman" w:hAnsi="Times New Roman" w:eastAsia="宋体" w:cs="Times New Roman"/>
                <w:b/>
                <w:bCs/>
                <w:color w:val="auto"/>
                <w:sz w:val="24"/>
                <w:szCs w:val="24"/>
                <w:highlight w:val="none"/>
              </w:rPr>
              <w:t>表2-</w:t>
            </w:r>
            <w:r>
              <w:rPr>
                <w:rFonts w:hint="eastAsia"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lang w:val="en-US" w:eastAsia="zh-CN"/>
              </w:rPr>
              <w:t>水性漆</w:t>
            </w:r>
            <w:r>
              <w:rPr>
                <w:rFonts w:hint="default" w:ascii="Times New Roman" w:hAnsi="Times New Roman" w:eastAsia="宋体" w:cs="Times New Roman"/>
                <w:b/>
                <w:bCs/>
                <w:color w:val="auto"/>
                <w:sz w:val="24"/>
                <w:szCs w:val="24"/>
                <w:highlight w:val="none"/>
              </w:rPr>
              <w:t>种类及组成</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2540"/>
              <w:gridCol w:w="4649"/>
            </w:tblGrid>
            <w:tr w14:paraId="3E60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vAlign w:val="center"/>
                </w:tcPr>
                <w:p w14:paraId="40CD844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color w:val="auto"/>
                      <w:highlight w:val="none"/>
                    </w:rPr>
                  </w:pPr>
                  <w:r>
                    <w:rPr>
                      <w:rFonts w:hint="eastAsia"/>
                      <w:color w:val="auto"/>
                      <w:highlight w:val="none"/>
                    </w:rPr>
                    <w:t>油漆种类</w:t>
                  </w:r>
                </w:p>
              </w:tc>
              <w:tc>
                <w:tcPr>
                  <w:tcW w:w="1495" w:type="pct"/>
                  <w:vAlign w:val="center"/>
                </w:tcPr>
                <w:p w14:paraId="5392291C">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color w:val="auto"/>
                      <w:highlight w:val="none"/>
                    </w:rPr>
                  </w:pPr>
                  <w:r>
                    <w:rPr>
                      <w:color w:val="auto"/>
                      <w:highlight w:val="none"/>
                    </w:rPr>
                    <w:t>名称</w:t>
                  </w:r>
                </w:p>
              </w:tc>
              <w:tc>
                <w:tcPr>
                  <w:tcW w:w="2736" w:type="pct"/>
                  <w:vAlign w:val="center"/>
                </w:tcPr>
                <w:p w14:paraId="14C91AC9">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color w:val="auto"/>
                      <w:highlight w:val="none"/>
                    </w:rPr>
                  </w:pPr>
                  <w:r>
                    <w:rPr>
                      <w:rFonts w:hint="eastAsia"/>
                      <w:color w:val="auto"/>
                      <w:highlight w:val="none"/>
                    </w:rPr>
                    <w:t>组分及含量</w:t>
                  </w:r>
                </w:p>
              </w:tc>
            </w:tr>
            <w:tr w14:paraId="084D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vMerge w:val="restart"/>
                  <w:vAlign w:val="center"/>
                </w:tcPr>
                <w:p w14:paraId="57BEC61D">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color w:val="auto"/>
                      <w:highlight w:val="none"/>
                    </w:rPr>
                  </w:pPr>
                  <w:r>
                    <w:rPr>
                      <w:rFonts w:hint="eastAsia"/>
                      <w:color w:val="auto"/>
                      <w:highlight w:val="none"/>
                    </w:rPr>
                    <w:t>水性漆</w:t>
                  </w:r>
                </w:p>
              </w:tc>
              <w:tc>
                <w:tcPr>
                  <w:tcW w:w="1495" w:type="pct"/>
                  <w:vAlign w:val="center"/>
                </w:tcPr>
                <w:p w14:paraId="52406CF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2K</w:t>
                  </w:r>
                  <w:r>
                    <w:rPr>
                      <w:rFonts w:hint="default" w:ascii="Times New Roman" w:hAnsi="Times New Roman" w:eastAsia="宋体" w:cs="Times New Roman"/>
                      <w:color w:val="auto"/>
                      <w:highlight w:val="none"/>
                      <w:lang w:val="en-US" w:eastAsia="zh-CN"/>
                    </w:rPr>
                    <w:t>水性丙烯酸聚氨酯面漆</w:t>
                  </w:r>
                </w:p>
              </w:tc>
              <w:tc>
                <w:tcPr>
                  <w:tcW w:w="2736" w:type="pct"/>
                  <w:vAlign w:val="center"/>
                </w:tcPr>
                <w:p w14:paraId="731D5E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宋体" w:cs="Times New Roman"/>
                      <w:snapToGrid w:val="0"/>
                      <w:color w:val="auto"/>
                      <w:kern w:val="0"/>
                      <w:sz w:val="21"/>
                      <w:szCs w:val="20"/>
                      <w:highlight w:val="none"/>
                      <w:lang w:val="en-US" w:eastAsia="zh-CN" w:bidi="ar-SA"/>
                    </w:rPr>
                    <w:t>有机阻溶剂5-10%，颜料15-30%，合成聚合物25-35%，水20-35%，乙二醇丁醚1-5%，轻质石脑油2-4%</w:t>
                  </w:r>
                </w:p>
              </w:tc>
            </w:tr>
            <w:tr w14:paraId="1B0D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pct"/>
                  <w:vMerge w:val="continue"/>
                  <w:vAlign w:val="center"/>
                </w:tcPr>
                <w:p w14:paraId="6716B28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color w:val="auto"/>
                      <w:highlight w:val="none"/>
                    </w:rPr>
                  </w:pPr>
                </w:p>
              </w:tc>
              <w:tc>
                <w:tcPr>
                  <w:tcW w:w="2490" w:type="dxa"/>
                  <w:vAlign w:val="center"/>
                </w:tcPr>
                <w:p w14:paraId="0F51FF7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水性环氧富锌底漆</w:t>
                  </w:r>
                </w:p>
              </w:tc>
              <w:tc>
                <w:tcPr>
                  <w:tcW w:w="4557" w:type="dxa"/>
                  <w:vAlign w:val="center"/>
                </w:tcPr>
                <w:p w14:paraId="58ADE2BC">
                  <w:pPr>
                    <w:pStyle w:val="54"/>
                    <w:keepNext w:val="0"/>
                    <w:keepLines w:val="0"/>
                    <w:pageBreakBefore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0"/>
                      <w:sz w:val="21"/>
                      <w:szCs w:val="20"/>
                      <w:highlight w:val="none"/>
                      <w:lang w:val="en-US" w:eastAsia="zh-CN" w:bidi="ar-SA"/>
                    </w:rPr>
                  </w:pPr>
                  <w:r>
                    <w:rPr>
                      <w:rFonts w:hint="default" w:ascii="Times New Roman" w:hAnsi="Times New Roman" w:cs="Times New Roman"/>
                      <w:color w:val="auto"/>
                      <w:highlight w:val="none"/>
                    </w:rPr>
                    <w:t>水性树脂25-30%，颜料10%，填料40%，去离子水20</w:t>
                  </w:r>
                  <w:r>
                    <w:rPr>
                      <w:rFonts w:hint="eastAsia" w:ascii="Times New Roman" w:cs="Times New Roman"/>
                      <w:color w:val="auto"/>
                      <w:highlight w:val="none"/>
                      <w:lang w:val="en-US" w:eastAsia="zh-CN"/>
                    </w:rPr>
                    <w:t>%</w:t>
                  </w:r>
                  <w:r>
                    <w:rPr>
                      <w:rFonts w:hint="default" w:ascii="Times New Roman" w:hAnsi="Times New Roman" w:cs="Times New Roman"/>
                      <w:color w:val="auto"/>
                      <w:highlight w:val="none"/>
                    </w:rPr>
                    <w:t>，助剂2-3%</w:t>
                  </w:r>
                </w:p>
              </w:tc>
            </w:tr>
          </w:tbl>
          <w:p w14:paraId="5ED6AD4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表2-</w:t>
            </w:r>
            <w:r>
              <w:rPr>
                <w:rFonts w:hint="eastAsia" w:cs="Times New Roman"/>
                <w:b/>
                <w:bCs/>
                <w:color w:val="auto"/>
                <w:sz w:val="24"/>
                <w:szCs w:val="24"/>
                <w:highlight w:val="none"/>
                <w:lang w:val="en-US" w:eastAsia="zh-CN"/>
              </w:rPr>
              <w:t>7</w:t>
            </w:r>
            <w:r>
              <w:rPr>
                <w:rFonts w:hint="eastAsia" w:ascii="Times New Roman" w:hAnsi="Times New Roman" w:eastAsia="宋体" w:cs="Times New Roman"/>
                <w:b/>
                <w:bCs/>
                <w:color w:val="auto"/>
                <w:sz w:val="24"/>
                <w:szCs w:val="24"/>
                <w:highlight w:val="none"/>
                <w:lang w:eastAsia="zh-CN"/>
              </w:rPr>
              <w:t xml:space="preserve"> </w:t>
            </w:r>
            <w:r>
              <w:rPr>
                <w:rFonts w:ascii="Times New Roman" w:hAnsi="Times New Roman" w:eastAsia="宋体" w:cs="Times New Roman"/>
                <w:b/>
                <w:bCs/>
                <w:color w:val="auto"/>
                <w:sz w:val="24"/>
                <w:szCs w:val="24"/>
                <w:highlight w:val="none"/>
                <w:lang w:eastAsia="zh-CN"/>
              </w:rPr>
              <w:t>主要原辅材料及其主要成分的理化性质和毒性</w:t>
            </w:r>
          </w:p>
          <w:tbl>
            <w:tblPr>
              <w:tblStyle w:val="2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7374"/>
            </w:tblGrid>
            <w:tr w14:paraId="7AF7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4822D8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名称</w:t>
                  </w:r>
                </w:p>
              </w:tc>
              <w:tc>
                <w:tcPr>
                  <w:tcW w:w="4343" w:type="pct"/>
                  <w:noWrap w:val="0"/>
                  <w:vAlign w:val="center"/>
                </w:tcPr>
                <w:p w14:paraId="64896F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主要成分</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理化性质</w:t>
                  </w:r>
                </w:p>
              </w:tc>
            </w:tr>
            <w:tr w14:paraId="3937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04BAE71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乙二醇丁醚</w:t>
                  </w:r>
                </w:p>
              </w:tc>
              <w:tc>
                <w:tcPr>
                  <w:tcW w:w="4343" w:type="pct"/>
                  <w:noWrap w:val="0"/>
                  <w:vAlign w:val="center"/>
                </w:tcPr>
                <w:p w14:paraId="59C97CA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乙二醇</w:t>
                  </w:r>
                </w:p>
                <w:p w14:paraId="7A82DA9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无色，无臭，有甜味、粘稠液体，熔点-13.2℃，与水混溶，混溶于乙醇、醚等</w:t>
                  </w:r>
                </w:p>
                <w:p w14:paraId="1F20CE1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急性毒性L50：8000-15300mg/kg（小鼠经口），易燃。</w:t>
                  </w:r>
                </w:p>
              </w:tc>
            </w:tr>
            <w:tr w14:paraId="32F9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5C3157A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无铬钝化剂</w:t>
                  </w:r>
                </w:p>
              </w:tc>
              <w:tc>
                <w:tcPr>
                  <w:tcW w:w="4343" w:type="pct"/>
                  <w:noWrap w:val="0"/>
                  <w:vAlign w:val="center"/>
                </w:tcPr>
                <w:p w14:paraId="02FBF7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硅烷、水溶性无害环保型辅助剂、成膜促进剂等无色透明液体，PH8-9轻微腐蚀性液体，不燃，不爆</w:t>
                  </w:r>
                </w:p>
              </w:tc>
            </w:tr>
            <w:tr w14:paraId="0B11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661700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脱脂剂</w:t>
                  </w:r>
                </w:p>
              </w:tc>
              <w:tc>
                <w:tcPr>
                  <w:tcW w:w="4343" w:type="pct"/>
                  <w:noWrap w:val="0"/>
                  <w:vAlign w:val="center"/>
                </w:tcPr>
                <w:p w14:paraId="343E0A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kern w:val="2"/>
                      <w:sz w:val="21"/>
                      <w:szCs w:val="21"/>
                      <w:highlight w:val="none"/>
                      <w:lang w:val="en-US" w:eastAsia="zh-CN" w:bidi="ar-SA"/>
                    </w:rPr>
                    <w:t>氢氧化钠、柠檬酸钠、碳酸钠、元明粉、非离子表面活性剂、阴离子表面活性剂等</w:t>
                  </w:r>
                  <w:r>
                    <w:rPr>
                      <w:rFonts w:hint="eastAsia" w:cs="Times New Roman"/>
                      <w:color w:val="auto"/>
                      <w:sz w:val="21"/>
                      <w:szCs w:val="21"/>
                      <w:highlight w:val="none"/>
                      <w:lang w:val="en-US" w:eastAsia="zh-CN"/>
                    </w:rPr>
                    <w:t>半透明液体有轻微腐蚀性，不燃，不爆</w:t>
                  </w:r>
                </w:p>
              </w:tc>
            </w:tr>
            <w:tr w14:paraId="1B9A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6F9908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天然气</w:t>
                  </w:r>
                </w:p>
              </w:tc>
              <w:tc>
                <w:tcPr>
                  <w:tcW w:w="4343" w:type="pct"/>
                  <w:noWrap w:val="0"/>
                  <w:vAlign w:val="center"/>
                </w:tcPr>
                <w:p w14:paraId="75CF0F0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highlight w:val="none"/>
                      <w:shd w:val="clear" w:color="auto" w:fill="FFFFFF"/>
                      <w:lang w:val="en-US" w:eastAsia="zh-CN"/>
                    </w:rPr>
                    <w:t>天然气：天然气主要用途是作燃料，可制造炭黑、化学药品和液化石油气，由天然气生产的丙烷、丁烷是现代工业的重要原料。天然气主要由气态低分子烃和非烃气体混合组成。根据企业提供的天然气气质报告，本项目所用的天然气主要由甲烷（98.2%）组成，含有少量的乙烷、丙烷等。主要用作燃料，也用于制造乙醛、乙炔、氨、碳黑、乙醇、甲醛、烃类燃料、氢化油、甲醇、硝酸、合成气和氯乙烯等化学物的原料。天然气被压缩成液体进行贮存和运输。煤矿工人、硝酸制造者、发电厂工人、有机化学合成工、燃气使用者、石油精炼工等有机会接触本品。主要经呼吸道进入人体。属单纯窒息性气体。浓度高时因置换空气而引起缺氧，导致呼吸短促，知觉丧失；严重者可因血氧过低窒息死亡。高压天然气可致冻伤。不完全燃烧可产生一氧化碳。</w:t>
                  </w:r>
                </w:p>
              </w:tc>
            </w:tr>
            <w:tr w14:paraId="424A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352047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机油</w:t>
                  </w:r>
                </w:p>
              </w:tc>
              <w:tc>
                <w:tcPr>
                  <w:tcW w:w="4343" w:type="pct"/>
                  <w:noWrap w:val="0"/>
                  <w:vAlign w:val="center"/>
                </w:tcPr>
                <w:p w14:paraId="57E1DD1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shd w:val="clear" w:color="auto" w:fill="FFFFFF"/>
                      <w:lang w:val="en-US" w:eastAsia="zh-CN"/>
                    </w:rPr>
                  </w:pPr>
                  <w:r>
                    <w:rPr>
                      <w:rFonts w:hint="eastAsia"/>
                      <w:color w:val="auto"/>
                      <w:highlight w:val="none"/>
                      <w:lang w:val="en-US" w:eastAsia="zh-CN"/>
                    </w:rPr>
                    <w:t>黄色、室温下为半流体，矿物油特性。燃烧可能形成液体、固体悬浮颗粒物与燃气组成的复杂混合物，包括一氧化碳以及不确定的有机和无机化合物</w:t>
                  </w:r>
                </w:p>
              </w:tc>
            </w:tr>
            <w:tr w14:paraId="014B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240724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塑粉</w:t>
                  </w:r>
                </w:p>
              </w:tc>
              <w:tc>
                <w:tcPr>
                  <w:tcW w:w="4343" w:type="pct"/>
                  <w:noWrap w:val="0"/>
                  <w:vAlign w:val="center"/>
                </w:tcPr>
                <w:p w14:paraId="36D6E20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highlight w:val="none"/>
                      <w:lang w:eastAsia="zh-CN" w:bidi="ar"/>
                    </w:rPr>
                  </w:pPr>
                  <w:r>
                    <w:rPr>
                      <w:rFonts w:hint="eastAsia" w:ascii="Times New Roman" w:hAnsi="Times New Roman" w:eastAsia="宋体" w:cs="Times New Roman"/>
                      <w:color w:val="auto"/>
                      <w:spacing w:val="6"/>
                      <w:sz w:val="21"/>
                      <w:szCs w:val="21"/>
                      <w:highlight w:val="none"/>
                      <w:lang w:eastAsia="zh-CN"/>
                    </w:rPr>
                    <w:t>一</w:t>
                  </w:r>
                  <w:r>
                    <w:rPr>
                      <w:rFonts w:hint="default" w:ascii="Times New Roman" w:hAnsi="Times New Roman" w:eastAsia="宋体" w:cs="Times New Roman"/>
                      <w:color w:val="auto"/>
                      <w:spacing w:val="6"/>
                      <w:sz w:val="21"/>
                      <w:szCs w:val="21"/>
                      <w:highlight w:val="none"/>
                    </w:rPr>
                    <w:t>种具有耐腐蚀性和坚韧性的热固性树脂粉末涂料，不</w:t>
                  </w:r>
                  <w:r>
                    <w:rPr>
                      <w:rFonts w:hint="default" w:ascii="Times New Roman" w:hAnsi="Times New Roman" w:eastAsia="宋体" w:cs="Times New Roman"/>
                      <w:color w:val="auto"/>
                      <w:spacing w:val="5"/>
                      <w:sz w:val="21"/>
                      <w:szCs w:val="21"/>
                      <w:highlight w:val="none"/>
                    </w:rPr>
                    <w:t>燃、不爆，无毒、</w:t>
                  </w:r>
                  <w:r>
                    <w:rPr>
                      <w:rFonts w:hint="default" w:ascii="Times New Roman" w:hAnsi="Times New Roman" w:eastAsia="宋体" w:cs="Times New Roman"/>
                      <w:color w:val="auto"/>
                      <w:spacing w:val="-1"/>
                      <w:sz w:val="21"/>
                      <w:szCs w:val="21"/>
                      <w:highlight w:val="none"/>
                    </w:rPr>
                    <w:t>无害，由环氧树脂、聚酯树脂、颜填料、蜡片和助剂组成。</w:t>
                  </w:r>
                </w:p>
              </w:tc>
            </w:tr>
            <w:tr w14:paraId="46FD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242E8DE1">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highlight w:val="none"/>
                      <w:lang w:eastAsia="zh-CN" w:bidi="ar"/>
                    </w:rPr>
                    <w:t>氩气</w:t>
                  </w:r>
                </w:p>
              </w:tc>
              <w:tc>
                <w:tcPr>
                  <w:tcW w:w="4343" w:type="pct"/>
                  <w:noWrap w:val="0"/>
                  <w:vAlign w:val="center"/>
                </w:tcPr>
                <w:p w14:paraId="691C5C0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6"/>
                      <w:sz w:val="21"/>
                      <w:szCs w:val="21"/>
                      <w:highlight w:val="none"/>
                      <w:lang w:eastAsia="zh-CN"/>
                    </w:rPr>
                  </w:pPr>
                  <w:r>
                    <w:rPr>
                      <w:rFonts w:ascii="Times New Roman" w:hAnsi="Times New Roman" w:eastAsia="宋体" w:cs="Times New Roman"/>
                      <w:color w:val="auto"/>
                      <w:highlight w:val="none"/>
                      <w:lang w:eastAsia="zh-CN" w:bidi="ar"/>
                    </w:rPr>
                    <w:t>化学式Ar，</w:t>
                  </w:r>
                  <w:r>
                    <w:rPr>
                      <w:rFonts w:ascii="Times New Roman" w:hAnsi="Times New Roman" w:eastAsia="宋体" w:cs="Times New Roman"/>
                      <w:color w:val="auto"/>
                      <w:highlight w:val="none"/>
                      <w:shd w:val="clear" w:color="auto" w:fill="FFFFFF"/>
                      <w:lang w:eastAsia="zh-CN"/>
                    </w:rPr>
                    <w:t>熔点：-189.2℃，沸点：-185.9℃，密度</w:t>
                  </w:r>
                  <w:r>
                    <w:rPr>
                      <w:rFonts w:hint="eastAsia" w:ascii="Times New Roman" w:hAnsi="Times New Roman" w:eastAsia="宋体" w:cs="Times New Roman"/>
                      <w:color w:val="auto"/>
                      <w:highlight w:val="none"/>
                      <w:shd w:val="clear" w:color="auto" w:fill="FFFFFF"/>
                      <w:lang w:eastAsia="zh-CN"/>
                    </w:rPr>
                    <w:t>：</w:t>
                  </w:r>
                  <w:r>
                    <w:rPr>
                      <w:rFonts w:ascii="Times New Roman" w:hAnsi="Times New Roman" w:eastAsia="宋体" w:cs="Times New Roman"/>
                      <w:color w:val="auto"/>
                      <w:highlight w:val="none"/>
                      <w:shd w:val="clear" w:color="auto" w:fill="FFFFFF"/>
                      <w:lang w:eastAsia="zh-CN"/>
                    </w:rPr>
                    <w:t>1.784kg/m</w:t>
                  </w:r>
                  <w:r>
                    <w:rPr>
                      <w:rFonts w:ascii="Times New Roman" w:hAnsi="Times New Roman" w:eastAsia="宋体" w:cs="Times New Roman"/>
                      <w:color w:val="auto"/>
                      <w:highlight w:val="none"/>
                      <w:shd w:val="clear" w:color="auto" w:fill="FFFFFF"/>
                      <w:vertAlign w:val="superscript"/>
                      <w:lang w:eastAsia="zh-CN"/>
                    </w:rPr>
                    <w:t>3</w:t>
                  </w:r>
                  <w:r>
                    <w:rPr>
                      <w:rFonts w:ascii="Times New Roman" w:hAnsi="Times New Roman" w:eastAsia="宋体" w:cs="Times New Roman"/>
                      <w:color w:val="auto"/>
                      <w:highlight w:val="none"/>
                      <w:shd w:val="clear" w:color="auto" w:fill="FFFFFF"/>
                      <w:lang w:eastAsia="zh-CN"/>
                    </w:rPr>
                    <w:t>无色、无味、无嗅无毒的惰性气体，微溶于水。</w:t>
                  </w:r>
                </w:p>
              </w:tc>
            </w:tr>
            <w:tr w14:paraId="522D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noWrap w:val="0"/>
                  <w:vAlign w:val="center"/>
                </w:tcPr>
                <w:p w14:paraId="0FBD155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lang w:eastAsia="zh-CN" w:bidi="ar"/>
                    </w:rPr>
                  </w:pPr>
                  <w:r>
                    <w:rPr>
                      <w:rFonts w:hint="eastAsia" w:ascii="Times New Roman" w:hAnsi="Times New Roman" w:eastAsia="宋体" w:cs="Times New Roman"/>
                      <w:color w:val="auto"/>
                      <w:highlight w:val="none"/>
                      <w:lang w:eastAsia="zh-CN" w:bidi="ar"/>
                    </w:rPr>
                    <w:t>二氧化碳</w:t>
                  </w:r>
                </w:p>
              </w:tc>
              <w:tc>
                <w:tcPr>
                  <w:tcW w:w="4343" w:type="pct"/>
                  <w:noWrap w:val="0"/>
                  <w:vAlign w:val="center"/>
                </w:tcPr>
                <w:p w14:paraId="1BBDB98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shd w:val="clear" w:color="auto" w:fill="FFFFFF"/>
                      <w:lang w:eastAsia="zh-CN"/>
                    </w:rPr>
                    <w:t>一种</w:t>
                  </w:r>
                  <w:r>
                    <w:rPr>
                      <w:color w:val="auto"/>
                      <w:highlight w:val="none"/>
                    </w:rPr>
                    <w:fldChar w:fldCharType="begin"/>
                  </w:r>
                  <w:r>
                    <w:rPr>
                      <w:color w:val="auto"/>
                      <w:highlight w:val="none"/>
                    </w:rPr>
                    <w:instrText xml:space="preserve"> HYPERLINK "https://baike.baidu.com/item/%E7%A2%B3%E6%B0%A7%E5%8C%96%E5%90%88%E7%89%A9/5362947?fromModule=lemma_inlink" \t "https://baike.baidu.com/item/%E4%BA%8C%E6%B0%A7%E5%8C%96%E7%A2%B3/_blank" </w:instrText>
                  </w:r>
                  <w:r>
                    <w:rPr>
                      <w:color w:val="auto"/>
                      <w:highlight w:val="none"/>
                    </w:rPr>
                    <w:fldChar w:fldCharType="separate"/>
                  </w:r>
                  <w:r>
                    <w:rPr>
                      <w:rStyle w:val="29"/>
                      <w:rFonts w:ascii="Times New Roman" w:hAnsi="Times New Roman" w:eastAsia="宋体" w:cs="Times New Roman"/>
                      <w:color w:val="auto"/>
                      <w:highlight w:val="none"/>
                      <w:u w:val="none"/>
                      <w:shd w:val="clear" w:color="auto" w:fill="FFFFFF"/>
                      <w:lang w:eastAsia="zh-CN"/>
                    </w:rPr>
                    <w:t>碳氧化合物</w:t>
                  </w:r>
                  <w:r>
                    <w:rPr>
                      <w:rStyle w:val="29"/>
                      <w:rFonts w:ascii="Times New Roman" w:hAnsi="Times New Roman" w:eastAsia="宋体" w:cs="Times New Roman"/>
                      <w:color w:val="auto"/>
                      <w:highlight w:val="none"/>
                      <w:u w:val="none"/>
                      <w:shd w:val="clear" w:color="auto" w:fill="FFFFFF"/>
                      <w:lang w:eastAsia="zh-CN"/>
                    </w:rPr>
                    <w:fldChar w:fldCharType="end"/>
                  </w:r>
                  <w:r>
                    <w:rPr>
                      <w:rFonts w:ascii="Times New Roman" w:hAnsi="Times New Roman" w:eastAsia="宋体" w:cs="Times New Roman"/>
                      <w:color w:val="auto"/>
                      <w:highlight w:val="none"/>
                      <w:shd w:val="clear" w:color="auto" w:fill="FFFFFF"/>
                      <w:lang w:eastAsia="zh-CN"/>
                    </w:rPr>
                    <w:t>，</w:t>
                  </w:r>
                  <w:r>
                    <w:rPr>
                      <w:color w:val="auto"/>
                      <w:highlight w:val="none"/>
                    </w:rPr>
                    <w:fldChar w:fldCharType="begin"/>
                  </w:r>
                  <w:r>
                    <w:rPr>
                      <w:color w:val="auto"/>
                      <w:highlight w:val="none"/>
                    </w:rPr>
                    <w:instrText xml:space="preserve"> HYPERLINK "https://baike.baidu.com/item/%E5%8C%96%E5%AD%A6%E5%BC%8F/2609855?fromModule=lemma_inlink" \t "https://baike.baidu.com/item/%E4%BA%8C%E6%B0%A7%E5%8C%96%E7%A2%B3/_blank" </w:instrText>
                  </w:r>
                  <w:r>
                    <w:rPr>
                      <w:color w:val="auto"/>
                      <w:highlight w:val="none"/>
                    </w:rPr>
                    <w:fldChar w:fldCharType="separate"/>
                  </w:r>
                  <w:r>
                    <w:rPr>
                      <w:rStyle w:val="29"/>
                      <w:rFonts w:ascii="Times New Roman" w:hAnsi="Times New Roman" w:eastAsia="宋体" w:cs="Times New Roman"/>
                      <w:color w:val="auto"/>
                      <w:highlight w:val="none"/>
                      <w:u w:val="none"/>
                      <w:shd w:val="clear" w:color="auto" w:fill="FFFFFF"/>
                      <w:lang w:eastAsia="zh-CN"/>
                    </w:rPr>
                    <w:t>化学式</w:t>
                  </w:r>
                  <w:r>
                    <w:rPr>
                      <w:rStyle w:val="29"/>
                      <w:rFonts w:ascii="Times New Roman" w:hAnsi="Times New Roman" w:eastAsia="宋体" w:cs="Times New Roman"/>
                      <w:color w:val="auto"/>
                      <w:highlight w:val="none"/>
                      <w:u w:val="none"/>
                      <w:shd w:val="clear" w:color="auto" w:fill="FFFFFF"/>
                      <w:lang w:eastAsia="zh-CN"/>
                    </w:rPr>
                    <w:fldChar w:fldCharType="end"/>
                  </w:r>
                  <w:r>
                    <w:rPr>
                      <w:rFonts w:ascii="Times New Roman" w:hAnsi="Times New Roman" w:eastAsia="宋体" w:cs="Times New Roman"/>
                      <w:color w:val="auto"/>
                      <w:highlight w:val="none"/>
                      <w:shd w:val="clear" w:color="auto" w:fill="FFFFFF"/>
                      <w:lang w:eastAsia="zh-CN"/>
                    </w:rPr>
                    <w:t>为CO</w:t>
                  </w:r>
                  <w:r>
                    <w:rPr>
                      <w:rFonts w:ascii="Times New Roman" w:hAnsi="Times New Roman" w:eastAsia="宋体" w:cs="Times New Roman"/>
                      <w:color w:val="auto"/>
                      <w:highlight w:val="none"/>
                      <w:shd w:val="clear" w:color="auto" w:fill="FFFFFF"/>
                      <w:vertAlign w:val="subscript"/>
                      <w:lang w:eastAsia="zh-CN"/>
                    </w:rPr>
                    <w:t>2</w:t>
                  </w:r>
                  <w:r>
                    <w:rPr>
                      <w:rFonts w:ascii="Times New Roman" w:hAnsi="Times New Roman" w:eastAsia="宋体" w:cs="Times New Roman"/>
                      <w:color w:val="auto"/>
                      <w:highlight w:val="none"/>
                      <w:shd w:val="clear" w:color="auto" w:fill="FFFFFF"/>
                      <w:lang w:eastAsia="zh-CN"/>
                    </w:rPr>
                    <w:t>常温常压下是一种无色无味或无色无臭而其水溶液略有酸味的</w:t>
                  </w:r>
                  <w:r>
                    <w:rPr>
                      <w:color w:val="auto"/>
                      <w:highlight w:val="none"/>
                    </w:rPr>
                    <w:fldChar w:fldCharType="begin"/>
                  </w:r>
                  <w:r>
                    <w:rPr>
                      <w:color w:val="auto"/>
                      <w:highlight w:val="none"/>
                    </w:rPr>
                    <w:instrText xml:space="preserve"> HYPERLINK "https://baike.baidu.com/item/%E6%B0%94%E4%BD%93/254432?fromModule=lemma_inlink" \t "https://baike.baidu.com/item/%E4%BA%8C%E6%B0%A7%E5%8C%96%E7%A2%B3/_blank" </w:instrText>
                  </w:r>
                  <w:r>
                    <w:rPr>
                      <w:color w:val="auto"/>
                      <w:highlight w:val="none"/>
                    </w:rPr>
                    <w:fldChar w:fldCharType="separate"/>
                  </w:r>
                  <w:r>
                    <w:rPr>
                      <w:rStyle w:val="29"/>
                      <w:rFonts w:ascii="Times New Roman" w:hAnsi="Times New Roman" w:eastAsia="宋体" w:cs="Times New Roman"/>
                      <w:color w:val="auto"/>
                      <w:highlight w:val="none"/>
                      <w:u w:val="none"/>
                      <w:shd w:val="clear" w:color="auto" w:fill="FFFFFF"/>
                      <w:lang w:eastAsia="zh-CN"/>
                    </w:rPr>
                    <w:t>气体</w:t>
                  </w:r>
                  <w:r>
                    <w:rPr>
                      <w:rStyle w:val="29"/>
                      <w:rFonts w:ascii="Times New Roman" w:hAnsi="Times New Roman" w:eastAsia="宋体" w:cs="Times New Roman"/>
                      <w:color w:val="auto"/>
                      <w:highlight w:val="none"/>
                      <w:u w:val="none"/>
                      <w:shd w:val="clear" w:color="auto" w:fill="FFFFFF"/>
                      <w:lang w:eastAsia="zh-CN"/>
                    </w:rPr>
                    <w:fldChar w:fldCharType="end"/>
                  </w:r>
                  <w:r>
                    <w:rPr>
                      <w:rFonts w:ascii="Times New Roman" w:hAnsi="Times New Roman" w:eastAsia="宋体" w:cs="Times New Roman"/>
                      <w:color w:val="auto"/>
                      <w:highlight w:val="none"/>
                      <w:shd w:val="clear" w:color="auto" w:fill="FFFFFF"/>
                      <w:lang w:eastAsia="zh-CN"/>
                    </w:rPr>
                    <w:t>，</w:t>
                  </w:r>
                  <w:r>
                    <w:rPr>
                      <w:color w:val="auto"/>
                      <w:highlight w:val="none"/>
                    </w:rPr>
                    <w:fldChar w:fldCharType="begin"/>
                  </w:r>
                  <w:r>
                    <w:rPr>
                      <w:color w:val="auto"/>
                      <w:highlight w:val="none"/>
                    </w:rPr>
                    <w:instrText xml:space="preserve"> HYPERLINK "https://baike.baidu.com/item/%E5%AF%86%E5%BA%A6/718381?fromModule=lemma_inlink" \t "https://baike.baidu.com/item/%E4%BA%8C%E6%B0%A7%E5%8C%96%E7%A2%B3/_blank" </w:instrText>
                  </w:r>
                  <w:r>
                    <w:rPr>
                      <w:color w:val="auto"/>
                      <w:highlight w:val="none"/>
                    </w:rPr>
                    <w:fldChar w:fldCharType="separate"/>
                  </w:r>
                  <w:r>
                    <w:rPr>
                      <w:rStyle w:val="29"/>
                      <w:rFonts w:ascii="Times New Roman" w:hAnsi="Times New Roman" w:eastAsia="宋体" w:cs="Times New Roman"/>
                      <w:color w:val="auto"/>
                      <w:highlight w:val="none"/>
                      <w:u w:val="none"/>
                      <w:shd w:val="clear" w:color="auto" w:fill="FFFFFF"/>
                      <w:lang w:eastAsia="zh-CN"/>
                    </w:rPr>
                    <w:t>密度</w:t>
                  </w:r>
                  <w:r>
                    <w:rPr>
                      <w:rStyle w:val="29"/>
                      <w:rFonts w:ascii="Times New Roman" w:hAnsi="Times New Roman" w:eastAsia="宋体" w:cs="Times New Roman"/>
                      <w:color w:val="auto"/>
                      <w:highlight w:val="none"/>
                      <w:u w:val="none"/>
                      <w:shd w:val="clear" w:color="auto" w:fill="FFFFFF"/>
                      <w:lang w:eastAsia="zh-CN"/>
                    </w:rPr>
                    <w:fldChar w:fldCharType="end"/>
                  </w:r>
                  <w:r>
                    <w:rPr>
                      <w:rFonts w:ascii="Times New Roman" w:hAnsi="Times New Roman" w:eastAsia="宋体" w:cs="Times New Roman"/>
                      <w:color w:val="auto"/>
                      <w:highlight w:val="none"/>
                      <w:shd w:val="clear" w:color="auto" w:fill="FFFFFF"/>
                      <w:lang w:eastAsia="zh-CN"/>
                    </w:rPr>
                    <w:t>比空气密度大（标准条件下），可溶于水</w:t>
                  </w:r>
                  <w:r>
                    <w:rPr>
                      <w:rFonts w:hint="eastAsia" w:ascii="Times New Roman" w:hAnsi="Times New Roman" w:eastAsia="宋体" w:cs="Times New Roman"/>
                      <w:color w:val="auto"/>
                      <w:highlight w:val="none"/>
                      <w:shd w:val="clear" w:color="auto" w:fill="FFFFFF"/>
                      <w:lang w:eastAsia="zh-CN"/>
                    </w:rPr>
                    <w:t>。</w:t>
                  </w:r>
                </w:p>
              </w:tc>
            </w:tr>
          </w:tbl>
          <w:p w14:paraId="69114BDB">
            <w:pPr>
              <w:keepNext w:val="0"/>
              <w:keepLines w:val="0"/>
              <w:pageBreakBefore w:val="0"/>
              <w:widowControl/>
              <w:kinsoku w:val="0"/>
              <w:wordWrap/>
              <w:overflowPunct/>
              <w:topLinePunct w:val="0"/>
              <w:autoSpaceDE w:val="0"/>
              <w:autoSpaceDN w:val="0"/>
              <w:bidi w:val="0"/>
              <w:adjustRightInd/>
              <w:snapToGrid/>
              <w:spacing w:line="360" w:lineRule="auto"/>
              <w:ind w:firstLine="422" w:firstLineChars="200"/>
              <w:textAlignment w:val="baseline"/>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其他原辅材料：</w:t>
            </w:r>
          </w:p>
          <w:p w14:paraId="74E8313B">
            <w:pPr>
              <w:pStyle w:val="5"/>
              <w:keepNext w:val="0"/>
              <w:keepLines w:val="0"/>
              <w:pageBreakBefore w:val="0"/>
              <w:widowControl/>
              <w:kinsoku/>
              <w:wordWrap/>
              <w:overflowPunct/>
              <w:topLinePunct w:val="0"/>
              <w:autoSpaceDE w:val="0"/>
              <w:autoSpaceDN w:val="0"/>
              <w:bidi w:val="0"/>
              <w:adjustRightInd/>
              <w:snapToGrid/>
              <w:spacing w:line="360" w:lineRule="auto"/>
              <w:ind w:left="0" w:firstLine="480" w:firstLineChars="200"/>
              <w:textAlignment w:val="baseline"/>
              <w:rPr>
                <w:rFonts w:ascii="Times New Roman" w:hAnsi="Times New Roman" w:eastAsia="宋体" w:cs="Times New Roman"/>
                <w:bCs/>
                <w:color w:val="auto"/>
                <w:sz w:val="24"/>
                <w:highlight w:val="none"/>
                <w:lang w:eastAsia="zh-CN"/>
              </w:rPr>
            </w:pPr>
            <w:r>
              <w:rPr>
                <w:rFonts w:hint="default" w:ascii="Times New Roman" w:hAnsi="Times New Roman" w:eastAsia="宋体" w:cs="Times New Roman"/>
                <w:color w:val="auto"/>
                <w:szCs w:val="24"/>
                <w:highlight w:val="none"/>
                <w:shd w:val="clear" w:color="auto" w:fill="FFFFFF"/>
              </w:rPr>
              <w:t>焊丝是作为填充金属或同时作为导电用的金属丝焊接材料。</w:t>
            </w:r>
            <w:r>
              <w:rPr>
                <w:rFonts w:hint="default" w:ascii="Times New Roman" w:hAnsi="Times New Roman" w:eastAsia="宋体" w:cs="Times New Roman"/>
                <w:color w:val="auto"/>
                <w:highlight w:val="none"/>
              </w:rPr>
              <w:t>焊丝的直径通常是根据焊件的厚薄、施焊的位置和效率等要求选择。焊接薄板或中厚板的全位置焊缝时，多采用1.6mm以下的焊丝（称为细丝CO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气保焊）。二氧化碳气保焊丝型号有：AWSER70S-6、DINSg2、BSA18、JISYGM12，CHW-50C6是镀铜低合金钢气保焊丝，采用CO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或富氩作保护气体进行施焊。具有良好的焊接工艺性能；电弧燃烧稳定、飞溅少；焊缝成型美观、焊缝金属气孔敏感性小；用途：适用于碳钢及500Mpa级低合金钢的单道及多道焊（如车辆、桥梁、建筑、机械结构等的焊接）；也可用于薄板、管线等的高速焊接。</w:t>
            </w:r>
          </w:p>
          <w:p w14:paraId="6EE09C20">
            <w:pPr>
              <w:keepNext w:val="0"/>
              <w:keepLines w:val="0"/>
              <w:pageBreakBefore w:val="0"/>
              <w:kinsoku/>
              <w:wordWrap/>
              <w:overflowPunct/>
              <w:topLinePunct w:val="0"/>
              <w:bidi w:val="0"/>
              <w:adjustRightInd/>
              <w:snapToGrid/>
              <w:spacing w:line="360" w:lineRule="auto"/>
              <w:ind w:firstLine="480" w:firstLineChars="200"/>
              <w:rPr>
                <w:rFonts w:hint="default" w:ascii="Times New Roman" w:hAnsi="Times New Roman" w:cs="Times New Roman"/>
                <w:b/>
                <w:bCs/>
                <w:color w:val="auto"/>
                <w:sz w:val="24"/>
                <w:szCs w:val="32"/>
                <w:highlight w:val="none"/>
              </w:rPr>
            </w:pPr>
            <w:r>
              <w:rPr>
                <w:rFonts w:hint="default" w:ascii="Times New Roman" w:hAnsi="Times New Roman" w:eastAsia="宋体" w:cs="Times New Roman"/>
                <w:bCs/>
                <w:color w:val="auto"/>
                <w:sz w:val="24"/>
                <w:highlight w:val="none"/>
                <w:lang w:eastAsia="zh-CN"/>
              </w:rPr>
              <w:t>4、主要生产设备</w:t>
            </w:r>
          </w:p>
          <w:p w14:paraId="6386E5FB">
            <w:pPr>
              <w:adjustRightInd w:val="0"/>
              <w:snapToGrid w:val="0"/>
              <w:jc w:val="center"/>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表2-</w:t>
            </w:r>
            <w:r>
              <w:rPr>
                <w:rFonts w:hint="default" w:ascii="Times New Roman" w:hAnsi="Times New Roman" w:cs="Times New Roman"/>
                <w:b/>
                <w:bCs/>
                <w:color w:val="auto"/>
                <w:sz w:val="24"/>
                <w:szCs w:val="32"/>
                <w:highlight w:val="none"/>
                <w:lang w:val="en-US" w:eastAsia="zh-CN"/>
              </w:rPr>
              <w:t>8</w:t>
            </w:r>
            <w:r>
              <w:rPr>
                <w:rFonts w:hint="default" w:ascii="Times New Roman" w:hAnsi="Times New Roman" w:cs="Times New Roman"/>
                <w:b/>
                <w:bCs/>
                <w:color w:val="auto"/>
                <w:sz w:val="24"/>
                <w:szCs w:val="32"/>
                <w:highlight w:val="none"/>
              </w:rPr>
              <w:t xml:space="preserve">  生产设备一览表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2843"/>
              <w:gridCol w:w="2830"/>
              <w:gridCol w:w="882"/>
              <w:gridCol w:w="1080"/>
            </w:tblGrid>
            <w:tr w14:paraId="7B56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487521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673" w:type="pct"/>
                  <w:noWrap w:val="0"/>
                  <w:vAlign w:val="center"/>
                </w:tcPr>
                <w:p w14:paraId="7FCBC7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666" w:type="pct"/>
                  <w:noWrap w:val="0"/>
                  <w:vAlign w:val="center"/>
                </w:tcPr>
                <w:p w14:paraId="1E3405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型号</w:t>
                  </w:r>
                </w:p>
              </w:tc>
              <w:tc>
                <w:tcPr>
                  <w:tcW w:w="519" w:type="pct"/>
                  <w:noWrap w:val="0"/>
                  <w:vAlign w:val="center"/>
                </w:tcPr>
                <w:p w14:paraId="449B37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635" w:type="pct"/>
                  <w:noWrap w:val="0"/>
                  <w:vAlign w:val="center"/>
                </w:tcPr>
                <w:p w14:paraId="04893A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w:t>
                  </w:r>
                </w:p>
              </w:tc>
            </w:tr>
            <w:tr w14:paraId="7D1F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7F1999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673" w:type="pct"/>
                  <w:noWrap w:val="0"/>
                  <w:vAlign w:val="center"/>
                </w:tcPr>
                <w:p w14:paraId="67F7AF8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铝板开平线</w:t>
                  </w:r>
                </w:p>
              </w:tc>
              <w:tc>
                <w:tcPr>
                  <w:tcW w:w="1666" w:type="pct"/>
                  <w:noWrap w:val="0"/>
                  <w:vAlign w:val="center"/>
                </w:tcPr>
                <w:p w14:paraId="778356C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5A7699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条</w:t>
                  </w:r>
                </w:p>
              </w:tc>
              <w:tc>
                <w:tcPr>
                  <w:tcW w:w="635" w:type="pct"/>
                  <w:noWrap w:val="0"/>
                  <w:vAlign w:val="center"/>
                </w:tcPr>
                <w:p w14:paraId="45D0E7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2</w:t>
                  </w:r>
                </w:p>
              </w:tc>
            </w:tr>
            <w:tr w14:paraId="6845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204AEF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673" w:type="pct"/>
                  <w:noWrap w:val="0"/>
                  <w:vAlign w:val="center"/>
                </w:tcPr>
                <w:p w14:paraId="06BD81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激光切割机</w:t>
                  </w:r>
                </w:p>
              </w:tc>
              <w:tc>
                <w:tcPr>
                  <w:tcW w:w="1666" w:type="pct"/>
                  <w:noWrap w:val="0"/>
                  <w:vAlign w:val="center"/>
                </w:tcPr>
                <w:p w14:paraId="7B7903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6025/4020</w:t>
                  </w:r>
                </w:p>
              </w:tc>
              <w:tc>
                <w:tcPr>
                  <w:tcW w:w="519" w:type="pct"/>
                  <w:noWrap w:val="0"/>
                  <w:vAlign w:val="center"/>
                </w:tcPr>
                <w:p w14:paraId="7C307A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11D2D7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r>
            <w:tr w14:paraId="462E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1C021A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673" w:type="pct"/>
                  <w:noWrap w:val="0"/>
                  <w:vAlign w:val="center"/>
                </w:tcPr>
                <w:p w14:paraId="088E554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切割机</w:t>
                  </w:r>
                </w:p>
              </w:tc>
              <w:tc>
                <w:tcPr>
                  <w:tcW w:w="1666" w:type="pct"/>
                  <w:noWrap w:val="0"/>
                  <w:vAlign w:val="center"/>
                </w:tcPr>
                <w:p w14:paraId="03A3391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6E0F689B">
                  <w:pPr>
                    <w:keepNext w:val="0"/>
                    <w:keepLines w:val="0"/>
                    <w:pageBreakBefore w:val="0"/>
                    <w:widowControl w:val="0"/>
                    <w:tabs>
                      <w:tab w:val="left" w:pos="29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475E0B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6</w:t>
                  </w:r>
                </w:p>
              </w:tc>
            </w:tr>
            <w:tr w14:paraId="0478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645361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673" w:type="pct"/>
                  <w:noWrap w:val="0"/>
                  <w:vAlign w:val="center"/>
                </w:tcPr>
                <w:p w14:paraId="3119A9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卷管机</w:t>
                  </w:r>
                </w:p>
              </w:tc>
              <w:tc>
                <w:tcPr>
                  <w:tcW w:w="1666" w:type="pct"/>
                  <w:noWrap w:val="0"/>
                  <w:vAlign w:val="center"/>
                </w:tcPr>
                <w:p w14:paraId="300D77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336381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005020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r>
            <w:tr w14:paraId="4DBA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626563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673" w:type="pct"/>
                  <w:noWrap w:val="0"/>
                  <w:vAlign w:val="center"/>
                </w:tcPr>
                <w:p w14:paraId="20F08E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滚边机</w:t>
                  </w:r>
                </w:p>
              </w:tc>
              <w:tc>
                <w:tcPr>
                  <w:tcW w:w="1666" w:type="pct"/>
                  <w:noWrap w:val="0"/>
                  <w:vAlign w:val="center"/>
                </w:tcPr>
                <w:p w14:paraId="5D1D21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6F91EA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795E31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r>
            <w:tr w14:paraId="1385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436F9C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673" w:type="pct"/>
                  <w:noWrap w:val="0"/>
                  <w:vAlign w:val="center"/>
                </w:tcPr>
                <w:p w14:paraId="4E58C6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数控剪板机</w:t>
                  </w:r>
                </w:p>
              </w:tc>
              <w:tc>
                <w:tcPr>
                  <w:tcW w:w="1666" w:type="pct"/>
                  <w:noWrap w:val="0"/>
                  <w:vAlign w:val="center"/>
                </w:tcPr>
                <w:p w14:paraId="017D92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7EC33E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0E6AD0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r>
            <w:tr w14:paraId="52FC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651A6C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673" w:type="pct"/>
                  <w:noWrap w:val="0"/>
                  <w:vAlign w:val="center"/>
                </w:tcPr>
                <w:p w14:paraId="235577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数控折弯机</w:t>
                  </w:r>
                </w:p>
              </w:tc>
              <w:tc>
                <w:tcPr>
                  <w:tcW w:w="1666" w:type="pct"/>
                  <w:noWrap w:val="0"/>
                  <w:vAlign w:val="center"/>
                </w:tcPr>
                <w:p w14:paraId="5DC1DAB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PBA110/4100 PBA160/6200</w:t>
                  </w:r>
                </w:p>
              </w:tc>
              <w:tc>
                <w:tcPr>
                  <w:tcW w:w="519" w:type="pct"/>
                  <w:noWrap w:val="0"/>
                  <w:vAlign w:val="center"/>
                </w:tcPr>
                <w:p w14:paraId="2B7372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074111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p>
              </w:tc>
            </w:tr>
            <w:tr w14:paraId="3ECD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5656D3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673" w:type="pct"/>
                  <w:noWrap w:val="0"/>
                  <w:vAlign w:val="center"/>
                </w:tcPr>
                <w:p w14:paraId="29070E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数控雕刻机</w:t>
                  </w:r>
                </w:p>
              </w:tc>
              <w:tc>
                <w:tcPr>
                  <w:tcW w:w="1666" w:type="pct"/>
                  <w:noWrap w:val="0"/>
                  <w:vAlign w:val="center"/>
                </w:tcPr>
                <w:p w14:paraId="1E6AE9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6020/8020</w:t>
                  </w:r>
                </w:p>
              </w:tc>
              <w:tc>
                <w:tcPr>
                  <w:tcW w:w="519" w:type="pct"/>
                  <w:noWrap w:val="0"/>
                  <w:vAlign w:val="center"/>
                </w:tcPr>
                <w:p w14:paraId="170097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0F9CAA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p>
              </w:tc>
            </w:tr>
            <w:tr w14:paraId="18A0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206B6A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673" w:type="pct"/>
                  <w:noWrap w:val="0"/>
                  <w:vAlign w:val="center"/>
                </w:tcPr>
                <w:p w14:paraId="1D1708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数控转塔冲床</w:t>
                  </w:r>
                </w:p>
              </w:tc>
              <w:tc>
                <w:tcPr>
                  <w:tcW w:w="1666" w:type="pct"/>
                  <w:noWrap w:val="0"/>
                  <w:vAlign w:val="center"/>
                </w:tcPr>
                <w:p w14:paraId="05707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HPC3078/HPC3058</w:t>
                  </w:r>
                </w:p>
              </w:tc>
              <w:tc>
                <w:tcPr>
                  <w:tcW w:w="519" w:type="pct"/>
                  <w:noWrap w:val="0"/>
                  <w:vAlign w:val="center"/>
                </w:tcPr>
                <w:p w14:paraId="61C013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67E1DC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r>
            <w:tr w14:paraId="6615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608C6A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673" w:type="pct"/>
                  <w:noWrap w:val="0"/>
                  <w:vAlign w:val="center"/>
                </w:tcPr>
                <w:p w14:paraId="01105B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激光焊机</w:t>
                  </w:r>
                </w:p>
              </w:tc>
              <w:tc>
                <w:tcPr>
                  <w:tcW w:w="1666" w:type="pct"/>
                  <w:noWrap w:val="0"/>
                  <w:vAlign w:val="center"/>
                </w:tcPr>
                <w:p w14:paraId="4D9899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4EBD9A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3B93D8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w:t>
                  </w:r>
                </w:p>
              </w:tc>
            </w:tr>
            <w:tr w14:paraId="54DC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43563B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1673" w:type="pct"/>
                  <w:noWrap w:val="0"/>
                  <w:vAlign w:val="center"/>
                </w:tcPr>
                <w:p w14:paraId="2F0285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冲床</w:t>
                  </w:r>
                </w:p>
              </w:tc>
              <w:tc>
                <w:tcPr>
                  <w:tcW w:w="1666" w:type="pct"/>
                  <w:noWrap w:val="0"/>
                  <w:vAlign w:val="center"/>
                </w:tcPr>
                <w:p w14:paraId="30C1A5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3874BB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3E2E77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r>
            <w:tr w14:paraId="32F4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3F13A6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673" w:type="pct"/>
                  <w:noWrap w:val="0"/>
                  <w:vAlign w:val="center"/>
                </w:tcPr>
                <w:p w14:paraId="4128C35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锯床</w:t>
                  </w:r>
                </w:p>
              </w:tc>
              <w:tc>
                <w:tcPr>
                  <w:tcW w:w="1666" w:type="pct"/>
                  <w:noWrap w:val="0"/>
                  <w:vAlign w:val="center"/>
                </w:tcPr>
                <w:p w14:paraId="3047AA7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6C7B48C8">
                  <w:pPr>
                    <w:keepNext w:val="0"/>
                    <w:keepLines w:val="0"/>
                    <w:pageBreakBefore w:val="0"/>
                    <w:widowControl w:val="0"/>
                    <w:tabs>
                      <w:tab w:val="left" w:pos="29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0B9B845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r>
            <w:tr w14:paraId="4764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5EE005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1673" w:type="pct"/>
                  <w:noWrap w:val="0"/>
                  <w:vAlign w:val="center"/>
                </w:tcPr>
                <w:p w14:paraId="65D685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钻床</w:t>
                  </w:r>
                </w:p>
              </w:tc>
              <w:tc>
                <w:tcPr>
                  <w:tcW w:w="1666" w:type="pct"/>
                  <w:noWrap w:val="0"/>
                  <w:vAlign w:val="center"/>
                </w:tcPr>
                <w:p w14:paraId="6D9EFD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4822A4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7D4BC4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r>
            <w:tr w14:paraId="638A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378E78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1673" w:type="pct"/>
                  <w:noWrap w:val="0"/>
                  <w:vAlign w:val="center"/>
                </w:tcPr>
                <w:p w14:paraId="4181A9A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自动焊机</w:t>
                  </w:r>
                </w:p>
              </w:tc>
              <w:tc>
                <w:tcPr>
                  <w:tcW w:w="1666" w:type="pct"/>
                  <w:noWrap w:val="0"/>
                  <w:vAlign w:val="center"/>
                </w:tcPr>
                <w:p w14:paraId="50074A0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5490E14F">
                  <w:pPr>
                    <w:keepNext w:val="0"/>
                    <w:keepLines w:val="0"/>
                    <w:pageBreakBefore w:val="0"/>
                    <w:widowControl w:val="0"/>
                    <w:tabs>
                      <w:tab w:val="left" w:pos="29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台</w:t>
                  </w:r>
                </w:p>
              </w:tc>
              <w:tc>
                <w:tcPr>
                  <w:tcW w:w="635" w:type="pct"/>
                  <w:noWrap w:val="0"/>
                  <w:vAlign w:val="center"/>
                </w:tcPr>
                <w:p w14:paraId="64D506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r>
            <w:tr w14:paraId="226B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6C0B0A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673" w:type="pct"/>
                  <w:noWrap w:val="0"/>
                  <w:vAlign w:val="center"/>
                </w:tcPr>
                <w:p w14:paraId="30B2151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氩弧焊机</w:t>
                  </w:r>
                </w:p>
              </w:tc>
              <w:tc>
                <w:tcPr>
                  <w:tcW w:w="1666" w:type="pct"/>
                  <w:noWrap w:val="0"/>
                  <w:vAlign w:val="center"/>
                </w:tcPr>
                <w:p w14:paraId="3B17353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527FF19D">
                  <w:pPr>
                    <w:keepNext w:val="0"/>
                    <w:keepLines w:val="0"/>
                    <w:pageBreakBefore w:val="0"/>
                    <w:widowControl w:val="0"/>
                    <w:tabs>
                      <w:tab w:val="left" w:pos="29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7FE9F4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r>
            <w:tr w14:paraId="5330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16BA0C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1673" w:type="pct"/>
                  <w:noWrap w:val="0"/>
                  <w:vAlign w:val="center"/>
                </w:tcPr>
                <w:p w14:paraId="3D4CE29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螺柱焊机</w:t>
                  </w:r>
                </w:p>
              </w:tc>
              <w:tc>
                <w:tcPr>
                  <w:tcW w:w="1666" w:type="pct"/>
                  <w:noWrap w:val="0"/>
                  <w:vAlign w:val="center"/>
                </w:tcPr>
                <w:p w14:paraId="47DC625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7AB4B8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083A1F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r>
            <w:tr w14:paraId="7AF5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719F71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1673" w:type="pct"/>
                  <w:noWrap w:val="0"/>
                  <w:vAlign w:val="center"/>
                </w:tcPr>
                <w:p w14:paraId="6CDC202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二氧化碳气体保护焊机</w:t>
                  </w:r>
                </w:p>
              </w:tc>
              <w:tc>
                <w:tcPr>
                  <w:tcW w:w="1666" w:type="pct"/>
                  <w:noWrap w:val="0"/>
                  <w:vAlign w:val="center"/>
                </w:tcPr>
                <w:p w14:paraId="1961178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04EDEF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66006A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r>
            <w:tr w14:paraId="327C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6B97F4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673" w:type="pct"/>
                  <w:noWrap w:val="0"/>
                  <w:vAlign w:val="center"/>
                </w:tcPr>
                <w:p w14:paraId="6D4A6D9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机器人焊机</w:t>
                  </w:r>
                </w:p>
              </w:tc>
              <w:tc>
                <w:tcPr>
                  <w:tcW w:w="1666" w:type="pct"/>
                  <w:noWrap w:val="0"/>
                  <w:vAlign w:val="center"/>
                </w:tcPr>
                <w:p w14:paraId="59A6F74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7B2E8F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5896A3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r>
            <w:tr w14:paraId="76DC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08E9CB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1673" w:type="pct"/>
                  <w:noWrap w:val="0"/>
                  <w:vAlign w:val="center"/>
                </w:tcPr>
                <w:p w14:paraId="74B07B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激光焊机</w:t>
                  </w:r>
                </w:p>
              </w:tc>
              <w:tc>
                <w:tcPr>
                  <w:tcW w:w="1666" w:type="pct"/>
                  <w:noWrap w:val="0"/>
                  <w:vAlign w:val="center"/>
                </w:tcPr>
                <w:p w14:paraId="36FA6F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600A35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287E23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w:t>
                  </w:r>
                </w:p>
              </w:tc>
            </w:tr>
            <w:tr w14:paraId="77DF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28D3F1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673" w:type="pct"/>
                  <w:noWrap w:val="0"/>
                  <w:vAlign w:val="center"/>
                </w:tcPr>
                <w:p w14:paraId="3458CE7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角磨机</w:t>
                  </w:r>
                </w:p>
              </w:tc>
              <w:tc>
                <w:tcPr>
                  <w:tcW w:w="1666" w:type="pct"/>
                  <w:noWrap w:val="0"/>
                  <w:vAlign w:val="center"/>
                </w:tcPr>
                <w:p w14:paraId="165D180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519" w:type="pct"/>
                  <w:noWrap w:val="0"/>
                  <w:vAlign w:val="center"/>
                </w:tcPr>
                <w:p w14:paraId="1A9FC828">
                  <w:pPr>
                    <w:keepNext w:val="0"/>
                    <w:keepLines w:val="0"/>
                    <w:pageBreakBefore w:val="0"/>
                    <w:widowControl w:val="0"/>
                    <w:tabs>
                      <w:tab w:val="left" w:pos="29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53A7DB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p>
              </w:tc>
            </w:tr>
            <w:tr w14:paraId="2208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0E099F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w:t>
                  </w:r>
                </w:p>
              </w:tc>
              <w:tc>
                <w:tcPr>
                  <w:tcW w:w="1673" w:type="pct"/>
                  <w:noWrap w:val="0"/>
                  <w:vAlign w:val="center"/>
                </w:tcPr>
                <w:p w14:paraId="113F0C7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手持抛光机</w:t>
                  </w:r>
                </w:p>
              </w:tc>
              <w:tc>
                <w:tcPr>
                  <w:tcW w:w="1666" w:type="pct"/>
                  <w:noWrap w:val="0"/>
                  <w:vAlign w:val="center"/>
                </w:tcPr>
                <w:p w14:paraId="70788F4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w:t>
                  </w:r>
                </w:p>
              </w:tc>
              <w:tc>
                <w:tcPr>
                  <w:tcW w:w="519" w:type="pct"/>
                  <w:noWrap w:val="0"/>
                  <w:vAlign w:val="center"/>
                </w:tcPr>
                <w:p w14:paraId="2A93C6AA">
                  <w:pPr>
                    <w:keepNext w:val="0"/>
                    <w:keepLines w:val="0"/>
                    <w:pageBreakBefore w:val="0"/>
                    <w:widowControl w:val="0"/>
                    <w:tabs>
                      <w:tab w:val="left" w:pos="29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6E6A7E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8</w:t>
                  </w:r>
                </w:p>
              </w:tc>
            </w:tr>
            <w:tr w14:paraId="3F43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4DD0DF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c>
                <w:tcPr>
                  <w:tcW w:w="1673" w:type="pct"/>
                  <w:noWrap w:val="0"/>
                  <w:vAlign w:val="center"/>
                </w:tcPr>
                <w:p w14:paraId="102A595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抛丸机</w:t>
                  </w:r>
                </w:p>
              </w:tc>
              <w:tc>
                <w:tcPr>
                  <w:tcW w:w="1666" w:type="pct"/>
                  <w:noWrap w:val="0"/>
                  <w:vAlign w:val="center"/>
                </w:tcPr>
                <w:p w14:paraId="66590C1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w:t>
                  </w:r>
                </w:p>
              </w:tc>
              <w:tc>
                <w:tcPr>
                  <w:tcW w:w="519" w:type="pct"/>
                  <w:noWrap w:val="0"/>
                  <w:vAlign w:val="center"/>
                </w:tcPr>
                <w:p w14:paraId="03257070">
                  <w:pPr>
                    <w:keepNext w:val="0"/>
                    <w:keepLines w:val="0"/>
                    <w:pageBreakBefore w:val="0"/>
                    <w:widowControl w:val="0"/>
                    <w:tabs>
                      <w:tab w:val="left" w:pos="29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635" w:type="pct"/>
                  <w:noWrap w:val="0"/>
                  <w:vAlign w:val="center"/>
                </w:tcPr>
                <w:p w14:paraId="76B589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3</w:t>
                  </w:r>
                </w:p>
              </w:tc>
            </w:tr>
            <w:tr w14:paraId="7E3D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shd w:val="clear" w:color="auto" w:fill="auto"/>
                  <w:noWrap w:val="0"/>
                  <w:vAlign w:val="center"/>
                </w:tcPr>
                <w:p w14:paraId="392BB8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23</w:t>
                  </w:r>
                </w:p>
              </w:tc>
              <w:tc>
                <w:tcPr>
                  <w:tcW w:w="1673" w:type="pct"/>
                  <w:shd w:val="clear" w:color="auto" w:fill="auto"/>
                  <w:noWrap w:val="0"/>
                  <w:vAlign w:val="center"/>
                </w:tcPr>
                <w:p w14:paraId="661C97B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空气压缩机</w:t>
                  </w:r>
                </w:p>
              </w:tc>
              <w:tc>
                <w:tcPr>
                  <w:tcW w:w="1666" w:type="pct"/>
                  <w:shd w:val="clear" w:color="auto" w:fill="auto"/>
                  <w:noWrap w:val="0"/>
                  <w:vAlign w:val="center"/>
                </w:tcPr>
                <w:p w14:paraId="6FA6A85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shd w:val="clear" w:color="auto" w:fill="auto"/>
                  <w:noWrap w:val="0"/>
                  <w:vAlign w:val="center"/>
                </w:tcPr>
                <w:p w14:paraId="4761DD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台</w:t>
                  </w:r>
                </w:p>
              </w:tc>
              <w:tc>
                <w:tcPr>
                  <w:tcW w:w="635" w:type="pct"/>
                  <w:shd w:val="clear" w:color="auto" w:fill="auto"/>
                  <w:noWrap w:val="0"/>
                  <w:vAlign w:val="center"/>
                </w:tcPr>
                <w:p w14:paraId="73D3D8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r>
            <w:tr w14:paraId="76BA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shd w:val="clear" w:color="auto" w:fill="auto"/>
                  <w:noWrap w:val="0"/>
                  <w:vAlign w:val="center"/>
                </w:tcPr>
                <w:p w14:paraId="3C4B6C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24</w:t>
                  </w:r>
                </w:p>
              </w:tc>
              <w:tc>
                <w:tcPr>
                  <w:tcW w:w="1673" w:type="pct"/>
                  <w:shd w:val="clear" w:color="auto" w:fill="auto"/>
                  <w:noWrap w:val="0"/>
                  <w:vAlign w:val="center"/>
                </w:tcPr>
                <w:p w14:paraId="35E107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喷塑房</w:t>
                  </w:r>
                </w:p>
              </w:tc>
              <w:tc>
                <w:tcPr>
                  <w:tcW w:w="1666" w:type="pct"/>
                  <w:shd w:val="clear" w:color="auto" w:fill="auto"/>
                  <w:noWrap w:val="0"/>
                  <w:vAlign w:val="center"/>
                </w:tcPr>
                <w:p w14:paraId="084DCA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13m×9.25m×5.5m</w:t>
                  </w:r>
                </w:p>
              </w:tc>
              <w:tc>
                <w:tcPr>
                  <w:tcW w:w="519" w:type="pct"/>
                  <w:shd w:val="clear" w:color="auto" w:fill="auto"/>
                  <w:noWrap w:val="0"/>
                  <w:vAlign w:val="center"/>
                </w:tcPr>
                <w:p w14:paraId="5B1241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间</w:t>
                  </w:r>
                </w:p>
              </w:tc>
              <w:tc>
                <w:tcPr>
                  <w:tcW w:w="635" w:type="pct"/>
                  <w:shd w:val="clear" w:color="auto" w:fill="auto"/>
                  <w:noWrap w:val="0"/>
                  <w:vAlign w:val="center"/>
                </w:tcPr>
                <w:p w14:paraId="71C821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p>
              </w:tc>
            </w:tr>
            <w:tr w14:paraId="6E6B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shd w:val="clear" w:color="auto" w:fill="auto"/>
                  <w:noWrap w:val="0"/>
                  <w:vAlign w:val="center"/>
                </w:tcPr>
                <w:p w14:paraId="3F8966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1673" w:type="pct"/>
                  <w:shd w:val="clear" w:color="auto" w:fill="auto"/>
                  <w:noWrap w:val="0"/>
                  <w:vAlign w:val="center"/>
                </w:tcPr>
                <w:p w14:paraId="5E9EC1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喷漆房</w:t>
                  </w:r>
                </w:p>
              </w:tc>
              <w:tc>
                <w:tcPr>
                  <w:tcW w:w="1666" w:type="pct"/>
                  <w:shd w:val="clear" w:color="auto" w:fill="auto"/>
                  <w:noWrap w:val="0"/>
                  <w:vAlign w:val="center"/>
                </w:tcPr>
                <w:p w14:paraId="7B8E14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11m×5.2m×4m</w:t>
                  </w:r>
                </w:p>
              </w:tc>
              <w:tc>
                <w:tcPr>
                  <w:tcW w:w="519" w:type="pct"/>
                  <w:shd w:val="clear" w:color="auto" w:fill="auto"/>
                  <w:noWrap w:val="0"/>
                  <w:vAlign w:val="center"/>
                </w:tcPr>
                <w:p w14:paraId="751D56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间</w:t>
                  </w:r>
                </w:p>
              </w:tc>
              <w:tc>
                <w:tcPr>
                  <w:tcW w:w="635" w:type="pct"/>
                  <w:shd w:val="clear" w:color="auto" w:fill="auto"/>
                  <w:noWrap w:val="0"/>
                  <w:vAlign w:val="center"/>
                </w:tcPr>
                <w:p w14:paraId="1BC855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r w14:paraId="3456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shd w:val="clear" w:color="auto" w:fill="auto"/>
                  <w:noWrap w:val="0"/>
                  <w:vAlign w:val="center"/>
                </w:tcPr>
                <w:p w14:paraId="6B2A9D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w:t>
                  </w:r>
                </w:p>
              </w:tc>
              <w:tc>
                <w:tcPr>
                  <w:tcW w:w="1673" w:type="pct"/>
                  <w:shd w:val="clear" w:color="auto" w:fill="auto"/>
                  <w:noWrap w:val="0"/>
                  <w:vAlign w:val="center"/>
                </w:tcPr>
                <w:p w14:paraId="2F2648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喷漆房</w:t>
                  </w:r>
                </w:p>
              </w:tc>
              <w:tc>
                <w:tcPr>
                  <w:tcW w:w="1666" w:type="pct"/>
                  <w:shd w:val="clear" w:color="auto" w:fill="auto"/>
                  <w:noWrap w:val="0"/>
                  <w:vAlign w:val="center"/>
                </w:tcPr>
                <w:p w14:paraId="236203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12m×5.2m×4m</w:t>
                  </w:r>
                </w:p>
              </w:tc>
              <w:tc>
                <w:tcPr>
                  <w:tcW w:w="519" w:type="pct"/>
                  <w:shd w:val="clear" w:color="auto" w:fill="auto"/>
                  <w:noWrap w:val="0"/>
                  <w:vAlign w:val="center"/>
                </w:tcPr>
                <w:p w14:paraId="6EEEEC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间</w:t>
                  </w:r>
                </w:p>
              </w:tc>
              <w:tc>
                <w:tcPr>
                  <w:tcW w:w="635" w:type="pct"/>
                  <w:shd w:val="clear" w:color="auto" w:fill="auto"/>
                  <w:noWrap w:val="0"/>
                  <w:vAlign w:val="center"/>
                </w:tcPr>
                <w:p w14:paraId="07D548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17C6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shd w:val="clear" w:color="auto" w:fill="auto"/>
                  <w:noWrap w:val="0"/>
                  <w:vAlign w:val="center"/>
                </w:tcPr>
                <w:p w14:paraId="649284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1673" w:type="pct"/>
                  <w:shd w:val="clear" w:color="auto" w:fill="auto"/>
                  <w:noWrap w:val="0"/>
                  <w:vAlign w:val="center"/>
                </w:tcPr>
                <w:p w14:paraId="5934AD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固化</w:t>
                  </w:r>
                  <w:r>
                    <w:rPr>
                      <w:rFonts w:hint="eastAsia" w:cs="Times New Roman"/>
                      <w:color w:val="auto"/>
                      <w:highlight w:val="none"/>
                      <w:lang w:val="en-US" w:eastAsia="zh-CN"/>
                    </w:rPr>
                    <w:t>烘道（直形烘道）</w:t>
                  </w:r>
                </w:p>
              </w:tc>
              <w:tc>
                <w:tcPr>
                  <w:tcW w:w="1666" w:type="pct"/>
                  <w:shd w:val="clear" w:color="auto" w:fill="auto"/>
                  <w:noWrap w:val="0"/>
                  <w:vAlign w:val="center"/>
                </w:tcPr>
                <w:p w14:paraId="7C1AD4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63m×2.45m×5.1m</w:t>
                  </w:r>
                </w:p>
              </w:tc>
              <w:tc>
                <w:tcPr>
                  <w:tcW w:w="519" w:type="pct"/>
                  <w:shd w:val="clear" w:color="auto" w:fill="auto"/>
                  <w:noWrap w:val="0"/>
                  <w:vAlign w:val="center"/>
                </w:tcPr>
                <w:p w14:paraId="4F5B88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间</w:t>
                  </w:r>
                </w:p>
              </w:tc>
              <w:tc>
                <w:tcPr>
                  <w:tcW w:w="635" w:type="pct"/>
                  <w:shd w:val="clear" w:color="auto" w:fill="auto"/>
                  <w:noWrap w:val="0"/>
                  <w:vAlign w:val="center"/>
                </w:tcPr>
                <w:p w14:paraId="7568E3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63A0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shd w:val="clear" w:color="auto" w:fill="auto"/>
                  <w:noWrap w:val="0"/>
                  <w:vAlign w:val="center"/>
                </w:tcPr>
                <w:p w14:paraId="7D62ED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c>
                <w:tcPr>
                  <w:tcW w:w="1673" w:type="pct"/>
                  <w:shd w:val="clear" w:color="auto" w:fill="auto"/>
                  <w:noWrap w:val="0"/>
                  <w:vAlign w:val="center"/>
                </w:tcPr>
                <w:p w14:paraId="704BF8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水分</w:t>
                  </w:r>
                  <w:r>
                    <w:rPr>
                      <w:rFonts w:hint="default" w:ascii="Times New Roman" w:hAnsi="Times New Roman" w:cs="Times New Roman"/>
                      <w:color w:val="auto"/>
                      <w:kern w:val="2"/>
                      <w:sz w:val="21"/>
                      <w:szCs w:val="21"/>
                      <w:highlight w:val="none"/>
                      <w:lang w:val="en-US" w:eastAsia="zh-CN" w:bidi="ar-SA"/>
                    </w:rPr>
                    <w:t>烘干</w:t>
                  </w:r>
                  <w:r>
                    <w:rPr>
                      <w:rFonts w:hint="eastAsia" w:cs="Times New Roman"/>
                      <w:color w:val="auto"/>
                      <w:kern w:val="2"/>
                      <w:sz w:val="21"/>
                      <w:szCs w:val="21"/>
                      <w:highlight w:val="none"/>
                      <w:lang w:val="en-US" w:eastAsia="zh-CN" w:bidi="ar-SA"/>
                    </w:rPr>
                    <w:t>烘道</w:t>
                  </w:r>
                </w:p>
              </w:tc>
              <w:tc>
                <w:tcPr>
                  <w:tcW w:w="1666" w:type="pct"/>
                  <w:shd w:val="clear" w:color="auto" w:fill="auto"/>
                  <w:noWrap w:val="0"/>
                  <w:vAlign w:val="center"/>
                </w:tcPr>
                <w:p w14:paraId="7A462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31m×2.4m×5.1m</w:t>
                  </w:r>
                </w:p>
              </w:tc>
              <w:tc>
                <w:tcPr>
                  <w:tcW w:w="519" w:type="pct"/>
                  <w:shd w:val="clear" w:color="auto" w:fill="auto"/>
                  <w:noWrap w:val="0"/>
                  <w:vAlign w:val="center"/>
                </w:tcPr>
                <w:p w14:paraId="020B69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间</w:t>
                  </w:r>
                </w:p>
              </w:tc>
              <w:tc>
                <w:tcPr>
                  <w:tcW w:w="635" w:type="pct"/>
                  <w:shd w:val="clear" w:color="auto" w:fill="auto"/>
                  <w:noWrap w:val="0"/>
                  <w:vAlign w:val="center"/>
                </w:tcPr>
                <w:p w14:paraId="27D720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6918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2BCB81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w:t>
                  </w:r>
                </w:p>
              </w:tc>
              <w:tc>
                <w:tcPr>
                  <w:tcW w:w="1673" w:type="pct"/>
                  <w:shd w:val="clear" w:color="auto" w:fill="auto"/>
                  <w:noWrap w:val="0"/>
                  <w:vAlign w:val="center"/>
                </w:tcPr>
                <w:p w14:paraId="02BD5F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液压打包机</w:t>
                  </w:r>
                </w:p>
              </w:tc>
              <w:tc>
                <w:tcPr>
                  <w:tcW w:w="1666" w:type="pct"/>
                  <w:shd w:val="clear" w:color="auto" w:fill="auto"/>
                  <w:noWrap w:val="0"/>
                  <w:vAlign w:val="center"/>
                </w:tcPr>
                <w:p w14:paraId="1DB2CE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19" w:type="pct"/>
                  <w:shd w:val="clear" w:color="auto" w:fill="auto"/>
                  <w:noWrap w:val="0"/>
                  <w:vAlign w:val="center"/>
                </w:tcPr>
                <w:p w14:paraId="46B99B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台</w:t>
                  </w:r>
                </w:p>
              </w:tc>
              <w:tc>
                <w:tcPr>
                  <w:tcW w:w="635" w:type="pct"/>
                  <w:shd w:val="clear" w:color="auto" w:fill="auto"/>
                  <w:noWrap w:val="0"/>
                  <w:vAlign w:val="center"/>
                </w:tcPr>
                <w:p w14:paraId="3421D5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088C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0831B5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673" w:type="pct"/>
                  <w:shd w:val="clear" w:color="auto" w:fill="auto"/>
                  <w:noWrap w:val="0"/>
                  <w:vAlign w:val="center"/>
                </w:tcPr>
                <w:p w14:paraId="54D913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脱脂槽</w:t>
                  </w:r>
                </w:p>
              </w:tc>
              <w:tc>
                <w:tcPr>
                  <w:tcW w:w="1666" w:type="pct"/>
                  <w:shd w:val="clear" w:color="auto" w:fill="auto"/>
                  <w:noWrap w:val="0"/>
                  <w:vAlign w:val="center"/>
                </w:tcPr>
                <w:p w14:paraId="7B8C97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1.5m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1.2m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2.6</w:t>
                  </w:r>
                  <w:r>
                    <w:rPr>
                      <w:rFonts w:hint="eastAsia" w:cs="Times New Roman"/>
                      <w:color w:val="auto"/>
                      <w:highlight w:val="none"/>
                      <w:lang w:val="en-US" w:eastAsia="zh-CN"/>
                    </w:rPr>
                    <w:t>m</w:t>
                  </w:r>
                </w:p>
              </w:tc>
              <w:tc>
                <w:tcPr>
                  <w:tcW w:w="519" w:type="pct"/>
                  <w:shd w:val="clear" w:color="auto" w:fill="auto"/>
                  <w:noWrap w:val="0"/>
                  <w:vAlign w:val="center"/>
                </w:tcPr>
                <w:p w14:paraId="5B8046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座</w:t>
                  </w:r>
                </w:p>
              </w:tc>
              <w:tc>
                <w:tcPr>
                  <w:tcW w:w="635" w:type="pct"/>
                  <w:shd w:val="clear" w:color="auto" w:fill="auto"/>
                  <w:noWrap w:val="0"/>
                  <w:vAlign w:val="center"/>
                </w:tcPr>
                <w:p w14:paraId="59B271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0AEF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4E28B2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31</w:t>
                  </w:r>
                </w:p>
              </w:tc>
              <w:tc>
                <w:tcPr>
                  <w:tcW w:w="1673" w:type="pct"/>
                  <w:shd w:val="clear" w:color="auto" w:fill="auto"/>
                  <w:noWrap w:val="0"/>
                  <w:vAlign w:val="center"/>
                </w:tcPr>
                <w:p w14:paraId="628264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水洗槽</w:t>
                  </w:r>
                </w:p>
              </w:tc>
              <w:tc>
                <w:tcPr>
                  <w:tcW w:w="1666" w:type="pct"/>
                  <w:shd w:val="clear" w:color="auto" w:fill="auto"/>
                  <w:noWrap w:val="0"/>
                  <w:vAlign w:val="center"/>
                </w:tcPr>
                <w:p w14:paraId="361701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highlight w:val="none"/>
                      <w:lang w:val="en-US" w:eastAsia="zh-CN"/>
                    </w:rPr>
                    <w:t>1.5m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1.2m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2.6</w:t>
                  </w:r>
                  <w:r>
                    <w:rPr>
                      <w:rFonts w:hint="eastAsia" w:cs="Times New Roman"/>
                      <w:color w:val="auto"/>
                      <w:highlight w:val="none"/>
                      <w:lang w:val="en-US" w:eastAsia="zh-CN"/>
                    </w:rPr>
                    <w:t>m</w:t>
                  </w:r>
                </w:p>
              </w:tc>
              <w:tc>
                <w:tcPr>
                  <w:tcW w:w="519" w:type="pct"/>
                  <w:shd w:val="clear" w:color="auto" w:fill="auto"/>
                  <w:noWrap w:val="0"/>
                  <w:vAlign w:val="center"/>
                </w:tcPr>
                <w:p w14:paraId="3675EC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座</w:t>
                  </w:r>
                </w:p>
              </w:tc>
              <w:tc>
                <w:tcPr>
                  <w:tcW w:w="635" w:type="pct"/>
                  <w:shd w:val="clear" w:color="auto" w:fill="auto"/>
                  <w:noWrap w:val="0"/>
                  <w:vAlign w:val="center"/>
                </w:tcPr>
                <w:p w14:paraId="434A37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14:paraId="29CE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643387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32</w:t>
                  </w:r>
                </w:p>
              </w:tc>
              <w:tc>
                <w:tcPr>
                  <w:tcW w:w="1673" w:type="pct"/>
                  <w:shd w:val="clear" w:color="auto" w:fill="auto"/>
                  <w:noWrap w:val="0"/>
                  <w:vAlign w:val="center"/>
                </w:tcPr>
                <w:p w14:paraId="6D9A8D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无铬钝化槽</w:t>
                  </w:r>
                </w:p>
              </w:tc>
              <w:tc>
                <w:tcPr>
                  <w:tcW w:w="1666" w:type="pct"/>
                  <w:shd w:val="clear" w:color="auto" w:fill="auto"/>
                  <w:noWrap w:val="0"/>
                  <w:vAlign w:val="center"/>
                </w:tcPr>
                <w:p w14:paraId="57033E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highlight w:val="none"/>
                      <w:lang w:val="en-US" w:eastAsia="zh-CN"/>
                    </w:rPr>
                    <w:t>1.5m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1.2m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2.6</w:t>
                  </w:r>
                  <w:r>
                    <w:rPr>
                      <w:rFonts w:hint="eastAsia" w:cs="Times New Roman"/>
                      <w:color w:val="auto"/>
                      <w:highlight w:val="none"/>
                      <w:lang w:val="en-US" w:eastAsia="zh-CN"/>
                    </w:rPr>
                    <w:t>m</w:t>
                  </w:r>
                </w:p>
              </w:tc>
              <w:tc>
                <w:tcPr>
                  <w:tcW w:w="519" w:type="pct"/>
                  <w:shd w:val="clear" w:color="auto" w:fill="auto"/>
                  <w:noWrap w:val="0"/>
                  <w:vAlign w:val="center"/>
                </w:tcPr>
                <w:p w14:paraId="4EB00F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座</w:t>
                  </w:r>
                </w:p>
              </w:tc>
              <w:tc>
                <w:tcPr>
                  <w:tcW w:w="635" w:type="pct"/>
                  <w:shd w:val="clear" w:color="auto" w:fill="auto"/>
                  <w:noWrap w:val="0"/>
                  <w:vAlign w:val="center"/>
                </w:tcPr>
                <w:p w14:paraId="4EE4EF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14:paraId="6710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0"/>
                  <w:vAlign w:val="center"/>
                </w:tcPr>
                <w:p w14:paraId="6926E2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环保设施</w:t>
                  </w:r>
                </w:p>
              </w:tc>
            </w:tr>
            <w:tr w14:paraId="239A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769624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673" w:type="pct"/>
                  <w:shd w:val="clear" w:color="auto" w:fill="auto"/>
                  <w:noWrap w:val="0"/>
                  <w:vAlign w:val="center"/>
                </w:tcPr>
                <w:p w14:paraId="29099B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滤芯除尘</w:t>
                  </w:r>
                </w:p>
              </w:tc>
              <w:tc>
                <w:tcPr>
                  <w:tcW w:w="1666" w:type="pct"/>
                  <w:shd w:val="clear" w:color="auto" w:fill="auto"/>
                  <w:noWrap w:val="0"/>
                  <w:vAlign w:val="center"/>
                </w:tcPr>
                <w:p w14:paraId="0E889A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w:t>
                  </w:r>
                </w:p>
              </w:tc>
              <w:tc>
                <w:tcPr>
                  <w:tcW w:w="519" w:type="pct"/>
                  <w:shd w:val="clear" w:color="auto" w:fill="auto"/>
                  <w:noWrap w:val="0"/>
                  <w:vAlign w:val="center"/>
                </w:tcPr>
                <w:p w14:paraId="7DBF2C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套</w:t>
                  </w:r>
                </w:p>
              </w:tc>
              <w:tc>
                <w:tcPr>
                  <w:tcW w:w="635" w:type="pct"/>
                  <w:shd w:val="clear" w:color="auto" w:fill="auto"/>
                  <w:noWrap w:val="0"/>
                  <w:vAlign w:val="center"/>
                </w:tcPr>
                <w:p w14:paraId="46B4DE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r w14:paraId="206F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4E699A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673" w:type="pct"/>
                  <w:shd w:val="clear" w:color="auto" w:fill="auto"/>
                  <w:noWrap w:val="0"/>
                  <w:vAlign w:val="center"/>
                </w:tcPr>
                <w:p w14:paraId="77B022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布袋除尘器</w:t>
                  </w:r>
                </w:p>
              </w:tc>
              <w:tc>
                <w:tcPr>
                  <w:tcW w:w="1666" w:type="pct"/>
                  <w:shd w:val="clear" w:color="auto" w:fill="auto"/>
                  <w:noWrap w:val="0"/>
                  <w:vAlign w:val="center"/>
                </w:tcPr>
                <w:p w14:paraId="48F5ED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w:t>
                  </w:r>
                </w:p>
              </w:tc>
              <w:tc>
                <w:tcPr>
                  <w:tcW w:w="519" w:type="pct"/>
                  <w:shd w:val="clear" w:color="auto" w:fill="auto"/>
                  <w:noWrap w:val="0"/>
                  <w:vAlign w:val="center"/>
                </w:tcPr>
                <w:p w14:paraId="17A21C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套</w:t>
                  </w:r>
                </w:p>
              </w:tc>
              <w:tc>
                <w:tcPr>
                  <w:tcW w:w="635" w:type="pct"/>
                  <w:shd w:val="clear" w:color="auto" w:fill="auto"/>
                  <w:noWrap w:val="0"/>
                  <w:vAlign w:val="center"/>
                </w:tcPr>
                <w:p w14:paraId="5DA2F9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r>
            <w:tr w14:paraId="58A0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noWrap w:val="0"/>
                  <w:vAlign w:val="center"/>
                </w:tcPr>
                <w:p w14:paraId="45476C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673" w:type="pct"/>
                  <w:shd w:val="clear" w:color="auto" w:fill="auto"/>
                  <w:noWrap w:val="0"/>
                  <w:vAlign w:val="center"/>
                </w:tcPr>
                <w:p w14:paraId="374324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二级活性炭吸附装置</w:t>
                  </w:r>
                </w:p>
              </w:tc>
              <w:tc>
                <w:tcPr>
                  <w:tcW w:w="1666" w:type="pct"/>
                  <w:shd w:val="clear" w:color="auto" w:fill="auto"/>
                  <w:noWrap w:val="0"/>
                  <w:vAlign w:val="center"/>
                </w:tcPr>
                <w:p w14:paraId="371677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w:t>
                  </w:r>
                </w:p>
              </w:tc>
              <w:tc>
                <w:tcPr>
                  <w:tcW w:w="519" w:type="pct"/>
                  <w:shd w:val="clear" w:color="auto" w:fill="auto"/>
                  <w:noWrap w:val="0"/>
                  <w:vAlign w:val="center"/>
                </w:tcPr>
                <w:p w14:paraId="785F66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套</w:t>
                  </w:r>
                </w:p>
              </w:tc>
              <w:tc>
                <w:tcPr>
                  <w:tcW w:w="635" w:type="pct"/>
                  <w:shd w:val="clear" w:color="auto" w:fill="auto"/>
                  <w:noWrap w:val="0"/>
                  <w:vAlign w:val="center"/>
                </w:tcPr>
                <w:p w14:paraId="3CDA77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r>
          </w:tbl>
          <w:p w14:paraId="6E7BF9A4">
            <w:pPr>
              <w:kinsoku/>
              <w:adjustRightInd/>
              <w:snapToGrid/>
              <w:spacing w:line="360" w:lineRule="auto"/>
              <w:ind w:firstLine="480" w:firstLineChars="200"/>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lang w:eastAsia="zh-CN"/>
              </w:rPr>
              <w:t>5、职工人数及工作制度</w:t>
            </w:r>
          </w:p>
          <w:p w14:paraId="2524EF28">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本项目劳动定员</w:t>
            </w:r>
            <w:r>
              <w:rPr>
                <w:rFonts w:hint="eastAsia" w:cs="Times New Roman"/>
                <w:color w:val="auto"/>
                <w:sz w:val="24"/>
                <w:highlight w:val="none"/>
                <w:lang w:val="en-US" w:eastAsia="zh-CN"/>
              </w:rPr>
              <w:t>120</w:t>
            </w:r>
            <w:r>
              <w:rPr>
                <w:rFonts w:ascii="Times New Roman" w:hAnsi="Times New Roman" w:eastAsia="宋体" w:cs="Times New Roman"/>
                <w:color w:val="auto"/>
                <w:sz w:val="24"/>
                <w:highlight w:val="none"/>
                <w:lang w:eastAsia="zh-CN"/>
              </w:rPr>
              <w:t>人，实行</w:t>
            </w:r>
            <w:r>
              <w:rPr>
                <w:rFonts w:hint="eastAsia" w:cs="Times New Roman"/>
                <w:color w:val="auto"/>
                <w:sz w:val="24"/>
                <w:highlight w:val="none"/>
                <w:lang w:val="en-US" w:eastAsia="zh-CN"/>
              </w:rPr>
              <w:t>昼间</w:t>
            </w:r>
            <w:r>
              <w:rPr>
                <w:rFonts w:ascii="Times New Roman" w:hAnsi="Times New Roman" w:eastAsia="宋体" w:cs="Times New Roman"/>
                <w:color w:val="auto"/>
                <w:sz w:val="24"/>
                <w:highlight w:val="none"/>
                <w:lang w:eastAsia="zh-CN"/>
              </w:rPr>
              <w:t>一班制生产，年工作300天，年工作时间2400h</w:t>
            </w:r>
            <w:r>
              <w:rPr>
                <w:rFonts w:hint="eastAsia" w:ascii="Times New Roman" w:hAnsi="Times New Roman" w:eastAsia="宋体" w:cs="Times New Roman"/>
                <w:color w:val="auto"/>
                <w:sz w:val="24"/>
                <w:highlight w:val="none"/>
                <w:lang w:eastAsia="zh-CN"/>
              </w:rPr>
              <w:t>。</w:t>
            </w:r>
          </w:p>
          <w:p w14:paraId="14F79EA3">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6、项目平面布置</w:t>
            </w:r>
          </w:p>
          <w:p w14:paraId="7A8D832A">
            <w:pPr>
              <w:pStyle w:val="48"/>
              <w:kinsoku/>
              <w:adjustRightInd/>
              <w:snapToGrid/>
              <w:spacing w:line="360" w:lineRule="auto"/>
              <w:ind w:firstLine="480" w:firstLineChars="200"/>
              <w:rPr>
                <w:rFonts w:ascii="Times New Roman" w:hAnsi="Times New Roman" w:eastAsia="宋体" w:cs="Times New Roman"/>
                <w:b/>
                <w:color w:val="auto"/>
                <w:sz w:val="24"/>
                <w:szCs w:val="24"/>
                <w:highlight w:val="none"/>
                <w:lang w:eastAsia="zh-CN"/>
              </w:rPr>
            </w:pPr>
            <w:r>
              <w:rPr>
                <w:rFonts w:ascii="Times New Roman" w:hAnsi="Times New Roman" w:eastAsia="宋体" w:cs="Times New Roman"/>
                <w:color w:val="auto"/>
                <w:sz w:val="24"/>
                <w:szCs w:val="24"/>
                <w:highlight w:val="none"/>
                <w:lang w:eastAsia="zh-CN"/>
              </w:rPr>
              <w:t>项目位于安徽淮北相山经济开发区</w:t>
            </w:r>
            <w:r>
              <w:rPr>
                <w:rFonts w:hint="default" w:ascii="Times New Roman" w:hAnsi="Times New Roman" w:cs="Times New Roman"/>
                <w:color w:val="auto"/>
                <w:sz w:val="24"/>
                <w:szCs w:val="24"/>
                <w:highlight w:val="none"/>
              </w:rPr>
              <w:t>凤霞路9号</w:t>
            </w:r>
            <w:r>
              <w:rPr>
                <w:rFonts w:ascii="Times New Roman" w:hAnsi="Times New Roman" w:eastAsia="宋体" w:cs="Times New Roman"/>
                <w:color w:val="auto"/>
                <w:sz w:val="24"/>
                <w:szCs w:val="24"/>
                <w:highlight w:val="none"/>
                <w:lang w:eastAsia="zh-CN"/>
              </w:rPr>
              <w:t>，根据项目功能要求和场地地形，在生产车间</w:t>
            </w:r>
            <w:r>
              <w:rPr>
                <w:rFonts w:hint="eastAsia" w:cs="Times New Roman"/>
                <w:color w:val="auto"/>
                <w:sz w:val="24"/>
                <w:szCs w:val="24"/>
                <w:highlight w:val="none"/>
                <w:lang w:val="en-US" w:eastAsia="zh-CN"/>
              </w:rPr>
              <w:t>内自北向南依次设置喷塑房、喷漆房、固化烘道、清洗区域和水分烘道，自东向西设置激光下料区、焊接区、开平区及抛丸机等，并设置原料仓库、成品仓库等。</w:t>
            </w:r>
            <w:r>
              <w:rPr>
                <w:rFonts w:ascii="Times New Roman" w:hAnsi="Times New Roman" w:eastAsia="宋体" w:cs="Times New Roman"/>
                <w:color w:val="auto"/>
                <w:sz w:val="24"/>
                <w:szCs w:val="24"/>
                <w:highlight w:val="none"/>
                <w:lang w:eastAsia="zh-CN"/>
              </w:rPr>
              <w:t>项目布置总体来说，结构明朗，流程顺畅，布局紧凑，符合防火、安全卫生、环保、交通、运输、生产工艺流程等需求。总体上做到按功能分区，系统分明，布置整齐。项目平面布置满足生产人流、物流分离、互不交叉干扰的原则（具体见附图）。</w:t>
            </w:r>
          </w:p>
          <w:p w14:paraId="21EDEC0E">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综上所述，本项目厂区平面布局较合理。</w:t>
            </w:r>
          </w:p>
          <w:p w14:paraId="3F858A10">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7、水量平衡</w:t>
            </w:r>
          </w:p>
          <w:p w14:paraId="65ACF374">
            <w:pPr>
              <w:pStyle w:val="48"/>
              <w:kinsoku/>
              <w:adjustRightInd/>
              <w:snapToGrid/>
              <w:spacing w:line="360" w:lineRule="auto"/>
              <w:ind w:firstLine="480" w:firstLineChars="200"/>
              <w:rPr>
                <w:rFonts w:hint="eastAsia" w:cs="Times New Roman"/>
                <w:color w:val="auto"/>
                <w:sz w:val="24"/>
                <w:szCs w:val="24"/>
                <w:highlight w:val="none"/>
                <w:lang w:val="en-US" w:eastAsia="zh-CN"/>
              </w:rPr>
            </w:pPr>
            <w:r>
              <w:rPr>
                <w:rFonts w:ascii="Times New Roman" w:hAnsi="Times New Roman" w:eastAsia="宋体" w:cs="Times New Roman"/>
                <w:color w:val="auto"/>
                <w:sz w:val="24"/>
                <w:szCs w:val="24"/>
                <w:highlight w:val="none"/>
                <w:lang w:eastAsia="zh-CN"/>
              </w:rPr>
              <w:t>项目用水主要是职工生活用水</w:t>
            </w:r>
            <w:r>
              <w:rPr>
                <w:rFonts w:hint="eastAsia" w:cs="Times New Roman"/>
                <w:color w:val="auto"/>
                <w:sz w:val="24"/>
                <w:szCs w:val="24"/>
                <w:highlight w:val="none"/>
                <w:lang w:val="en-US" w:eastAsia="zh-CN"/>
              </w:rPr>
              <w:t>和生产用水。</w:t>
            </w:r>
          </w:p>
          <w:p w14:paraId="19702AC1">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w:t>
            </w:r>
            <w:r>
              <w:rPr>
                <w:rFonts w:ascii="Times New Roman" w:hAnsi="Times New Roman" w:eastAsia="宋体" w:cs="Times New Roman"/>
                <w:color w:val="auto"/>
                <w:kern w:val="2"/>
                <w:sz w:val="24"/>
                <w:szCs w:val="24"/>
                <w:highlight w:val="none"/>
                <w:lang w:val="en-US" w:eastAsia="zh-CN" w:bidi="ar-SA"/>
              </w:rPr>
              <w:t>生活用水：项目劳动定员人数</w:t>
            </w:r>
            <w:r>
              <w:rPr>
                <w:rFonts w:hint="eastAsia" w:ascii="Times New Roman" w:hAnsi="Times New Roman" w:eastAsia="宋体" w:cs="Times New Roman"/>
                <w:color w:val="auto"/>
                <w:kern w:val="2"/>
                <w:sz w:val="24"/>
                <w:szCs w:val="24"/>
                <w:highlight w:val="none"/>
                <w:lang w:val="en-US" w:eastAsia="zh-CN" w:bidi="ar-SA"/>
              </w:rPr>
              <w:t>120</w:t>
            </w:r>
            <w:r>
              <w:rPr>
                <w:rFonts w:ascii="Times New Roman" w:hAnsi="Times New Roman" w:eastAsia="宋体" w:cs="Times New Roman"/>
                <w:color w:val="auto"/>
                <w:kern w:val="2"/>
                <w:sz w:val="24"/>
                <w:szCs w:val="24"/>
                <w:highlight w:val="none"/>
                <w:lang w:val="en-US" w:eastAsia="zh-CN" w:bidi="ar-SA"/>
              </w:rPr>
              <w:t>人，</w:t>
            </w:r>
            <w:r>
              <w:rPr>
                <w:rFonts w:hint="eastAsia" w:cs="Times New Roman"/>
                <w:color w:val="auto"/>
                <w:kern w:val="2"/>
                <w:sz w:val="24"/>
                <w:szCs w:val="24"/>
                <w:highlight w:val="none"/>
                <w:lang w:val="en-US" w:eastAsia="zh-CN" w:bidi="ar-SA"/>
              </w:rPr>
              <w:t>不提供食宿，</w:t>
            </w:r>
            <w:r>
              <w:rPr>
                <w:rFonts w:hint="eastAsia" w:ascii="Times New Roman" w:hAnsi="Times New Roman" w:eastAsia="宋体" w:cs="Times New Roman"/>
                <w:color w:val="auto"/>
                <w:kern w:val="2"/>
                <w:sz w:val="24"/>
                <w:szCs w:val="24"/>
                <w:highlight w:val="none"/>
                <w:lang w:val="en-US" w:eastAsia="zh-CN" w:bidi="ar-SA"/>
              </w:rPr>
              <w:t>根据</w:t>
            </w:r>
            <w:r>
              <w:rPr>
                <w:rFonts w:ascii="Times New Roman" w:hAnsi="Times New Roman" w:eastAsia="宋体" w:cs="Times New Roman"/>
                <w:color w:val="auto"/>
                <w:kern w:val="2"/>
                <w:sz w:val="24"/>
                <w:szCs w:val="24"/>
                <w:highlight w:val="none"/>
                <w:lang w:val="en-US" w:eastAsia="zh-CN" w:bidi="ar-SA"/>
              </w:rPr>
              <w:t>《安徽省行业用水定额》（DB34/T</w:t>
            </w:r>
            <w:r>
              <w:rPr>
                <w:rFonts w:hint="eastAsia" w:ascii="Times New Roman" w:hAnsi="Times New Roman" w:eastAsia="宋体" w:cs="Times New Roman"/>
                <w:color w:val="auto"/>
                <w:kern w:val="2"/>
                <w:sz w:val="24"/>
                <w:szCs w:val="24"/>
                <w:highlight w:val="none"/>
                <w:lang w:val="en-US" w:eastAsia="zh-CN" w:bidi="ar-SA"/>
              </w:rPr>
              <w:t xml:space="preserve"> 679-20</w:t>
            </w:r>
            <w:r>
              <w:rPr>
                <w:rFonts w:hint="eastAsia" w:cs="Times New Roman"/>
                <w:color w:val="auto"/>
                <w:kern w:val="2"/>
                <w:sz w:val="24"/>
                <w:szCs w:val="24"/>
                <w:highlight w:val="none"/>
                <w:lang w:val="en-US" w:eastAsia="zh-CN" w:bidi="ar-SA"/>
              </w:rPr>
              <w:t>25</w:t>
            </w:r>
            <w:r>
              <w:rPr>
                <w:rFonts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，本项目人均用水量按</w:t>
            </w:r>
            <w:r>
              <w:rPr>
                <w:rFonts w:hint="eastAsia" w:cs="Times New Roman"/>
                <w:color w:val="auto"/>
                <w:kern w:val="2"/>
                <w:sz w:val="24"/>
                <w:szCs w:val="24"/>
                <w:highlight w:val="none"/>
                <w:lang w:val="en-US" w:eastAsia="zh-CN" w:bidi="ar-SA"/>
              </w:rPr>
              <w:t>38m³/a</w:t>
            </w:r>
            <w:r>
              <w:rPr>
                <w:rFonts w:hint="eastAsia" w:ascii="Times New Roman" w:hAnsi="Times New Roman" w:eastAsia="宋体" w:cs="Times New Roman"/>
                <w:color w:val="auto"/>
                <w:kern w:val="2"/>
                <w:sz w:val="24"/>
                <w:szCs w:val="24"/>
                <w:highlight w:val="none"/>
                <w:lang w:val="en-US" w:eastAsia="zh-CN" w:bidi="ar-SA"/>
              </w:rPr>
              <w:t>计，则用水量为</w:t>
            </w:r>
            <w:r>
              <w:rPr>
                <w:rFonts w:hint="eastAsia" w:cs="Times New Roman"/>
                <w:color w:val="auto"/>
                <w:kern w:val="2"/>
                <w:sz w:val="24"/>
                <w:szCs w:val="24"/>
                <w:highlight w:val="none"/>
                <w:lang w:val="en-US" w:eastAsia="zh-CN" w:bidi="ar-SA"/>
              </w:rPr>
              <w:t>15.2m³</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4560m³</w:t>
            </w:r>
            <w:r>
              <w:rPr>
                <w:rFonts w:hint="eastAsia" w:ascii="Times New Roman" w:hAnsi="Times New Roman" w:eastAsia="宋体" w:cs="Times New Roman"/>
                <w:color w:val="auto"/>
                <w:kern w:val="2"/>
                <w:sz w:val="24"/>
                <w:szCs w:val="24"/>
                <w:highlight w:val="none"/>
                <w:lang w:val="en-US" w:eastAsia="zh-CN" w:bidi="ar-SA"/>
              </w:rPr>
              <w:t>/a），产污系数为0.8，则生活污水量为</w:t>
            </w:r>
            <w:r>
              <w:rPr>
                <w:rFonts w:hint="eastAsia" w:cs="Times New Roman"/>
                <w:color w:val="auto"/>
                <w:kern w:val="2"/>
                <w:sz w:val="24"/>
                <w:szCs w:val="24"/>
                <w:highlight w:val="none"/>
                <w:lang w:val="en-US" w:eastAsia="zh-CN" w:bidi="ar-SA"/>
              </w:rPr>
              <w:t>12.16m³</w:t>
            </w:r>
            <w:r>
              <w:rPr>
                <w:rFonts w:hint="eastAsia" w:ascii="Times New Roman" w:hAnsi="Times New Roman" w:eastAsia="宋体" w:cs="Times New Roman"/>
                <w:color w:val="auto"/>
                <w:kern w:val="2"/>
                <w:sz w:val="24"/>
                <w:szCs w:val="24"/>
                <w:highlight w:val="none"/>
                <w:lang w:val="en-US" w:eastAsia="zh-CN" w:bidi="ar-SA"/>
              </w:rPr>
              <w:t>/d（</w:t>
            </w:r>
            <w:r>
              <w:rPr>
                <w:rFonts w:hint="eastAsia" w:cs="Times New Roman"/>
                <w:color w:val="auto"/>
                <w:kern w:val="2"/>
                <w:sz w:val="24"/>
                <w:szCs w:val="24"/>
                <w:highlight w:val="none"/>
                <w:lang w:val="en-US" w:eastAsia="zh-CN" w:bidi="ar-SA"/>
              </w:rPr>
              <w:t>3648m³</w:t>
            </w:r>
            <w:r>
              <w:rPr>
                <w:rFonts w:hint="eastAsia" w:ascii="Times New Roman" w:hAnsi="Times New Roman" w:eastAsia="宋体" w:cs="Times New Roman"/>
                <w:color w:val="auto"/>
                <w:kern w:val="2"/>
                <w:sz w:val="24"/>
                <w:szCs w:val="24"/>
                <w:highlight w:val="none"/>
                <w:lang w:val="en-US" w:eastAsia="zh-CN" w:bidi="ar-SA"/>
              </w:rPr>
              <w:t>/a）。</w:t>
            </w:r>
          </w:p>
          <w:p w14:paraId="2DE50C4C">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（2）生产用水</w:t>
            </w:r>
          </w:p>
          <w:p w14:paraId="29AA7D84">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①脱脂剂、无铬钝化剂稀释用水：根据建设单位提供，脱脂液稀释用水约2.5：100的配比进行配制，无铬钝化液稀释用水约1.5：1000的配比进行配制。项目年用脱脂剂10吨，无铬钝化剂年用5吨，则项目原料稀释用水约为12.447m³/d（3734m³/a）。</w:t>
            </w:r>
          </w:p>
          <w:p w14:paraId="771FAA77">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②脱脂用水：脱脂工序采用喷头喷淋的方式进行水洗、脱脂循环水池容积为4.68m³，有效容积以90%计，则有效贮液容积为4.3m³，损失量按照水量的5%计算，每天补充约0.215m³/d（64.5m³/a），脱脂补水由水洗用水和无铬钝化用水以及脱脂用水经污水处理站处理后的尾水补充，脂清洗用水循环使用，每6个月更换一次，排放水量为0.029m³/d（8.7m³/a），脱脂用水经自建污水处理站处理后回用于脱脂循环水池。</w:t>
            </w:r>
          </w:p>
          <w:p w14:paraId="56D13FF4">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③水洗用水（共两道）：项目脱脂后经过两道水洗，清水水洗采用喷头喷淋的</w:t>
            </w:r>
            <w:r>
              <w:rPr>
                <w:rFonts w:hint="eastAsia"/>
                <w:color w:val="auto"/>
                <w:highlight w:val="none"/>
                <w:lang w:val="en-US" w:eastAsia="zh-CN"/>
              </w:rPr>
              <w:t>方式</w:t>
            </w:r>
            <w:r>
              <w:rPr>
                <w:rFonts w:hint="eastAsia" w:cs="Times New Roman"/>
                <w:color w:val="auto"/>
                <w:kern w:val="2"/>
                <w:sz w:val="24"/>
                <w:szCs w:val="24"/>
                <w:highlight w:val="none"/>
                <w:lang w:val="en-US" w:eastAsia="zh-CN" w:bidi="ar-SA"/>
              </w:rPr>
              <w:t>进行水洗，项目设置两座清水池，水洗池总容积为4.68m³，有效容积以90%计，则有效贮液容积为4.3m³，损失量按照水量的5%计算，则每天补充约0.215m³/a（64.5m³/a）</w:t>
            </w:r>
            <w:r>
              <w:rPr>
                <w:rFonts w:hint="eastAsia"/>
                <w:lang w:eastAsia="zh-CN"/>
              </w:rPr>
              <w:t>，</w:t>
            </w:r>
            <w:r>
              <w:rPr>
                <w:rFonts w:hint="eastAsia" w:cs="Times New Roman"/>
                <w:color w:val="auto"/>
                <w:kern w:val="2"/>
                <w:sz w:val="24"/>
                <w:szCs w:val="24"/>
                <w:highlight w:val="none"/>
                <w:lang w:val="en-US" w:eastAsia="zh-CN" w:bidi="ar-SA"/>
              </w:rPr>
              <w:t>两座水洗池定期同时排放至自建污水处理站处理后，用于第一道脱脂用水，每30天排放一次，年排放次数约10次，排水量为0.143m³/d（43m³/a）。水洗用水经自建污水处理站处理后排入第一道工序脱脂用水中。</w:t>
            </w:r>
          </w:p>
          <w:p w14:paraId="4232619E">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④无铬钝化用水：钝化工序采用喷头喷淋的方式进行钝化水洗，设置一座4.68m³无铬钝化循环水池，有效容积以90%计，则无铬钝化循环水池用水量约为4.3m³/a，损失量按照水量的5%计算，每天补充约0.215m³/d（64.5m³/a），无铬钝化清洗用水循环使用，定期排入污水处理站处理后，用于第一道脱脂用水。无铬钝化废水约3个月更换一次，年更换约4次，定期补充水量为0.057m³/d，年排水量为17.1m³/a。</w:t>
            </w:r>
          </w:p>
          <w:p w14:paraId="48C7DA35">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148A9D43">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007E4616">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54C21631">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4EED84EF">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1818857C">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03A4A4BE">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5D2DEFE0">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200EA8E4">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1380E2F9">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60658D82">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2043535F">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kern w:val="2"/>
                <w:sz w:val="24"/>
                <w:szCs w:val="24"/>
                <w:highlight w:val="none"/>
                <w:lang w:val="en-US" w:eastAsia="zh-CN" w:bidi="ar-SA"/>
              </w:rPr>
            </w:pPr>
          </w:p>
          <w:p w14:paraId="0B55F20E">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color w:val="auto"/>
                <w:kern w:val="2"/>
                <w:sz w:val="24"/>
                <w:szCs w:val="24"/>
                <w:highlight w:val="none"/>
                <w:lang w:val="en-US" w:eastAsia="zh-CN" w:bidi="ar-SA"/>
              </w:rPr>
            </w:pPr>
          </w:p>
          <w:p w14:paraId="16385240">
            <w:pPr>
              <w:pStyle w:val="48"/>
              <w:kinsoku/>
              <w:adjustRightInd/>
              <w:snapToGrid/>
              <w:spacing w:line="360" w:lineRule="auto"/>
              <w:jc w:val="center"/>
              <w:rPr>
                <w:rFonts w:hint="eastAsia"/>
                <w:color w:val="auto"/>
                <w:sz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5039995" cy="4358640"/>
                  <wp:effectExtent l="0" t="0" r="4445" b="0"/>
                  <wp:docPr id="4" name="F360BE8B-6686-4F3D-AEAF-501FE73E4058-3" descr="C:/Users/Administrator/AppData/Local/Temp/绘图1(35).png绘图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360BE8B-6686-4F3D-AEAF-501FE73E4058-3" descr="C:/Users/Administrator/AppData/Local/Temp/绘图1(35).png绘图1(35)"/>
                          <pic:cNvPicPr>
                            <a:picLocks noChangeAspect="1"/>
                          </pic:cNvPicPr>
                        </pic:nvPicPr>
                        <pic:blipFill>
                          <a:blip r:embed="rId13"/>
                          <a:stretch>
                            <a:fillRect/>
                          </a:stretch>
                        </pic:blipFill>
                        <pic:spPr>
                          <a:xfrm>
                            <a:off x="0" y="0"/>
                            <a:ext cx="5039995" cy="4358640"/>
                          </a:xfrm>
                          <a:prstGeom prst="rect">
                            <a:avLst/>
                          </a:prstGeom>
                        </pic:spPr>
                      </pic:pic>
                    </a:graphicData>
                  </a:graphic>
                </wp:inline>
              </w:drawing>
            </w:r>
          </w:p>
          <w:p w14:paraId="6A7E4B37">
            <w:pPr>
              <w:pStyle w:val="48"/>
              <w:kinsoku/>
              <w:spacing w:line="360" w:lineRule="auto"/>
              <w:jc w:val="center"/>
              <w:rPr>
                <w:rFonts w:hint="default" w:cs="Times New Roman"/>
                <w:b/>
                <w:bCs/>
                <w:color w:val="auto"/>
                <w:sz w:val="24"/>
                <w:highlight w:val="none"/>
                <w:lang w:val="en-US" w:eastAsia="zh-CN"/>
              </w:rPr>
            </w:pPr>
            <w:r>
              <w:rPr>
                <w:rFonts w:ascii="Times New Roman" w:hAnsi="Times New Roman" w:eastAsia="宋体" w:cs="Times New Roman"/>
                <w:b/>
                <w:bCs/>
                <w:color w:val="auto"/>
                <w:sz w:val="24"/>
                <w:highlight w:val="none"/>
                <w:lang w:eastAsia="zh-CN"/>
              </w:rPr>
              <w:t>图2-</w:t>
            </w:r>
            <w:r>
              <w:rPr>
                <w:rFonts w:hint="eastAsia" w:ascii="Times New Roman" w:hAnsi="Times New Roman" w:eastAsia="宋体" w:cs="Times New Roman"/>
                <w:b/>
                <w:bCs/>
                <w:color w:val="auto"/>
                <w:sz w:val="24"/>
                <w:highlight w:val="none"/>
                <w:lang w:eastAsia="zh-CN"/>
              </w:rPr>
              <w:t xml:space="preserve">2 </w:t>
            </w:r>
            <w:r>
              <w:rPr>
                <w:rFonts w:ascii="Times New Roman" w:hAnsi="Times New Roman" w:eastAsia="宋体" w:cs="Times New Roman"/>
                <w:b/>
                <w:bCs/>
                <w:color w:val="auto"/>
                <w:sz w:val="24"/>
                <w:highlight w:val="none"/>
                <w:lang w:eastAsia="zh-CN"/>
              </w:rPr>
              <w:t>本项水平衡图单位：m</w:t>
            </w:r>
            <w:r>
              <w:rPr>
                <w:rFonts w:ascii="Times New Roman" w:hAnsi="Times New Roman" w:eastAsia="宋体" w:cs="Times New Roman"/>
                <w:b/>
                <w:bCs/>
                <w:color w:val="auto"/>
                <w:sz w:val="24"/>
                <w:highlight w:val="none"/>
                <w:vertAlign w:val="superscript"/>
                <w:lang w:eastAsia="zh-CN"/>
              </w:rPr>
              <w:t>3</w:t>
            </w:r>
            <w:r>
              <w:rPr>
                <w:rFonts w:ascii="Times New Roman" w:hAnsi="Times New Roman" w:eastAsia="宋体" w:cs="Times New Roman"/>
                <w:b/>
                <w:bCs/>
                <w:color w:val="auto"/>
                <w:sz w:val="24"/>
                <w:highlight w:val="none"/>
                <w:lang w:eastAsia="zh-CN"/>
              </w:rPr>
              <w:t>/</w:t>
            </w:r>
            <w:r>
              <w:rPr>
                <w:rFonts w:hint="eastAsia" w:cs="Times New Roman"/>
                <w:b/>
                <w:bCs/>
                <w:color w:val="auto"/>
                <w:sz w:val="24"/>
                <w:highlight w:val="none"/>
                <w:lang w:val="en-US" w:eastAsia="zh-CN"/>
              </w:rPr>
              <w:t>d</w:t>
            </w:r>
          </w:p>
        </w:tc>
      </w:tr>
      <w:tr w14:paraId="4092A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Align w:val="center"/>
          </w:tcPr>
          <w:p w14:paraId="1E9A3735">
            <w:pPr>
              <w:pStyle w:val="23"/>
              <w:kinsoku/>
              <w:spacing w:before="0" w:beforeAutospacing="0" w:after="0" w:afterAutospacing="0"/>
              <w:jc w:val="center"/>
              <w:rPr>
                <w:rFonts w:ascii="Times New Roman" w:hAnsi="Times New Roman"/>
                <w:color w:val="auto"/>
                <w:szCs w:val="24"/>
                <w:highlight w:val="none"/>
                <w:lang w:eastAsia="zh-CN"/>
              </w:rPr>
            </w:pPr>
          </w:p>
          <w:p w14:paraId="1D44A08E">
            <w:pPr>
              <w:pStyle w:val="23"/>
              <w:kinsoku/>
              <w:spacing w:before="0" w:beforeAutospacing="0" w:after="0" w:afterAutospacing="0"/>
              <w:jc w:val="center"/>
              <w:rPr>
                <w:rFonts w:ascii="Times New Roman" w:hAnsi="Times New Roman"/>
                <w:color w:val="auto"/>
                <w:szCs w:val="24"/>
                <w:highlight w:val="none"/>
                <w:lang w:eastAsia="zh-CN"/>
              </w:rPr>
            </w:pPr>
          </w:p>
          <w:p w14:paraId="6CD0392E">
            <w:pPr>
              <w:pStyle w:val="23"/>
              <w:kinsoku/>
              <w:spacing w:before="0" w:beforeAutospacing="0" w:after="0" w:afterAutospacing="0"/>
              <w:jc w:val="center"/>
              <w:rPr>
                <w:rFonts w:ascii="Times New Roman" w:hAnsi="Times New Roman"/>
                <w:color w:val="auto"/>
                <w:szCs w:val="24"/>
                <w:highlight w:val="none"/>
                <w:lang w:eastAsia="zh-CN"/>
              </w:rPr>
            </w:pPr>
          </w:p>
          <w:p w14:paraId="0B2E9280">
            <w:pPr>
              <w:pStyle w:val="23"/>
              <w:kinsoku/>
              <w:spacing w:before="0" w:beforeAutospacing="0" w:after="0" w:afterAutospacing="0"/>
              <w:jc w:val="center"/>
              <w:rPr>
                <w:rFonts w:ascii="Times New Roman" w:hAnsi="Times New Roman"/>
                <w:color w:val="auto"/>
                <w:sz w:val="21"/>
                <w:szCs w:val="21"/>
                <w:highlight w:val="none"/>
                <w:lang w:eastAsia="zh-CN"/>
              </w:rPr>
            </w:pPr>
            <w:r>
              <w:rPr>
                <w:rFonts w:hint="eastAsia" w:eastAsia="宋体" w:cs="宋体"/>
                <w:color w:val="auto"/>
                <w:szCs w:val="24"/>
                <w:highlight w:val="none"/>
                <w:lang w:eastAsia="zh-CN"/>
              </w:rPr>
              <w:t>工艺流程和产排污环节</w:t>
            </w:r>
          </w:p>
        </w:tc>
        <w:tc>
          <w:tcPr>
            <w:tcW w:w="4612" w:type="pct"/>
          </w:tcPr>
          <w:p w14:paraId="14B6E47C">
            <w:pPr>
              <w:kinsoku/>
              <w:spacing w:line="360" w:lineRule="auto"/>
              <w:rPr>
                <w:rFonts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t>工艺流程简述（图示）：</w:t>
            </w:r>
          </w:p>
          <w:p w14:paraId="4768346D">
            <w:pPr>
              <w:numPr>
                <w:ilvl w:val="0"/>
                <w:numId w:val="4"/>
              </w:numPr>
              <w:kinsoku/>
              <w:spacing w:line="360" w:lineRule="auto"/>
              <w:ind w:firstLine="482"/>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生产工艺流程</w:t>
            </w:r>
          </w:p>
          <w:p w14:paraId="00C80F24">
            <w:pPr>
              <w:pStyle w:val="14"/>
              <w:widowControl w:val="0"/>
              <w:numPr>
                <w:ilvl w:val="0"/>
                <w:numId w:val="0"/>
              </w:numPr>
              <w:jc w:val="both"/>
              <w:rPr>
                <w:lang w:eastAsia="zh-CN"/>
              </w:rPr>
            </w:pPr>
          </w:p>
          <w:p w14:paraId="57FA21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highlight w:val="none"/>
                <w:lang w:eastAsia="zh-CN" w:bidi="ar"/>
              </w:rPr>
            </w:pPr>
            <w:r>
              <w:rPr>
                <w:rFonts w:ascii="Times New Roman" w:hAnsi="Times New Roman" w:eastAsia="宋体" w:cs="Times New Roman"/>
                <w:color w:val="auto"/>
                <w:kern w:val="2"/>
                <w:sz w:val="24"/>
                <w:szCs w:val="24"/>
                <w:lang w:val="en-US" w:eastAsia="zh-CN" w:bidi="ar"/>
              </w:rPr>
              <w:t>（1）</w:t>
            </w:r>
            <w:r>
              <w:rPr>
                <w:rFonts w:hint="eastAsia" w:cs="Times New Roman"/>
                <w:color w:val="auto"/>
                <w:sz w:val="24"/>
                <w:highlight w:val="none"/>
                <w:lang w:val="en-US" w:eastAsia="zh-CN" w:bidi="ar"/>
              </w:rPr>
              <w:t>铝板</w:t>
            </w:r>
            <w:r>
              <w:rPr>
                <w:rFonts w:ascii="Times New Roman" w:hAnsi="Times New Roman" w:eastAsia="宋体" w:cs="Times New Roman"/>
                <w:color w:val="auto"/>
                <w:sz w:val="24"/>
                <w:highlight w:val="none"/>
                <w:lang w:eastAsia="zh-CN" w:bidi="ar"/>
              </w:rPr>
              <w:t>生产工艺流程及产污节点简图如下图。</w:t>
            </w:r>
          </w:p>
          <w:p w14:paraId="7E67BD05">
            <w:pPr>
              <w:numPr>
                <w:ilvl w:val="0"/>
                <w:numId w:val="0"/>
              </w:numPr>
              <w:kinsoku/>
              <w:spacing w:line="360" w:lineRule="auto"/>
              <w:ind w:left="630" w:leftChars="0"/>
              <w:rPr>
                <w:rFonts w:ascii="Times New Roman" w:hAnsi="Times New Roman" w:eastAsia="宋体" w:cs="Times New Roman"/>
                <w:b/>
                <w:bCs/>
                <w:color w:val="auto"/>
                <w:sz w:val="24"/>
                <w:szCs w:val="24"/>
                <w:highlight w:val="none"/>
                <w:lang w:eastAsia="zh-CN"/>
              </w:rPr>
            </w:pPr>
            <w:r>
              <w:rPr>
                <w:sz w:val="21"/>
              </w:rPr>
              <mc:AlternateContent>
                <mc:Choice Requires="wpg">
                  <w:drawing>
                    <wp:anchor distT="0" distB="0" distL="114300" distR="114300" simplePos="0" relativeHeight="251672576" behindDoc="0" locked="0" layoutInCell="1" allowOverlap="1">
                      <wp:simplePos x="0" y="0"/>
                      <wp:positionH relativeFrom="column">
                        <wp:posOffset>25400</wp:posOffset>
                      </wp:positionH>
                      <wp:positionV relativeFrom="paragraph">
                        <wp:posOffset>154940</wp:posOffset>
                      </wp:positionV>
                      <wp:extent cx="5400040" cy="7560310"/>
                      <wp:effectExtent l="0" t="0" r="0" b="13970"/>
                      <wp:wrapNone/>
                      <wp:docPr id="125" name="组合 125"/>
                      <wp:cNvGraphicFramePr/>
                      <a:graphic xmlns:a="http://schemas.openxmlformats.org/drawingml/2006/main">
                        <a:graphicData uri="http://schemas.microsoft.com/office/word/2010/wordprocessingGroup">
                          <wpg:wgp>
                            <wpg:cNvGrpSpPr/>
                            <wpg:grpSpPr>
                              <a:xfrm>
                                <a:off x="0" y="0"/>
                                <a:ext cx="5400040" cy="7560310"/>
                                <a:chOff x="4673" y="1585"/>
                                <a:chExt cx="9156" cy="13252"/>
                              </a:xfrm>
                            </wpg:grpSpPr>
                            <wps:wsp>
                              <wps:cNvPr id="63" name="直接箭头连接符 18"/>
                              <wps:cNvCnPr/>
                              <wps:spPr>
                                <a:xfrm flipV="1">
                                  <a:off x="9546" y="10058"/>
                                  <a:ext cx="557" cy="8"/>
                                </a:xfrm>
                                <a:prstGeom prst="straightConnector1">
                                  <a:avLst/>
                                </a:prstGeom>
                                <a:ln w="12700" cap="flat" cmpd="sng" algn="ctr">
                                  <a:solidFill>
                                    <a:schemeClr val="tx1"/>
                                  </a:solidFill>
                                  <a:prstDash val="dashDot"/>
                                  <a:miter lim="800000"/>
                                  <a:tailEnd type="triangle" w="med" len="med"/>
                                </a:ln>
                              </wps:spPr>
                              <wps:style>
                                <a:lnRef idx="0">
                                  <a:schemeClr val="accent1"/>
                                </a:lnRef>
                                <a:fillRef idx="0">
                                  <a:srgbClr val="FFFFFF"/>
                                </a:fillRef>
                                <a:effectRef idx="0">
                                  <a:srgbClr val="FFFFFF"/>
                                </a:effectRef>
                                <a:fontRef idx="minor">
                                  <a:schemeClr val="tx1"/>
                                </a:fontRef>
                              </wps:style>
                              <wps:bodyPr/>
                            </wps:wsp>
                            <wps:wsp>
                              <wps:cNvPr id="65" name="直接箭头连接符 18"/>
                              <wps:cNvCnPr/>
                              <wps:spPr>
                                <a:xfrm flipV="1">
                                  <a:off x="9594" y="10982"/>
                                  <a:ext cx="557" cy="8"/>
                                </a:xfrm>
                                <a:prstGeom prst="straightConnector1">
                                  <a:avLst/>
                                </a:prstGeom>
                                <a:ln w="12700" cap="flat" cmpd="sng" algn="ctr">
                                  <a:solidFill>
                                    <a:schemeClr val="tx1"/>
                                  </a:solidFill>
                                  <a:prstDash val="dashDot"/>
                                  <a:miter lim="800000"/>
                                  <a:tailEnd type="triangle" w="med" len="med"/>
                                </a:ln>
                              </wps:spPr>
                              <wps:style>
                                <a:lnRef idx="0">
                                  <a:schemeClr val="accent1"/>
                                </a:lnRef>
                                <a:fillRef idx="0">
                                  <a:srgbClr val="FFFFFF"/>
                                </a:fillRef>
                                <a:effectRef idx="0">
                                  <a:srgbClr val="FFFFFF"/>
                                </a:effectRef>
                                <a:fontRef idx="minor">
                                  <a:schemeClr val="tx1"/>
                                </a:fontRef>
                              </wps:style>
                              <wps:bodyPr/>
                            </wps:wsp>
                            <wpg:grpSp>
                              <wpg:cNvPr id="126" name="组合 113"/>
                              <wpg:cNvGrpSpPr/>
                              <wpg:grpSpPr>
                                <a:xfrm>
                                  <a:off x="4673" y="1585"/>
                                  <a:ext cx="9156" cy="13252"/>
                                  <a:chOff x="4673" y="1585"/>
                                  <a:chExt cx="9156" cy="13252"/>
                                </a:xfrm>
                              </wpg:grpSpPr>
                              <wps:wsp>
                                <wps:cNvPr id="64" name="文本框 25"/>
                                <wps:cNvSpPr txBox="1"/>
                                <wps:spPr>
                                  <a:xfrm>
                                    <a:off x="9822" y="9854"/>
                                    <a:ext cx="1184"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E1F24">
                                      <w:pPr>
                                        <w:jc w:val="center"/>
                                        <w:rPr>
                                          <w:rFonts w:hint="default" w:ascii="Times New Roman" w:hAnsi="Times New Roman" w:cs="Times New Roman" w:eastAsiaTheme="minorEastAsia"/>
                                          <w:lang w:val="en-US" w:eastAsia="zh-CN"/>
                                        </w:rPr>
                                      </w:pPr>
                                      <w:r>
                                        <w:rPr>
                                          <w:rFonts w:hint="eastAsia" w:cs="Times New Roman"/>
                                          <w:lang w:val="en-US" w:eastAsia="zh-CN"/>
                                        </w:rPr>
                                        <w:t>W1-2</w:t>
                                      </w:r>
                                    </w:p>
                                  </w:txbxContent>
                                </wps:txbx>
                                <wps:bodyPr rot="0" spcFirstLastPara="0" vertOverflow="overflow" horzOverflow="overflow" vert="horz" wrap="square" lIns="91440" tIns="36000" rIns="91440" bIns="45720" numCol="1" spcCol="0" rtlCol="0" fromWordArt="0" anchor="t" anchorCtr="0" forceAA="0" compatLnSpc="1">
                                  <a:noAutofit/>
                                </wps:bodyPr>
                              </wps:wsp>
                              <wps:wsp>
                                <wps:cNvPr id="30" name="文本框 25"/>
                                <wps:cNvSpPr txBox="1"/>
                                <wps:spPr>
                                  <a:xfrm>
                                    <a:off x="9906" y="10749"/>
                                    <a:ext cx="1184"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C6A9C4">
                                      <w:pPr>
                                        <w:jc w:val="center"/>
                                        <w:rPr>
                                          <w:rFonts w:hint="default" w:ascii="Times New Roman" w:hAnsi="Times New Roman" w:cs="Times New Roman" w:eastAsiaTheme="minorEastAsia"/>
                                          <w:lang w:val="en-US" w:eastAsia="zh-CN"/>
                                        </w:rPr>
                                      </w:pPr>
                                      <w:r>
                                        <w:rPr>
                                          <w:rFonts w:hint="eastAsia" w:cs="Times New Roman"/>
                                          <w:lang w:val="en-US" w:eastAsia="zh-CN"/>
                                        </w:rPr>
                                        <w:t>G1-4</w:t>
                                      </w:r>
                                    </w:p>
                                  </w:txbxContent>
                                </wps:txbx>
                                <wps:bodyPr rot="0" spcFirstLastPara="0" vertOverflow="overflow" horzOverflow="overflow" vert="horz" wrap="square" lIns="91440" tIns="36000" rIns="91440" bIns="36000" numCol="1" spcCol="0" rtlCol="0" fromWordArt="0" anchor="t" anchorCtr="0" forceAA="0" compatLnSpc="1">
                                  <a:noAutofit/>
                                </wps:bodyPr>
                              </wps:wsp>
                              <wpg:grpSp>
                                <wpg:cNvPr id="127" name="组合 102"/>
                                <wpg:cNvGrpSpPr/>
                                <wpg:grpSpPr>
                                  <a:xfrm>
                                    <a:off x="4673" y="1585"/>
                                    <a:ext cx="9156" cy="13252"/>
                                    <a:chOff x="4673" y="1585"/>
                                    <a:chExt cx="9156" cy="13252"/>
                                  </a:xfrm>
                                </wpg:grpSpPr>
                                <wps:wsp>
                                  <wps:cNvPr id="59" name="文本框 27"/>
                                  <wps:cNvSpPr txBox="1"/>
                                  <wps:spPr>
                                    <a:xfrm>
                                      <a:off x="8261" y="10760"/>
                                      <a:ext cx="1333" cy="41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DEA18D">
                                        <w:pPr>
                                          <w:jc w:val="center"/>
                                          <w:rPr>
                                            <w:rFonts w:hint="default" w:eastAsiaTheme="minorEastAsia"/>
                                            <w:lang w:val="en-US" w:eastAsia="zh-CN"/>
                                          </w:rPr>
                                        </w:pPr>
                                        <w:r>
                                          <w:rPr>
                                            <w:rFonts w:hint="eastAsia" w:eastAsiaTheme="minorEastAsia"/>
                                            <w:lang w:val="en-US" w:eastAsia="zh-CN"/>
                                          </w:rPr>
                                          <w:t>水性烘干</w:t>
                                        </w:r>
                                      </w:p>
                                    </w:txbxContent>
                                  </wps:txbx>
                                  <wps:bodyPr rot="0" spcFirstLastPara="0" vertOverflow="overflow" horzOverflow="overflow" vert="horz" wrap="square" lIns="36000" tIns="0" rIns="72000" bIns="36000" numCol="1" spcCol="0" rtlCol="0" fromWordArt="0" anchor="t" anchorCtr="0" forceAA="0" compatLnSpc="1">
                                    <a:noAutofit/>
                                  </wps:bodyPr>
                                </wps:wsp>
                                <wps:wsp>
                                  <wps:cNvPr id="60" name="直接箭头连接符 28"/>
                                  <wps:cNvCnPr/>
                                  <wps:spPr>
                                    <a:xfrm>
                                      <a:off x="8923" y="11181"/>
                                      <a:ext cx="7" cy="476"/>
                                    </a:xfrm>
                                    <a:prstGeom prst="straightConnector1">
                                      <a:avLst/>
                                    </a:prstGeom>
                                    <a:ln>
                                      <a:headEnd type="none"/>
                                      <a:tailEnd type="triangle" w="med" len="med"/>
                                    </a:ln>
                                  </wps:spPr>
                                  <wps:style>
                                    <a:lnRef idx="2">
                                      <a:prstClr val="black"/>
                                    </a:lnRef>
                                    <a:fillRef idx="0">
                                      <a:srgbClr val="FFFFFF"/>
                                    </a:fillRef>
                                    <a:effectRef idx="0">
                                      <a:srgbClr val="FFFFFF"/>
                                    </a:effectRef>
                                    <a:fontRef idx="minor">
                                      <a:schemeClr val="tx1"/>
                                    </a:fontRef>
                                  </wps:style>
                                  <wps:bodyPr/>
                                </wps:wsp>
                                <wps:wsp>
                                  <wps:cNvPr id="75" name="肘形连接符 75"/>
                                  <wps:cNvCnPr>
                                    <a:stCxn id="44" idx="2"/>
                                    <a:endCxn id="47" idx="3"/>
                                  </wps:cNvCnPr>
                                  <wps:spPr>
                                    <a:xfrm rot="5400000">
                                      <a:off x="9904" y="12311"/>
                                      <a:ext cx="1151" cy="1674"/>
                                    </a:xfrm>
                                    <a:prstGeom prst="bentConnector2">
                                      <a:avLst/>
                                    </a:prstGeom>
                                    <a:ln>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31" name="肘形连接符 76"/>
                                  <wps:cNvCnPr>
                                    <a:stCxn id="20" idx="2"/>
                                    <a:endCxn id="47" idx="1"/>
                                  </wps:cNvCnPr>
                                  <wps:spPr>
                                    <a:xfrm rot="5400000" flipV="1">
                                      <a:off x="6993" y="12407"/>
                                      <a:ext cx="1139" cy="1493"/>
                                    </a:xfrm>
                                    <a:prstGeom prst="bentConnector2">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g:cNvPr id="128" name="组合 92"/>
                                  <wpg:cNvGrpSpPr/>
                                  <wpg:grpSpPr>
                                    <a:xfrm>
                                      <a:off x="4673" y="1585"/>
                                      <a:ext cx="9156" cy="13252"/>
                                      <a:chOff x="4673" y="1585"/>
                                      <a:chExt cx="9156" cy="13252"/>
                                    </a:xfrm>
                                  </wpg:grpSpPr>
                                  <wps:wsp>
                                    <wps:cNvPr id="61" name="直接箭头连接符 22"/>
                                    <wps:cNvCnPr/>
                                    <wps:spPr>
                                      <a:xfrm flipV="1">
                                        <a:off x="7521" y="12350"/>
                                        <a:ext cx="454" cy="1"/>
                                      </a:xfrm>
                                      <a:prstGeom prst="straightConnector1">
                                        <a:avLst/>
                                      </a:prstGeom>
                                      <a:ln>
                                        <a:prstDash val="dash"/>
                                        <a:tailEnd type="triangle" w="med" len="med"/>
                                      </a:ln>
                                    </wps:spPr>
                                    <wps:style>
                                      <a:lnRef idx="2">
                                        <a:prstClr val="black"/>
                                      </a:lnRef>
                                      <a:fillRef idx="0">
                                        <a:srgbClr val="FFFFFF"/>
                                      </a:fillRef>
                                      <a:effectRef idx="0">
                                        <a:srgbClr val="FFFFFF"/>
                                      </a:effectRef>
                                      <a:fontRef idx="minor">
                                        <a:schemeClr val="tx1"/>
                                      </a:fontRef>
                                    </wps:style>
                                    <wps:bodyPr/>
                                  </wps:wsp>
                                  <wps:wsp>
                                    <wps:cNvPr id="62" name="文本框 27"/>
                                    <wps:cNvSpPr txBox="1"/>
                                    <wps:spPr>
                                      <a:xfrm>
                                        <a:off x="8021" y="12152"/>
                                        <a:ext cx="1344" cy="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C80BC">
                                          <w:pPr>
                                            <w:jc w:val="center"/>
                                            <w:rPr>
                                              <w:rFonts w:hint="default" w:eastAsiaTheme="minorEastAsia"/>
                                              <w:lang w:val="en-US" w:eastAsia="zh-CN"/>
                                            </w:rPr>
                                          </w:pPr>
                                          <w:r>
                                            <w:rPr>
                                              <w:rFonts w:hint="eastAsia" w:eastAsiaTheme="minorEastAsia"/>
                                              <w:lang w:val="en-US" w:eastAsia="zh-CN"/>
                                            </w:rPr>
                                            <w:t>G1-5、S1-4</w:t>
                                          </w:r>
                                        </w:p>
                                      </w:txbxContent>
                                    </wps:txbx>
                                    <wps:bodyPr rot="0" spcFirstLastPara="0" vertOverflow="overflow" horzOverflow="overflow" vert="horz" wrap="square" lIns="91440" tIns="36000" rIns="91440" bIns="36000" numCol="1" spcCol="0" rtlCol="0" fromWordArt="0" anchor="t" anchorCtr="0" forceAA="0" compatLnSpc="1">
                                      <a:noAutofit/>
                                    </wps:bodyPr>
                                  </wps:wsp>
                                  <wps:wsp>
                                    <wps:cNvPr id="70" name="文本框 27"/>
                                    <wps:cNvSpPr txBox="1"/>
                                    <wps:spPr>
                                      <a:xfrm>
                                        <a:off x="9461" y="12872"/>
                                        <a:ext cx="852" cy="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BB4FE5">
                                          <w:pPr>
                                            <w:jc w:val="center"/>
                                            <w:rPr>
                                              <w:rFonts w:hint="default" w:eastAsiaTheme="minorEastAsia"/>
                                              <w:lang w:val="en-US" w:eastAsia="zh-CN"/>
                                            </w:rPr>
                                          </w:pPr>
                                          <w:r>
                                            <w:rPr>
                                              <w:rFonts w:hint="eastAsia" w:eastAsiaTheme="minorEastAsia"/>
                                              <w:lang w:val="en-US" w:eastAsia="zh-CN"/>
                                            </w:rPr>
                                            <w:t>G1-7</w:t>
                                          </w:r>
                                        </w:p>
                                      </w:txbxContent>
                                    </wps:txbx>
                                    <wps:bodyPr rot="0" spcFirstLastPara="0" vertOverflow="overflow" horzOverflow="overflow" vert="horz" wrap="square" lIns="91440" tIns="0" rIns="91440" bIns="45720" numCol="1" spcCol="0" rtlCol="0" fromWordArt="0" anchor="t" anchorCtr="0" forceAA="0" compatLnSpc="1">
                                      <a:noAutofit/>
                                    </wps:bodyPr>
                                  </wps:wsp>
                                  <wps:wsp>
                                    <wps:cNvPr id="78" name="直接箭头连接符 78"/>
                                    <wps:cNvCnPr/>
                                    <wps:spPr>
                                      <a:xfrm flipH="1" flipV="1">
                                        <a:off x="8970" y="12993"/>
                                        <a:ext cx="1" cy="510"/>
                                      </a:xfrm>
                                      <a:prstGeom prst="straightConnector1">
                                        <a:avLst/>
                                      </a:prstGeom>
                                      <a:ln w="12700" cmpd="sng">
                                        <a:solidFill>
                                          <a:schemeClr val="tx1"/>
                                        </a:solidFill>
                                        <a:prstDash val="dashDot"/>
                                        <a:headEnd type="none"/>
                                        <a:tailEnd type="none"/>
                                      </a:ln>
                                    </wps:spPr>
                                    <wps:style>
                                      <a:lnRef idx="2">
                                        <a:schemeClr val="accent1"/>
                                      </a:lnRef>
                                      <a:fillRef idx="0">
                                        <a:srgbClr val="FFFFFF"/>
                                      </a:fillRef>
                                      <a:effectRef idx="0">
                                        <a:srgbClr val="FFFFFF"/>
                                      </a:effectRef>
                                      <a:fontRef idx="minor">
                                        <a:schemeClr val="tx1"/>
                                      </a:fontRef>
                                    </wps:style>
                                    <wps:bodyPr/>
                                  </wps:wsp>
                                  <wps:wsp>
                                    <wps:cNvPr id="79" name="直接箭头连接符 79"/>
                                    <wps:cNvCnPr/>
                                    <wps:spPr>
                                      <a:xfrm rot="16200000" flipH="1" flipV="1">
                                        <a:off x="9210" y="12801"/>
                                        <a:ext cx="1" cy="510"/>
                                      </a:xfrm>
                                      <a:prstGeom prst="straightConnector1">
                                        <a:avLst/>
                                      </a:prstGeom>
                                      <a:ln w="12700" cmpd="sng">
                                        <a:solidFill>
                                          <a:schemeClr val="tx1"/>
                                        </a:solidFill>
                                        <a:prstDash val="dashDot"/>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84" name="直接箭头连接符 22"/>
                                    <wps:cNvCnPr/>
                                    <wps:spPr>
                                      <a:xfrm rot="5400000" flipV="1">
                                        <a:off x="8229" y="13226"/>
                                        <a:ext cx="557" cy="7"/>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85" name="文本框 13"/>
                                    <wps:cNvSpPr txBox="1"/>
                                    <wps:spPr>
                                      <a:xfrm>
                                        <a:off x="8141" y="12645"/>
                                        <a:ext cx="729"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8CF4E">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天然气</w:t>
                                          </w:r>
                                        </w:p>
                                      </w:txbxContent>
                                    </wps:txbx>
                                    <wps:bodyPr rot="0" spcFirstLastPara="0" vertOverflow="overflow" horzOverflow="overflow" vert="horz" wrap="square" lIns="0" tIns="0" rIns="0" bIns="0" numCol="1" spcCol="0" rtlCol="0" fromWordArt="0" anchor="t" anchorCtr="0" forceAA="0" compatLnSpc="1">
                                      <a:noAutofit/>
                                    </wps:bodyPr>
                                  </wps:wsp>
                                  <wpg:grpSp>
                                    <wpg:cNvPr id="129" name="组合 49"/>
                                    <wpg:cNvGrpSpPr/>
                                    <wpg:grpSpPr>
                                      <a:xfrm>
                                        <a:off x="4673" y="1585"/>
                                        <a:ext cx="9156" cy="13252"/>
                                        <a:chOff x="4673" y="1585"/>
                                        <a:chExt cx="9156" cy="13252"/>
                                      </a:xfrm>
                                    </wpg:grpSpPr>
                                    <wps:wsp>
                                      <wps:cNvPr id="73" name="直接箭头连接符 22"/>
                                      <wps:cNvCnPr/>
                                      <wps:spPr>
                                        <a:xfrm rot="5400000" flipV="1">
                                          <a:off x="11469" y="11858"/>
                                          <a:ext cx="557" cy="7"/>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74" name="文本框 13"/>
                                      <wps:cNvSpPr txBox="1"/>
                                      <wps:spPr>
                                        <a:xfrm>
                                          <a:off x="11300" y="11157"/>
                                          <a:ext cx="894"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9503B">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塑粉</w:t>
                                            </w:r>
                                          </w:p>
                                        </w:txbxContent>
                                      </wps:txbx>
                                      <wps:bodyPr rot="0" spcFirstLastPara="0" vertOverflow="overflow" horzOverflow="overflow" vert="horz" wrap="square" lIns="36000" tIns="0" rIns="36000" bIns="36000" numCol="1" spcCol="0" rtlCol="0" fromWordArt="0" anchor="t" anchorCtr="0" forceAA="0" compatLnSpc="1">
                                        <a:noAutofit/>
                                      </wps:bodyPr>
                                    </wps:wsp>
                                    <wpg:grpSp>
                                      <wpg:cNvPr id="130" name="组合 7"/>
                                      <wpg:cNvGrpSpPr/>
                                      <wpg:grpSpPr>
                                        <a:xfrm>
                                          <a:off x="4673" y="1585"/>
                                          <a:ext cx="9156" cy="13252"/>
                                          <a:chOff x="4673" y="1585"/>
                                          <a:chExt cx="9156" cy="13252"/>
                                        </a:xfrm>
                                      </wpg:grpSpPr>
                                      <wps:wsp>
                                        <wps:cNvPr id="32" name="直接箭头连接符 22"/>
                                        <wps:cNvCnPr/>
                                        <wps:spPr>
                                          <a:xfrm flipV="1">
                                            <a:off x="12033" y="12350"/>
                                            <a:ext cx="454" cy="1"/>
                                          </a:xfrm>
                                          <a:prstGeom prst="straightConnector1">
                                            <a:avLst/>
                                          </a:prstGeom>
                                          <a:ln w="12700" cmpd="sng">
                                            <a:solidFill>
                                              <a:schemeClr val="tx1"/>
                                            </a:solidFill>
                                            <a:prstDash val="dashDot"/>
                                            <a:tailEnd type="triangle" w="med" len="med"/>
                                          </a:ln>
                                        </wps:spPr>
                                        <wps:style>
                                          <a:lnRef idx="2">
                                            <a:prstClr val="black"/>
                                          </a:lnRef>
                                          <a:fillRef idx="0">
                                            <a:srgbClr val="FFFFFF"/>
                                          </a:fillRef>
                                          <a:effectRef idx="0">
                                            <a:srgbClr val="FFFFFF"/>
                                          </a:effectRef>
                                          <a:fontRef idx="minor">
                                            <a:schemeClr val="tx1"/>
                                          </a:fontRef>
                                        </wps:style>
                                        <wps:bodyPr/>
                                      </wps:wsp>
                                      <wps:wsp>
                                        <wps:cNvPr id="33" name="文本框 27"/>
                                        <wps:cNvSpPr txBox="1"/>
                                        <wps:spPr>
                                          <a:xfrm>
                                            <a:off x="12485" y="12104"/>
                                            <a:ext cx="1344" cy="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1D4B8">
                                              <w:pPr>
                                                <w:jc w:val="center"/>
                                                <w:rPr>
                                                  <w:rFonts w:hint="default" w:eastAsiaTheme="minorEastAsia"/>
                                                  <w:lang w:val="en-US" w:eastAsia="zh-CN"/>
                                                </w:rPr>
                                              </w:pPr>
                                              <w:r>
                                                <w:rPr>
                                                  <w:rFonts w:hint="eastAsia" w:eastAsiaTheme="minorEastAsia"/>
                                                  <w:lang w:val="en-US" w:eastAsia="zh-CN"/>
                                                </w:rPr>
                                                <w:t>G1-6、S1-5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直接箭头连接符 22"/>
                                        <wps:cNvCnPr/>
                                        <wps:spPr>
                                          <a:xfrm flipV="1">
                                            <a:off x="5589" y="12362"/>
                                            <a:ext cx="557" cy="7"/>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72" name="文本框 13"/>
                                        <wps:cNvSpPr txBox="1"/>
                                        <wps:spPr>
                                          <a:xfrm>
                                            <a:off x="4673" y="12117"/>
                                            <a:ext cx="1077"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D57A3">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水性漆</w:t>
                                              </w:r>
                                            </w:p>
                                          </w:txbxContent>
                                        </wps:txbx>
                                        <wps:bodyPr rot="0" spcFirstLastPara="0" vertOverflow="overflow" horzOverflow="overflow" vert="horz" wrap="square" lIns="91440" tIns="36000" rIns="91440" bIns="45720" numCol="1" spcCol="0" rtlCol="0" fromWordArt="0" anchor="t" anchorCtr="0" forceAA="0" compatLnSpc="1">
                                          <a:noAutofit/>
                                        </wps:bodyPr>
                                      </wps:wsp>
                                      <wpg:grpSp>
                                        <wpg:cNvPr id="131" name="组合 6"/>
                                        <wpg:cNvGrpSpPr/>
                                        <wpg:grpSpPr>
                                          <a:xfrm>
                                            <a:off x="5922" y="1585"/>
                                            <a:ext cx="6106" cy="13253"/>
                                            <a:chOff x="5922" y="1585"/>
                                            <a:chExt cx="6106" cy="13253"/>
                                          </a:xfrm>
                                        </wpg:grpSpPr>
                                        <wpg:grpSp>
                                          <wpg:cNvPr id="132" name="组合 58"/>
                                          <wpg:cNvGrpSpPr/>
                                          <wpg:grpSpPr>
                                            <a:xfrm>
                                              <a:off x="5922" y="1585"/>
                                              <a:ext cx="6106" cy="12347"/>
                                              <a:chOff x="6066" y="465471"/>
                                              <a:chExt cx="6106" cy="12347"/>
                                            </a:xfrm>
                                          </wpg:grpSpPr>
                                          <wpg:grpSp>
                                            <wpg:cNvPr id="34" name="组合 40"/>
                                            <wpg:cNvGrpSpPr/>
                                            <wpg:grpSpPr>
                                              <a:xfrm>
                                                <a:off x="6293" y="465471"/>
                                                <a:ext cx="5879" cy="12347"/>
                                                <a:chOff x="6293" y="465461"/>
                                                <a:chExt cx="5879" cy="12347"/>
                                              </a:xfrm>
                                            </wpg:grpSpPr>
                                            <wps:wsp>
                                              <wps:cNvPr id="47" name="文本框 27"/>
                                              <wps:cNvSpPr txBox="1"/>
                                              <wps:spPr>
                                                <a:xfrm>
                                                  <a:off x="8453" y="477389"/>
                                                  <a:ext cx="1333" cy="41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C0B910">
                                                    <w:pPr>
                                                      <w:jc w:val="center"/>
                                                      <w:rPr>
                                                        <w:rFonts w:hint="default" w:eastAsiaTheme="minorEastAsia"/>
                                                        <w:lang w:val="en-US" w:eastAsia="zh-CN"/>
                                                      </w:rPr>
                                                    </w:pPr>
                                                    <w:r>
                                                      <w:rPr>
                                                        <w:rFonts w:hint="eastAsia" w:eastAsiaTheme="minorEastAsia"/>
                                                        <w:lang w:val="en-US" w:eastAsia="zh-CN"/>
                                                      </w:rPr>
                                                      <w:t>烘干/固化</w:t>
                                                    </w:r>
                                                  </w:p>
                                                </w:txbxContent>
                                              </wps:txbx>
                                              <wps:bodyPr rot="0" spcFirstLastPara="0" vertOverflow="overflow" horzOverflow="overflow" vert="horz" wrap="square" lIns="91440" tIns="0" rIns="91440" bIns="45720" numCol="1" spcCol="0" rtlCol="0" fromWordArt="0" anchor="t" anchorCtr="0" forceAA="0" compatLnSpc="1">
                                                <a:noAutofit/>
                                              </wps:bodyPr>
                                            </wps:wsp>
                                            <wpg:grpSp>
                                              <wpg:cNvPr id="35" name="组合 27"/>
                                              <wpg:cNvGrpSpPr/>
                                              <wpg:grpSpPr>
                                                <a:xfrm>
                                                  <a:off x="6293" y="465461"/>
                                                  <a:ext cx="5879" cy="10999"/>
                                                  <a:chOff x="6269" y="465497"/>
                                                  <a:chExt cx="5879" cy="10999"/>
                                                </a:xfrm>
                                              </wpg:grpSpPr>
                                              <wpg:grpSp>
                                                <wpg:cNvPr id="36" name="组合 45"/>
                                                <wpg:cNvGrpSpPr/>
                                                <wpg:grpSpPr>
                                                  <a:xfrm>
                                                    <a:off x="6269" y="465497"/>
                                                    <a:ext cx="5879" cy="10999"/>
                                                    <a:chOff x="3869" y="467251"/>
                                                    <a:chExt cx="5879" cy="10999"/>
                                                  </a:xfrm>
                                                </wpg:grpSpPr>
                                                <wpg:grpSp>
                                                  <wpg:cNvPr id="37" name="组合 30"/>
                                                  <wpg:cNvGrpSpPr/>
                                                  <wpg:grpSpPr>
                                                    <a:xfrm>
                                                      <a:off x="4075" y="467251"/>
                                                      <a:ext cx="5673" cy="7795"/>
                                                      <a:chOff x="10772" y="913"/>
                                                      <a:chExt cx="5673" cy="8102"/>
                                                    </a:xfrm>
                                                  </wpg:grpSpPr>
                                                  <wps:wsp>
                                                    <wps:cNvPr id="38" name="文本框 1"/>
                                                    <wps:cNvSpPr txBox="1"/>
                                                    <wps:spPr>
                                                      <a:xfrm>
                                                        <a:off x="12541" y="913"/>
                                                        <a:ext cx="1576" cy="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8AAC4">
                                                          <w:pPr>
                                                            <w:jc w:val="center"/>
                                                            <w:rPr>
                                                              <w:rFonts w:hint="default" w:eastAsiaTheme="minorEastAsia"/>
                                                              <w:lang w:val="en-US" w:eastAsia="zh-CN"/>
                                                            </w:rPr>
                                                          </w:pPr>
                                                          <w:r>
                                                            <w:rPr>
                                                              <w:rFonts w:hint="eastAsia" w:eastAsiaTheme="minorEastAsia"/>
                                                              <w:lang w:val="en-US" w:eastAsia="zh-CN"/>
                                                            </w:rPr>
                                                            <w:t>铝板/卷、铝型材</w:t>
                                                          </w:r>
                                                        </w:p>
                                                      </w:txbxContent>
                                                    </wps:txbx>
                                                    <wps:bodyPr rot="0" spcFirstLastPara="0" vertOverflow="overflow" horzOverflow="overflow" vert="horz" wrap="square" lIns="0" tIns="36000" rIns="0" bIns="0" numCol="1" spcCol="0" rtlCol="0" fromWordArt="0" anchor="t" anchorCtr="0" forceAA="0" compatLnSpc="1">
                                                      <a:noAutofit/>
                                                    </wps:bodyPr>
                                                  </wps:wsp>
                                                  <wps:wsp>
                                                    <wps:cNvPr id="39" name="直接箭头连接符 2"/>
                                                    <wps:cNvCnPr/>
                                                    <wps:spPr>
                                                      <a:xfrm>
                                                        <a:off x="13325" y="2406"/>
                                                        <a:ext cx="0" cy="530"/>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40" name="文本框 3"/>
                                                    <wps:cNvSpPr txBox="1"/>
                                                    <wps:spPr>
                                                      <a:xfrm>
                                                        <a:off x="12735" y="2955"/>
                                                        <a:ext cx="1153" cy="4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670494">
                                                          <w:pPr>
                                                            <w:jc w:val="center"/>
                                                            <w:rPr>
                                                              <w:rFonts w:hint="default" w:eastAsiaTheme="minorEastAsia"/>
                                                              <w:lang w:val="en-US" w:eastAsia="zh-CN"/>
                                                            </w:rPr>
                                                          </w:pPr>
                                                          <w:r>
                                                            <w:rPr>
                                                              <w:rFonts w:hint="eastAsia" w:eastAsiaTheme="minorEastAsia"/>
                                                              <w:lang w:val="en-US" w:eastAsia="zh-CN"/>
                                                            </w:rPr>
                                                            <w:t>切割下料</w:t>
                                                          </w:r>
                                                        </w:p>
                                                      </w:txbxContent>
                                                    </wps:txbx>
                                                    <wps:bodyPr rot="0" spcFirstLastPara="0" vertOverflow="overflow" horzOverflow="overflow" vert="horz" wrap="square" lIns="0" tIns="0" rIns="36000" bIns="45720" numCol="1" spcCol="0" rtlCol="0" fromWordArt="0" anchor="t" anchorCtr="0" forceAA="0" compatLnSpc="1">
                                                      <a:noAutofit/>
                                                    </wps:bodyPr>
                                                  </wps:wsp>
                                                  <wps:wsp>
                                                    <wps:cNvPr id="41" name="直接箭头连接符 4"/>
                                                    <wps:cNvCnPr/>
                                                    <wps:spPr>
                                                      <a:xfrm flipV="1">
                                                        <a:off x="13888" y="3165"/>
                                                        <a:ext cx="557" cy="0"/>
                                                      </a:xfrm>
                                                      <a:prstGeom prst="straightConnector1">
                                                        <a:avLst/>
                                                      </a:prstGeom>
                                                      <a:ln w="12700" cap="flat" cmpd="sng" algn="ctr">
                                                        <a:solidFill>
                                                          <a:schemeClr val="tx1"/>
                                                        </a:solidFill>
                                                        <a:prstDash val="dashDot"/>
                                                        <a:miter lim="800000"/>
                                                        <a:tailEnd type="triangle" w="med" len="med"/>
                                                      </a:ln>
                                                    </wps:spPr>
                                                    <wps:style>
                                                      <a:lnRef idx="0">
                                                        <a:schemeClr val="accent1"/>
                                                      </a:lnRef>
                                                      <a:fillRef idx="0">
                                                        <a:srgbClr val="FFFFFF"/>
                                                      </a:fillRef>
                                                      <a:effectRef idx="0">
                                                        <a:srgbClr val="FFFFFF"/>
                                                      </a:effectRef>
                                                      <a:fontRef idx="minor">
                                                        <a:schemeClr val="tx1"/>
                                                      </a:fontRef>
                                                    </wps:style>
                                                    <wps:bodyPr/>
                                                  </wps:wsp>
                                                  <wps:wsp>
                                                    <wps:cNvPr id="42" name="文本框 5"/>
                                                    <wps:cNvSpPr txBox="1"/>
                                                    <wps:spPr>
                                                      <a:xfrm>
                                                        <a:off x="14356" y="2940"/>
                                                        <a:ext cx="2028"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2FFC69">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G1</w:t>
                                                          </w:r>
                                                          <w:r>
                                                            <w:rPr>
                                                              <w:rFonts w:hint="eastAsia" w:cs="Times New Roman"/>
                                                              <w:lang w:val="en-US" w:eastAsia="zh-CN"/>
                                                            </w:rPr>
                                                            <w:t>-1</w:t>
                                                          </w:r>
                                                          <w:r>
                                                            <w:rPr>
                                                              <w:rFonts w:hint="eastAsia" w:ascii="Times New Roman" w:hAnsi="Times New Roman" w:cs="Times New Roman"/>
                                                              <w:lang w:eastAsia="zh-CN"/>
                                                            </w:rPr>
                                                            <w:t>、</w:t>
                                                          </w:r>
                                                          <w:r>
                                                            <w:rPr>
                                                              <w:rFonts w:ascii="Times New Roman" w:hAnsi="Times New Roman" w:cs="Times New Roman"/>
                                                              <w:lang w:eastAsia="zh-CN"/>
                                                            </w:rPr>
                                                            <w:t>S1</w:t>
                                                          </w:r>
                                                          <w:r>
                                                            <w:rPr>
                                                              <w:rFonts w:hint="eastAsia" w:cs="Times New Roman"/>
                                                              <w:lang w:val="en-US" w:eastAsia="zh-CN"/>
                                                            </w:rPr>
                                                            <w:t>-1</w:t>
                                                          </w:r>
                                                          <w:r>
                                                            <w:rPr>
                                                              <w:rFonts w:ascii="Times New Roman" w:hAnsi="Times New Roman" w:cs="Times New Roman"/>
                                                              <w:lang w:eastAsia="zh-CN"/>
                                                            </w:rPr>
                                                            <w:t>、N1</w:t>
                                                          </w:r>
                                                          <w:r>
                                                            <w:rPr>
                                                              <w:rFonts w:hint="eastAsia" w:cs="Times New Roman"/>
                                                              <w:lang w:val="en-US" w:eastAsia="zh-CN"/>
                                                            </w:rPr>
                                                            <w:t>-1</w:t>
                                                          </w:r>
                                                        </w:p>
                                                      </w:txbxContent>
                                                    </wps:txbx>
                                                    <wps:bodyPr rot="0" spcFirstLastPara="0" vertOverflow="overflow" horzOverflow="overflow" vert="horz" wrap="square" lIns="91440" tIns="36000" rIns="91440" bIns="36000" numCol="1" spcCol="0" rtlCol="0" fromWordArt="0" anchor="t" anchorCtr="0" forceAA="0" compatLnSpc="1">
                                                      <a:noAutofit/>
                                                    </wps:bodyPr>
                                                  </wps:wsp>
                                                  <wps:wsp>
                                                    <wps:cNvPr id="43" name="直接箭头连接符 6"/>
                                                    <wps:cNvCnPr/>
                                                    <wps:spPr>
                                                      <a:xfrm>
                                                        <a:off x="13313" y="3390"/>
                                                        <a:ext cx="0" cy="530"/>
                                                      </a:xfrm>
                                                      <a:prstGeom prst="straightConnector1">
                                                        <a:avLst/>
                                                      </a:prstGeom>
                                                      <a:ln w="12700">
                                                        <a:tailEnd type="triangle" w="med" len="med"/>
                                                      </a:ln>
                                                    </wps:spPr>
                                                    <wps:style>
                                                      <a:lnRef idx="2">
                                                        <a:prstClr val="black"/>
                                                      </a:lnRef>
                                                      <a:fillRef idx="0">
                                                        <a:srgbClr val="FFFFFF"/>
                                                      </a:fillRef>
                                                      <a:effectRef idx="0">
                                                        <a:srgbClr val="FFFFFF"/>
                                                      </a:effectRef>
                                                      <a:fontRef idx="minor">
                                                        <a:schemeClr val="tx1"/>
                                                      </a:fontRef>
                                                    </wps:style>
                                                    <wps:bodyPr/>
                                                  </wps:wsp>
                                                  <wps:wsp>
                                                    <wps:cNvPr id="44" name="文本框 7"/>
                                                    <wps:cNvSpPr txBox="1"/>
                                                    <wps:spPr>
                                                      <a:xfrm>
                                                        <a:off x="12735" y="3870"/>
                                                        <a:ext cx="1153" cy="452"/>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5A68F1">
                                                          <w:pPr>
                                                            <w:jc w:val="center"/>
                                                            <w:rPr>
                                                              <w:rFonts w:hint="default" w:eastAsiaTheme="minorEastAsia"/>
                                                              <w:lang w:val="en-US" w:eastAsia="zh-CN"/>
                                                            </w:rPr>
                                                          </w:pPr>
                                                          <w:r>
                                                            <w:rPr>
                                                              <w:rFonts w:hint="eastAsia" w:eastAsiaTheme="minorEastAsia"/>
                                                              <w:lang w:val="en-US" w:eastAsia="zh-CN"/>
                                                            </w:rPr>
                                                            <w:t>钣金加工</w:t>
                                                          </w:r>
                                                        </w:p>
                                                      </w:txbxContent>
                                                    </wps:txbx>
                                                    <wps:bodyPr rot="0" spcFirstLastPara="0" vertOverflow="overflow" horzOverflow="overflow" vert="horz" wrap="square" lIns="91440" tIns="36000" rIns="0" bIns="45720" numCol="1" spcCol="0" rtlCol="0" fromWordArt="0" anchor="t" anchorCtr="0" forceAA="0" compatLnSpc="1">
                                                      <a:noAutofit/>
                                                    </wps:bodyPr>
                                                  </wps:wsp>
                                                  <wps:wsp>
                                                    <wps:cNvPr id="45" name="直接箭头连接符 8"/>
                                                    <wps:cNvCnPr/>
                                                    <wps:spPr>
                                                      <a:xfrm flipV="1">
                                                        <a:off x="13918" y="4095"/>
                                                        <a:ext cx="557" cy="8"/>
                                                      </a:xfrm>
                                                      <a:prstGeom prst="straightConnector1">
                                                        <a:avLst/>
                                                      </a:prstGeom>
                                                      <a:ln w="12700" cap="flat" cmpd="sng" algn="ctr">
                                                        <a:solidFill>
                                                          <a:schemeClr val="tx1"/>
                                                        </a:solidFill>
                                                        <a:prstDash val="dashDot"/>
                                                        <a:miter lim="800000"/>
                                                        <a:tailEnd type="triangle" w="med" len="med"/>
                                                      </a:ln>
                                                    </wps:spPr>
                                                    <wps:style>
                                                      <a:lnRef idx="0">
                                                        <a:schemeClr val="accent1"/>
                                                      </a:lnRef>
                                                      <a:fillRef idx="0">
                                                        <a:srgbClr val="FFFFFF"/>
                                                      </a:fillRef>
                                                      <a:effectRef idx="0">
                                                        <a:srgbClr val="FFFFFF"/>
                                                      </a:effectRef>
                                                      <a:fontRef idx="minor">
                                                        <a:schemeClr val="tx1"/>
                                                      </a:fontRef>
                                                    </wps:style>
                                                    <wps:bodyPr/>
                                                  </wps:wsp>
                                                  <wps:wsp>
                                                    <wps:cNvPr id="46" name="文本框 9"/>
                                                    <wps:cNvSpPr txBox="1"/>
                                                    <wps:spPr>
                                                      <a:xfrm>
                                                        <a:off x="14417" y="3846"/>
                                                        <a:ext cx="1240" cy="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21448D">
                                                          <w:pPr>
                                                            <w:jc w:val="center"/>
                                                            <w:rPr>
                                                              <w:rFonts w:hint="default" w:ascii="Times New Roman" w:hAnsi="Times New Roman" w:cs="Times New Roman" w:eastAsiaTheme="minorEastAsia"/>
                                                              <w:lang w:val="en-US" w:eastAsia="zh-CN"/>
                                                            </w:rPr>
                                                          </w:pPr>
                                                          <w:r>
                                                            <w:rPr>
                                                              <w:rFonts w:ascii="Times New Roman" w:hAnsi="Times New Roman" w:cs="Times New Roman"/>
                                                              <w:lang w:eastAsia="zh-CN"/>
                                                            </w:rPr>
                                                            <w:t>S</w:t>
                                                          </w:r>
                                                          <w:r>
                                                            <w:rPr>
                                                              <w:rFonts w:hint="eastAsia" w:cs="Times New Roman"/>
                                                              <w:lang w:val="en-US" w:eastAsia="zh-CN"/>
                                                            </w:rPr>
                                                            <w:t>1-2</w:t>
                                                          </w:r>
                                                          <w:r>
                                                            <w:rPr>
                                                              <w:rFonts w:ascii="Times New Roman" w:hAnsi="Times New Roman" w:cs="Times New Roman"/>
                                                              <w:lang w:eastAsia="zh-CN"/>
                                                            </w:rPr>
                                                            <w:t>、N</w:t>
                                                          </w:r>
                                                          <w:r>
                                                            <w:rPr>
                                                              <w:rFonts w:hint="eastAsia" w:cs="Times New Roman"/>
                                                              <w:lang w:val="en-US" w:eastAsia="zh-CN"/>
                                                            </w:rPr>
                                                            <w:t>1-2</w:t>
                                                          </w:r>
                                                        </w:p>
                                                      </w:txbxContent>
                                                    </wps:txbx>
                                                    <wps:bodyPr rot="0" spcFirstLastPara="0" vertOverflow="overflow" horzOverflow="overflow" vert="horz" wrap="square" lIns="0" tIns="36000" rIns="0" bIns="36000" numCol="1" spcCol="0" rtlCol="0" fromWordArt="0" anchor="t" anchorCtr="0" forceAA="0" compatLnSpc="1">
                                                      <a:noAutofit/>
                                                    </wps:bodyPr>
                                                  </wps:wsp>
                                                  <wps:wsp>
                                                    <wps:cNvPr id="48" name="直接箭头连接符 10"/>
                                                    <wps:cNvCnPr/>
                                                    <wps:spPr>
                                                      <a:xfrm>
                                                        <a:off x="13328" y="4320"/>
                                                        <a:ext cx="7" cy="495"/>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49" name="文本框 11"/>
                                                    <wps:cNvSpPr txBox="1"/>
                                                    <wps:spPr>
                                                      <a:xfrm>
                                                        <a:off x="12735" y="4815"/>
                                                        <a:ext cx="1153" cy="4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877951">
                                                          <w:pPr>
                                                            <w:jc w:val="center"/>
                                                            <w:rPr>
                                                              <w:rFonts w:eastAsiaTheme="minorEastAsia"/>
                                                              <w:lang w:eastAsia="zh-CN"/>
                                                            </w:rPr>
                                                          </w:pPr>
                                                          <w:r>
                                                            <w:rPr>
                                                              <w:rFonts w:hint="eastAsia"/>
                                                              <w:lang w:eastAsia="zh-CN"/>
                                                            </w:rPr>
                                                            <w:t>焊接</w:t>
                                                          </w:r>
                                                        </w:p>
                                                      </w:txbxContent>
                                                    </wps:txbx>
                                                    <wps:bodyPr rot="0" spcFirstLastPara="0" vertOverflow="overflow" horzOverflow="overflow" vert="horz" wrap="square" lIns="91440" tIns="0" rIns="91440" bIns="45720" numCol="1" spcCol="0" rtlCol="0" fromWordArt="0" anchor="t" anchorCtr="0" forceAA="0" compatLnSpc="1">
                                                      <a:noAutofit/>
                                                    </wps:bodyPr>
                                                  </wps:wsp>
                                                  <wps:wsp>
                                                    <wps:cNvPr id="51" name="直接箭头连接符 12"/>
                                                    <wps:cNvCnPr/>
                                                    <wps:spPr>
                                                      <a:xfrm flipV="1">
                                                        <a:off x="12178" y="5055"/>
                                                        <a:ext cx="557" cy="8"/>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52" name="文本框 13"/>
                                                    <wps:cNvSpPr txBox="1"/>
                                                    <wps:spPr>
                                                      <a:xfrm>
                                                        <a:off x="11251" y="4810"/>
                                                        <a:ext cx="1244"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4263E">
                                                          <w:pPr>
                                                            <w:jc w:val="center"/>
                                                            <w:rPr>
                                                              <w:rFonts w:hint="default" w:eastAsiaTheme="minorEastAsia"/>
                                                              <w:lang w:val="en-US" w:eastAsia="zh-CN"/>
                                                            </w:rPr>
                                                          </w:pPr>
                                                          <w:r>
                                                            <w:rPr>
                                                              <w:rFonts w:hint="eastAsia" w:eastAsiaTheme="minorEastAsia"/>
                                                              <w:lang w:val="en-US" w:eastAsia="zh-CN"/>
                                                            </w:rPr>
                                                            <w:t>焊丝</w:t>
                                                          </w:r>
                                                        </w:p>
                                                      </w:txbxContent>
                                                    </wps:txbx>
                                                    <wps:bodyPr rot="0" spcFirstLastPara="0" vertOverflow="overflow" horzOverflow="overflow" vert="horz" wrap="square" lIns="91440" tIns="0" rIns="91440" bIns="36000" numCol="1" spcCol="0" rtlCol="0" fromWordArt="0" anchor="t" anchorCtr="0" forceAA="0" compatLnSpc="1">
                                                      <a:noAutofit/>
                                                    </wps:bodyPr>
                                                  </wps:wsp>
                                                  <wps:wsp>
                                                    <wps:cNvPr id="53" name="直接箭头连接符 14"/>
                                                    <wps:cNvCnPr/>
                                                    <wps:spPr>
                                                      <a:xfrm flipV="1">
                                                        <a:off x="13903" y="5040"/>
                                                        <a:ext cx="557" cy="8"/>
                                                      </a:xfrm>
                                                      <a:prstGeom prst="straightConnector1">
                                                        <a:avLst/>
                                                      </a:prstGeom>
                                                      <a:ln w="12700" cap="flat" cmpd="sng" algn="ctr">
                                                        <a:solidFill>
                                                          <a:schemeClr val="tx1"/>
                                                        </a:solidFill>
                                                        <a:prstDash val="dashDot"/>
                                                        <a:miter lim="800000"/>
                                                        <a:tailEnd type="triangle" w="med" len="med"/>
                                                      </a:ln>
                                                    </wps:spPr>
                                                    <wps:style>
                                                      <a:lnRef idx="0">
                                                        <a:schemeClr val="accent1"/>
                                                      </a:lnRef>
                                                      <a:fillRef idx="0">
                                                        <a:srgbClr val="FFFFFF"/>
                                                      </a:fillRef>
                                                      <a:effectRef idx="0">
                                                        <a:srgbClr val="FFFFFF"/>
                                                      </a:effectRef>
                                                      <a:fontRef idx="minor">
                                                        <a:schemeClr val="tx1"/>
                                                      </a:fontRef>
                                                    </wps:style>
                                                    <wps:bodyPr/>
                                                  </wps:wsp>
                                                  <wps:wsp>
                                                    <wps:cNvPr id="54" name="文本框 15"/>
                                                    <wps:cNvSpPr txBox="1"/>
                                                    <wps:spPr>
                                                      <a:xfrm>
                                                        <a:off x="14251" y="5745"/>
                                                        <a:ext cx="1843"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2170A">
                                                          <w:pPr>
                                                            <w:jc w:val="center"/>
                                                            <w:rPr>
                                                              <w:rFonts w:ascii="Times New Roman" w:hAnsi="Times New Roman" w:cs="Times New Roman" w:eastAsiaTheme="minorEastAsia"/>
                                                              <w:lang w:eastAsia="zh-CN"/>
                                                            </w:rPr>
                                                          </w:pPr>
                                                          <w:r>
                                                            <w:rPr>
                                                              <w:rFonts w:ascii="Times New Roman" w:hAnsi="Times New Roman" w:cs="Times New Roman"/>
                                                              <w:lang w:eastAsia="zh-CN"/>
                                                            </w:rPr>
                                                            <w:t>G</w:t>
                                                          </w:r>
                                                          <w:r>
                                                            <w:rPr>
                                                              <w:rFonts w:hint="eastAsia" w:cs="Times New Roman"/>
                                                              <w:lang w:val="en-US" w:eastAsia="zh-CN"/>
                                                            </w:rPr>
                                                            <w:t>1-</w:t>
                                                          </w:r>
                                                          <w:r>
                                                            <w:rPr>
                                                              <w:rFonts w:hint="eastAsia" w:ascii="Times New Roman" w:hAnsi="Times New Roman" w:cs="Times New Roman"/>
                                                              <w:lang w:eastAsia="zh-CN"/>
                                                            </w:rPr>
                                                            <w:t>3</w:t>
                                                          </w:r>
                                                          <w:r>
                                                            <w:rPr>
                                                              <w:rFonts w:ascii="Times New Roman" w:hAnsi="Times New Roman" w:cs="Times New Roman"/>
                                                              <w:lang w:eastAsia="zh-CN"/>
                                                            </w:rPr>
                                                            <w:t>、N</w:t>
                                                          </w:r>
                                                          <w:r>
                                                            <w:rPr>
                                                              <w:rFonts w:hint="eastAsia" w:cs="Times New Roman"/>
                                                              <w:lang w:val="en-US" w:eastAsia="zh-CN"/>
                                                            </w:rPr>
                                                            <w:t>1-</w:t>
                                                          </w:r>
                                                          <w:r>
                                                            <w:rPr>
                                                              <w:rFonts w:ascii="Times New Roman" w:hAnsi="Times New Roman" w:cs="Times New Roman"/>
                                                              <w:lang w:eastAsia="zh-CN"/>
                                                            </w:rPr>
                                                            <w:t>4</w:t>
                                                          </w:r>
                                                        </w:p>
                                                      </w:txbxContent>
                                                    </wps:txbx>
                                                    <wps:bodyPr rot="0" spcFirstLastPara="0" vertOverflow="overflow" horzOverflow="overflow" vert="horz" wrap="square" lIns="91440" tIns="36000" rIns="91440" bIns="45720" numCol="1" spcCol="0" rtlCol="0" fromWordArt="0" anchor="t" anchorCtr="0" forceAA="0" compatLnSpc="1">
                                                      <a:noAutofit/>
                                                    </wps:bodyPr>
                                                  </wps:wsp>
                                                  <wps:wsp>
                                                    <wps:cNvPr id="55" name="直接箭头连接符 16"/>
                                                    <wps:cNvCnPr/>
                                                    <wps:spPr>
                                                      <a:xfrm>
                                                        <a:off x="13328" y="5250"/>
                                                        <a:ext cx="7" cy="495"/>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56" name="文本框 17"/>
                                                    <wps:cNvSpPr txBox="1"/>
                                                    <wps:spPr>
                                                      <a:xfrm>
                                                        <a:off x="12720" y="5745"/>
                                                        <a:ext cx="1153" cy="4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5A8C04">
                                                          <w:pPr>
                                                            <w:jc w:val="center"/>
                                                            <w:rPr>
                                                              <w:rFonts w:hint="default" w:eastAsiaTheme="minorEastAsia"/>
                                                              <w:lang w:val="en-US" w:eastAsia="zh-CN"/>
                                                            </w:rPr>
                                                          </w:pPr>
                                                          <w:r>
                                                            <w:rPr>
                                                              <w:rFonts w:hint="eastAsia" w:eastAsiaTheme="minorEastAsia"/>
                                                              <w:lang w:val="en-US" w:eastAsia="zh-CN"/>
                                                            </w:rPr>
                                                            <w:t>打磨抛光</w:t>
                                                          </w:r>
                                                        </w:p>
                                                      </w:txbxContent>
                                                    </wps:txbx>
                                                    <wps:bodyPr rot="0" spcFirstLastPara="0" vertOverflow="overflow" horzOverflow="overflow" vert="horz" wrap="square" lIns="36000" tIns="0" rIns="91440" bIns="45720" numCol="1" spcCol="0" rtlCol="0" fromWordArt="0" anchor="t" anchorCtr="0" forceAA="0" compatLnSpc="1">
                                                      <a:noAutofit/>
                                                    </wps:bodyPr>
                                                  </wps:wsp>
                                                  <wps:wsp>
                                                    <wps:cNvPr id="57" name="直接箭头连接符 18"/>
                                                    <wps:cNvCnPr/>
                                                    <wps:spPr>
                                                      <a:xfrm flipV="1">
                                                        <a:off x="13903" y="5955"/>
                                                        <a:ext cx="557" cy="8"/>
                                                      </a:xfrm>
                                                      <a:prstGeom prst="straightConnector1">
                                                        <a:avLst/>
                                                      </a:prstGeom>
                                                      <a:ln w="12700" cap="flat" cmpd="sng" algn="ctr">
                                                        <a:solidFill>
                                                          <a:schemeClr val="tx1"/>
                                                        </a:solidFill>
                                                        <a:prstDash val="dashDot"/>
                                                        <a:miter lim="800000"/>
                                                        <a:tailEnd type="triangle" w="med" len="med"/>
                                                      </a:ln>
                                                    </wps:spPr>
                                                    <wps:style>
                                                      <a:lnRef idx="0">
                                                        <a:schemeClr val="accent1"/>
                                                      </a:lnRef>
                                                      <a:fillRef idx="0">
                                                        <a:srgbClr val="FFFFFF"/>
                                                      </a:fillRef>
                                                      <a:effectRef idx="0">
                                                        <a:srgbClr val="FFFFFF"/>
                                                      </a:effectRef>
                                                      <a:fontRef idx="minor">
                                                        <a:schemeClr val="tx1"/>
                                                      </a:fontRef>
                                                    </wps:style>
                                                    <wps:bodyPr/>
                                                  </wps:wsp>
                                                  <wps:wsp>
                                                    <wps:cNvPr id="58" name="文本框 19"/>
                                                    <wps:cNvSpPr txBox="1"/>
                                                    <wps:spPr>
                                                      <a:xfrm>
                                                        <a:off x="14446" y="4815"/>
                                                        <a:ext cx="1999"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75C0C">
                                                          <w:pPr>
                                                            <w:jc w:val="center"/>
                                                            <w:rPr>
                                                              <w:rFonts w:eastAsiaTheme="minorEastAsia"/>
                                                              <w:sz w:val="24"/>
                                                              <w:szCs w:val="24"/>
                                                              <w:lang w:eastAsia="zh-CN"/>
                                                            </w:rPr>
                                                          </w:pPr>
                                                          <w:r>
                                                            <w:rPr>
                                                              <w:rFonts w:ascii="Times New Roman" w:hAnsi="Times New Roman" w:cs="Times New Roman"/>
                                                              <w:lang w:eastAsia="zh-CN"/>
                                                            </w:rPr>
                                                            <w:t>G</w:t>
                                                          </w:r>
                                                          <w:r>
                                                            <w:rPr>
                                                              <w:rFonts w:hint="eastAsia" w:cs="Times New Roman"/>
                                                              <w:lang w:val="en-US" w:eastAsia="zh-CN"/>
                                                            </w:rPr>
                                                            <w:t>1-</w:t>
                                                          </w:r>
                                                          <w:r>
                                                            <w:rPr>
                                                              <w:rFonts w:hint="eastAsia" w:ascii="Times New Roman" w:hAnsi="Times New Roman" w:cs="Times New Roman"/>
                                                              <w:lang w:eastAsia="zh-CN"/>
                                                            </w:rPr>
                                                            <w:t>2</w:t>
                                                          </w:r>
                                                          <w:r>
                                                            <w:rPr>
                                                              <w:rFonts w:ascii="Times New Roman" w:hAnsi="Times New Roman" w:cs="Times New Roman"/>
                                                              <w:lang w:eastAsia="zh-CN"/>
                                                            </w:rPr>
                                                            <w:t>、S</w:t>
                                                          </w:r>
                                                          <w:r>
                                                            <w:rPr>
                                                              <w:rFonts w:hint="eastAsia" w:cs="Times New Roman"/>
                                                              <w:lang w:val="en-US" w:eastAsia="zh-CN"/>
                                                            </w:rPr>
                                                            <w:t>1-</w:t>
                                                          </w:r>
                                                          <w:r>
                                                            <w:rPr>
                                                              <w:rFonts w:ascii="Times New Roman" w:hAnsi="Times New Roman" w:cs="Times New Roman"/>
                                                              <w:lang w:eastAsia="zh-CN"/>
                                                            </w:rPr>
                                                            <w:t>3、N</w:t>
                                                          </w:r>
                                                          <w:r>
                                                            <w:rPr>
                                                              <w:rFonts w:hint="eastAsia" w:cs="Times New Roman"/>
                                                              <w:lang w:val="en-US" w:eastAsia="zh-CN"/>
                                                            </w:rPr>
                                                            <w:t>1-</w:t>
                                                          </w:r>
                                                          <w:r>
                                                            <w:rPr>
                                                              <w:rFonts w:ascii="Times New Roman" w:hAnsi="Times New Roman" w:cs="Times New Roman"/>
                                                              <w:lang w:eastAsia="zh-CN"/>
                                                            </w:rPr>
                                                            <w:t>3</w:t>
                                                          </w:r>
                                                        </w:p>
                                                      </w:txbxContent>
                                                    </wps:txbx>
                                                    <wps:bodyPr rot="0" spcFirstLastPara="0" vertOverflow="overflow" horzOverflow="overflow" vert="horz" wrap="square" lIns="91440" tIns="36000" rIns="91440" bIns="45720" numCol="1" spcCol="0" rtlCol="0" fromWordArt="0" anchor="t" anchorCtr="0" forceAA="0" compatLnSpc="1">
                                                      <a:noAutofit/>
                                                    </wps:bodyPr>
                                                  </wps:wsp>
                                                  <wps:wsp>
                                                    <wps:cNvPr id="77" name="直接箭头连接符 20"/>
                                                    <wps:cNvCnPr/>
                                                    <wps:spPr>
                                                      <a:xfrm>
                                                        <a:off x="13343" y="6195"/>
                                                        <a:ext cx="0" cy="495"/>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80" name="文本框 21"/>
                                                    <wps:cNvSpPr txBox="1"/>
                                                    <wps:spPr>
                                                      <a:xfrm>
                                                        <a:off x="12660" y="6690"/>
                                                        <a:ext cx="1333" cy="4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43BE18">
                                                          <w:pPr>
                                                            <w:jc w:val="center"/>
                                                            <w:rPr>
                                                              <w:rFonts w:hint="default" w:eastAsiaTheme="minorEastAsia"/>
                                                              <w:lang w:val="en-US" w:eastAsia="zh-CN"/>
                                                            </w:rPr>
                                                          </w:pPr>
                                                          <w:r>
                                                            <w:rPr>
                                                              <w:rFonts w:hint="eastAsia" w:eastAsiaTheme="minorEastAsia"/>
                                                              <w:lang w:val="en-US" w:eastAsia="zh-CN"/>
                                                            </w:rPr>
                                                            <w:t>喷淋脱脂</w:t>
                                                          </w:r>
                                                        </w:p>
                                                      </w:txbxContent>
                                                    </wps:txbx>
                                                    <wps:bodyPr rot="0" spcFirstLastPara="0" vertOverflow="overflow" horzOverflow="overflow" vert="horz" wrap="square" lIns="72000" tIns="0" rIns="72000" bIns="0" numCol="1" spcCol="0" rtlCol="0" fromWordArt="0" anchor="t" anchorCtr="0" forceAA="0" compatLnSpc="1">
                                                      <a:noAutofit/>
                                                    </wps:bodyPr>
                                                  </wps:wsp>
                                                  <wps:wsp>
                                                    <wps:cNvPr id="81" name="直接箭头连接符 22"/>
                                                    <wps:cNvCnPr/>
                                                    <wps:spPr>
                                                      <a:xfrm flipV="1">
                                                        <a:off x="12118" y="6915"/>
                                                        <a:ext cx="557" cy="8"/>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82" name="文本框 23"/>
                                                    <wps:cNvSpPr txBox="1"/>
                                                    <wps:spPr>
                                                      <a:xfrm>
                                                        <a:off x="10772" y="6730"/>
                                                        <a:ext cx="1513" cy="4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07D7E">
                                                          <w:pPr>
                                                            <w:jc w:val="center"/>
                                                            <w:rPr>
                                                              <w:rFonts w:hint="default" w:eastAsiaTheme="minorEastAsia"/>
                                                              <w:lang w:val="en-US" w:eastAsia="zh-CN"/>
                                                            </w:rPr>
                                                          </w:pPr>
                                                          <w:r>
                                                            <w:rPr>
                                                              <w:rFonts w:hint="eastAsia" w:eastAsiaTheme="minorEastAsia"/>
                                                              <w:lang w:val="en-US" w:eastAsia="zh-CN"/>
                                                            </w:rPr>
                                                            <w:t>脱脂剂、水</w:t>
                                                          </w:r>
                                                        </w:p>
                                                      </w:txbxContent>
                                                    </wps:txbx>
                                                    <wps:bodyPr rot="0" spcFirstLastPara="0" vertOverflow="overflow" horzOverflow="overflow" vert="horz" wrap="square" lIns="0" tIns="0" rIns="0" bIns="0" numCol="1" spcCol="0" rtlCol="0" fromWordArt="0" anchor="t" anchorCtr="0" forceAA="0" compatLnSpc="1">
                                                      <a:noAutofit/>
                                                    </wps:bodyPr>
                                                  </wps:wsp>
                                                  <wps:wsp>
                                                    <wps:cNvPr id="83" name="直接箭头连接符 24"/>
                                                    <wps:cNvCnPr/>
                                                    <wps:spPr>
                                                      <a:xfrm flipV="1">
                                                        <a:off x="14023" y="6915"/>
                                                        <a:ext cx="557" cy="8"/>
                                                      </a:xfrm>
                                                      <a:prstGeom prst="straightConnector1">
                                                        <a:avLst/>
                                                      </a:prstGeom>
                                                      <a:ln w="12700" cap="flat" cmpd="sng" algn="ctr">
                                                        <a:solidFill>
                                                          <a:schemeClr val="tx1"/>
                                                        </a:solidFill>
                                                        <a:prstDash val="dashDot"/>
                                                        <a:miter lim="800000"/>
                                                        <a:tailEnd type="triangle" w="med" len="med"/>
                                                      </a:ln>
                                                    </wps:spPr>
                                                    <wps:style>
                                                      <a:lnRef idx="0">
                                                        <a:schemeClr val="accent1"/>
                                                      </a:lnRef>
                                                      <a:fillRef idx="0">
                                                        <a:srgbClr val="FFFFFF"/>
                                                      </a:fillRef>
                                                      <a:effectRef idx="0">
                                                        <a:srgbClr val="FFFFFF"/>
                                                      </a:effectRef>
                                                      <a:fontRef idx="minor">
                                                        <a:schemeClr val="tx1"/>
                                                      </a:fontRef>
                                                    </wps:style>
                                                    <wps:bodyPr/>
                                                  </wps:wsp>
                                                  <wps:wsp>
                                                    <wps:cNvPr id="86" name="文本框 25"/>
                                                    <wps:cNvSpPr txBox="1"/>
                                                    <wps:spPr>
                                                      <a:xfrm>
                                                        <a:off x="14311" y="6690"/>
                                                        <a:ext cx="1184"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0B684">
                                                          <w:pPr>
                                                            <w:jc w:val="center"/>
                                                            <w:rPr>
                                                              <w:rFonts w:hint="default" w:ascii="Times New Roman" w:hAnsi="Times New Roman" w:cs="Times New Roman" w:eastAsiaTheme="minorEastAsia"/>
                                                              <w:lang w:val="en-US" w:eastAsia="zh-CN"/>
                                                            </w:rPr>
                                                          </w:pPr>
                                                          <w:r>
                                                            <w:rPr>
                                                              <w:rFonts w:hint="eastAsia" w:cs="Times New Roman"/>
                                                              <w:lang w:val="en-US" w:eastAsia="zh-CN"/>
                                                            </w:rPr>
                                                            <w:t>W1-1</w:t>
                                                          </w:r>
                                                        </w:p>
                                                      </w:txbxContent>
                                                    </wps:txbx>
                                                    <wps:bodyPr rot="0" spcFirstLastPara="0" vertOverflow="overflow" horzOverflow="overflow" vert="horz" wrap="square" lIns="91440" tIns="0" rIns="91440" bIns="45720" numCol="1" spcCol="0" rtlCol="0" fromWordArt="0" anchor="t" anchorCtr="0" forceAA="0" compatLnSpc="1">
                                                      <a:noAutofit/>
                                                    </wps:bodyPr>
                                                  </wps:wsp>
                                                  <wps:wsp>
                                                    <wps:cNvPr id="87" name="直接箭头连接符 26"/>
                                                    <wps:cNvCnPr/>
                                                    <wps:spPr>
                                                      <a:xfrm>
                                                        <a:off x="13328" y="7125"/>
                                                        <a:ext cx="0" cy="495"/>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88" name="文本框 27"/>
                                                    <wps:cNvSpPr txBox="1"/>
                                                    <wps:spPr>
                                                      <a:xfrm>
                                                        <a:off x="12630" y="8580"/>
                                                        <a:ext cx="1333" cy="4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35F15B">
                                                          <w:pPr>
                                                            <w:jc w:val="center"/>
                                                            <w:rPr>
                                                              <w:rFonts w:hint="default" w:eastAsiaTheme="minorEastAsia"/>
                                                              <w:lang w:val="en-US" w:eastAsia="zh-CN"/>
                                                            </w:rPr>
                                                          </w:pPr>
                                                          <w:r>
                                                            <w:rPr>
                                                              <w:rFonts w:hint="eastAsia" w:eastAsiaTheme="minorEastAsia"/>
                                                              <w:lang w:val="en-US" w:eastAsia="zh-CN"/>
                                                            </w:rPr>
                                                            <w:t>喷淋洗2</w:t>
                                                          </w:r>
                                                        </w:p>
                                                      </w:txbxContent>
                                                    </wps:txbx>
                                                    <wps:bodyPr rot="0" spcFirstLastPara="0" vertOverflow="overflow" horzOverflow="overflow" vert="horz" wrap="square" lIns="91440" tIns="0" rIns="91440" bIns="36000" numCol="1" spcCol="0" rtlCol="0" fromWordArt="0" anchor="t" anchorCtr="0" forceAA="0" compatLnSpc="1">
                                                      <a:noAutofit/>
                                                    </wps:bodyPr>
                                                  </wps:wsp>
                                                  <wps:wsp>
                                                    <wps:cNvPr id="89" name="直接箭头连接符 28"/>
                                                    <wps:cNvCnPr/>
                                                    <wps:spPr>
                                                      <a:xfrm>
                                                        <a:off x="13328" y="8070"/>
                                                        <a:ext cx="7" cy="495"/>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90" name="文本框 29"/>
                                                    <wps:cNvSpPr txBox="1"/>
                                                    <wps:spPr>
                                                      <a:xfrm>
                                                        <a:off x="12675" y="7635"/>
                                                        <a:ext cx="1333" cy="4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1DB4AD">
                                                          <w:pPr>
                                                            <w:jc w:val="center"/>
                                                            <w:rPr>
                                                              <w:rFonts w:hint="default" w:eastAsiaTheme="minorEastAsia"/>
                                                              <w:lang w:val="en-US" w:eastAsia="zh-CN"/>
                                                            </w:rPr>
                                                          </w:pPr>
                                                          <w:r>
                                                            <w:rPr>
                                                              <w:rFonts w:hint="eastAsia" w:eastAsiaTheme="minorEastAsia"/>
                                                              <w:lang w:val="en-US" w:eastAsia="zh-CN"/>
                                                            </w:rPr>
                                                            <w:t>喷淋洗1</w:t>
                                                          </w:r>
                                                        </w:p>
                                                      </w:txbxContent>
                                                    </wps:txbx>
                                                    <wps:bodyPr rot="0" spcFirstLastPara="0" vertOverflow="overflow" horzOverflow="overflow" vert="horz" wrap="square" lIns="72000" tIns="0" rIns="91440" bIns="36000" numCol="1" spcCol="0" rtlCol="0" fromWordArt="0" anchor="t" anchorCtr="0" forceAA="0" compatLnSpc="1">
                                                      <a:noAutofit/>
                                                    </wps:bodyPr>
                                                  </wps:wsp>
                                                </wpg:grpSp>
                                                <wps:wsp>
                                                  <wps:cNvPr id="96" name="直接箭头连接符 2"/>
                                                  <wps:cNvCnPr/>
                                                  <wps:spPr>
                                                    <a:xfrm>
                                                      <a:off x="6640" y="467711"/>
                                                      <a:ext cx="0" cy="491"/>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97" name="文本框 3"/>
                                                  <wps:cNvSpPr txBox="1"/>
                                                  <wps:spPr>
                                                    <a:xfrm>
                                                      <a:off x="6062" y="468233"/>
                                                      <a:ext cx="1153" cy="432"/>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837E1E">
                                                        <w:pPr>
                                                          <w:jc w:val="center"/>
                                                          <w:rPr>
                                                            <w:rFonts w:hint="default" w:eastAsiaTheme="minorEastAsia"/>
                                                            <w:lang w:val="en-US" w:eastAsia="zh-CN"/>
                                                          </w:rPr>
                                                        </w:pPr>
                                                        <w:r>
                                                          <w:rPr>
                                                            <w:rFonts w:hint="eastAsia" w:eastAsiaTheme="minorEastAsia"/>
                                                            <w:lang w:val="en-US" w:eastAsia="zh-CN"/>
                                                          </w:rPr>
                                                          <w:t>开平</w:t>
                                                        </w:r>
                                                      </w:p>
                                                    </w:txbxContent>
                                                  </wps:txbx>
                                                  <wps:bodyPr rot="0" spcFirstLastPara="0" vertOverflow="overflow" horzOverflow="overflow" vert="horz" wrap="square" lIns="91440" tIns="36000" rIns="91440" bIns="45720" numCol="1" spcCol="0" rtlCol="0" fromWordArt="0" anchor="t" anchorCtr="0" forceAA="0" compatLnSpc="1">
                                                    <a:noAutofit/>
                                                  </wps:bodyPr>
                                                </wps:wsp>
                                                <wps:wsp>
                                                  <wps:cNvPr id="98" name="直接箭头连接符 28"/>
                                                  <wps:cNvCnPr/>
                                                  <wps:spPr>
                                                    <a:xfrm>
                                                      <a:off x="6655" y="475048"/>
                                                      <a:ext cx="7" cy="476"/>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99" name="文本框 27"/>
                                                  <wps:cNvSpPr txBox="1"/>
                                                  <wps:spPr>
                                                    <a:xfrm>
                                                      <a:off x="5933" y="475527"/>
                                                      <a:ext cx="1333" cy="41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CD5E2C">
                                                        <w:pPr>
                                                          <w:jc w:val="center"/>
                                                          <w:rPr>
                                                            <w:rFonts w:hint="default" w:eastAsiaTheme="minorEastAsia"/>
                                                            <w:lang w:val="en-US" w:eastAsia="zh-CN"/>
                                                          </w:rPr>
                                                        </w:pPr>
                                                        <w:r>
                                                          <w:rPr>
                                                            <w:rFonts w:hint="eastAsia" w:eastAsiaTheme="minorEastAsia"/>
                                                            <w:lang w:val="en-US" w:eastAsia="zh-CN"/>
                                                          </w:rPr>
                                                          <w:t>钝化清洗</w:t>
                                                        </w:r>
                                                      </w:p>
                                                    </w:txbxContent>
                                                  </wps:txbx>
                                                  <wps:bodyPr rot="0" spcFirstLastPara="0" vertOverflow="overflow" horzOverflow="overflow" vert="horz" wrap="square" lIns="36000" tIns="36000" rIns="72000" bIns="36000" numCol="1" spcCol="0" rtlCol="0" fromWordArt="0" anchor="t" anchorCtr="0" forceAA="0" compatLnSpc="1">
                                                    <a:noAutofit/>
                                                  </wps:bodyPr>
                                                </wps:wsp>
                                                <wps:wsp>
                                                  <wps:cNvPr id="100" name="直接箭头连接符 28"/>
                                                  <wps:cNvCnPr/>
                                                  <wps:spPr>
                                                    <a:xfrm>
                                                      <a:off x="6655" y="475948"/>
                                                      <a:ext cx="7" cy="476"/>
                                                    </a:xfrm>
                                                    <a:prstGeom prst="straightConnector1">
                                                      <a:avLst/>
                                                    </a:prstGeom>
                                                    <a:ln>
                                                      <a:headEnd type="none"/>
                                                      <a:tailEnd type="triangle" w="med" len="med"/>
                                                    </a:ln>
                                                  </wps:spPr>
                                                  <wps:style>
                                                    <a:lnRef idx="2">
                                                      <a:prstClr val="black"/>
                                                    </a:lnRef>
                                                    <a:fillRef idx="0">
                                                      <a:srgbClr val="FFFFFF"/>
                                                    </a:fillRef>
                                                    <a:effectRef idx="0">
                                                      <a:srgbClr val="FFFFFF"/>
                                                    </a:effectRef>
                                                    <a:fontRef idx="minor">
                                                      <a:schemeClr val="tx1"/>
                                                    </a:fontRef>
                                                  </wps:style>
                                                  <wps:bodyPr/>
                                                </wps:wsp>
                                                <wps:wsp>
                                                  <wps:cNvPr id="101" name="文本框 27"/>
                                                  <wps:cNvSpPr txBox="1"/>
                                                  <wps:spPr>
                                                    <a:xfrm>
                                                      <a:off x="3869" y="477831"/>
                                                      <a:ext cx="1333" cy="41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79C0DB">
                                                        <w:pPr>
                                                          <w:jc w:val="center"/>
                                                          <w:rPr>
                                                            <w:rFonts w:hint="default" w:eastAsiaTheme="minorEastAsia"/>
                                                            <w:lang w:val="en-US" w:eastAsia="zh-CN"/>
                                                          </w:rPr>
                                                        </w:pPr>
                                                        <w:r>
                                                          <w:rPr>
                                                            <w:rFonts w:hint="eastAsia" w:eastAsiaTheme="minorEastAsia"/>
                                                            <w:lang w:val="en-US" w:eastAsia="zh-CN"/>
                                                          </w:rPr>
                                                          <w:t>喷漆</w:t>
                                                        </w:r>
                                                      </w:p>
                                                    </w:txbxContent>
                                                  </wps:txbx>
                                                  <wps:bodyPr rot="0" spcFirstLastPara="0" vertOverflow="overflow" horzOverflow="overflow" vert="horz" wrap="square" lIns="91440" tIns="0" rIns="91440" bIns="36000" numCol="1" spcCol="0" rtlCol="0" fromWordArt="0" anchor="t" anchorCtr="0" forceAA="0" compatLnSpc="1">
                                                    <a:noAutofit/>
                                                  </wps:bodyPr>
                                                </wps:wsp>
                                                <wps:wsp>
                                                  <wps:cNvPr id="103" name="直接连接符 41"/>
                                                  <wps:cNvCnPr/>
                                                  <wps:spPr>
                                                    <a:xfrm>
                                                      <a:off x="4525" y="477323"/>
                                                      <a:ext cx="453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05" name="直接箭头连接符 28"/>
                                                  <wps:cNvCnPr/>
                                                  <wps:spPr>
                                                    <a:xfrm>
                                                      <a:off x="4519" y="477316"/>
                                                      <a:ext cx="7" cy="476"/>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106" name="直接箭头连接符 28"/>
                                                  <wps:cNvCnPr/>
                                                  <wps:spPr>
                                                    <a:xfrm>
                                                      <a:off x="9067" y="477316"/>
                                                      <a:ext cx="7" cy="476"/>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107" name="文本框 27"/>
                                                  <wps:cNvSpPr txBox="1"/>
                                                  <wps:spPr>
                                                    <a:xfrm>
                                                      <a:off x="8369" y="477819"/>
                                                      <a:ext cx="1333" cy="41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085B3F3">
                                                        <w:pPr>
                                                          <w:jc w:val="center"/>
                                                          <w:rPr>
                                                            <w:rFonts w:hint="default" w:eastAsiaTheme="minorEastAsia"/>
                                                            <w:lang w:val="en-US" w:eastAsia="zh-CN"/>
                                                          </w:rPr>
                                                        </w:pPr>
                                                        <w:r>
                                                          <w:rPr>
                                                            <w:rFonts w:hint="eastAsia" w:eastAsiaTheme="minorEastAsia"/>
                                                            <w:lang w:val="en-US" w:eastAsia="zh-CN"/>
                                                          </w:rPr>
                                                          <w:t>喷塑</w:t>
                                                        </w:r>
                                                      </w:p>
                                                    </w:txbxContent>
                                                  </wps:txbx>
                                                  <wps:bodyPr rot="0" spcFirstLastPara="0" vertOverflow="overflow" horzOverflow="overflow" vert="horz" wrap="square" lIns="91440" tIns="0" rIns="91440" bIns="36000" numCol="1" spcCol="0" rtlCol="0" fromWordArt="0" anchor="t" anchorCtr="0" forceAA="0" compatLnSpc="1">
                                                    <a:noAutofit/>
                                                  </wps:bodyPr>
                                                </wps:wsp>
                                              </wpg:grpSp>
                                              <wps:wsp>
                                                <wps:cNvPr id="108" name="直接箭头连接符 22"/>
                                                <wps:cNvCnPr/>
                                                <wps:spPr>
                                                  <a:xfrm flipV="1">
                                                    <a:off x="7833" y="472127"/>
                                                    <a:ext cx="557" cy="7"/>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109" name="文本框 13"/>
                                                <wps:cNvSpPr txBox="1"/>
                                                <wps:spPr>
                                                  <a:xfrm>
                                                    <a:off x="7024" y="471887"/>
                                                    <a:ext cx="1247"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5A624">
                                                      <w:pPr>
                                                        <w:jc w:val="center"/>
                                                        <w:rPr>
                                                          <w:rFonts w:hint="default" w:eastAsiaTheme="minorEastAsia"/>
                                                          <w:lang w:val="en-US" w:eastAsia="zh-CN"/>
                                                        </w:rPr>
                                                      </w:pPr>
                                                      <w:r>
                                                        <w:rPr>
                                                          <w:rFonts w:hint="eastAsia" w:eastAsiaTheme="minorEastAsia"/>
                                                          <w:lang w:val="en-US" w:eastAsia="zh-CN"/>
                                                        </w:rPr>
                                                        <w:t>水</w:t>
                                                      </w:r>
                                                    </w:p>
                                                  </w:txbxContent>
                                                </wps:txbx>
                                                <wps:bodyPr rot="0" spcFirstLastPara="0" vertOverflow="overflow" horzOverflow="overflow" vert="horz" wrap="square" lIns="91440" tIns="0" rIns="91440" bIns="36000" numCol="1" spcCol="0" rtlCol="0" fromWordArt="0" anchor="t" anchorCtr="0" forceAA="0" compatLnSpc="1">
                                                  <a:noAutofit/>
                                                </wps:bodyPr>
                                              </wps:wsp>
                                              <wps:wsp>
                                                <wps:cNvPr id="110" name="直接箭头连接符 22"/>
                                                <wps:cNvCnPr/>
                                                <wps:spPr>
                                                  <a:xfrm flipV="1">
                                                    <a:off x="7785" y="473015"/>
                                                    <a:ext cx="557" cy="7"/>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111" name="文本框 13"/>
                                                <wps:cNvSpPr txBox="1"/>
                                                <wps:spPr>
                                                  <a:xfrm>
                                                    <a:off x="6966" y="472760"/>
                                                    <a:ext cx="1247"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58EEB">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水</w:t>
                                                      </w:r>
                                                    </w:p>
                                                  </w:txbxContent>
                                                </wps:txbx>
                                                <wps:bodyPr rot="0" spcFirstLastPara="0" vertOverflow="overflow" horzOverflow="overflow" vert="horz" wrap="square" lIns="91440" tIns="36000" rIns="91440" bIns="36000" numCol="1" spcCol="0" rtlCol="0" fromWordArt="0" anchor="t" anchorCtr="0" forceAA="0" compatLnSpc="1">
                                                  <a:noAutofit/>
                                                </wps:bodyPr>
                                              </wps:wsp>
                                            </wpg:grpSp>
                                          </wpg:grpSp>
                                          <wps:wsp>
                                            <wps:cNvPr id="112" name="直接箭头连接符 22"/>
                                            <wps:cNvCnPr/>
                                            <wps:spPr>
                                              <a:xfrm flipV="1">
                                                <a:off x="7809" y="473969"/>
                                                <a:ext cx="557" cy="7"/>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113" name="文本框 13"/>
                                            <wps:cNvSpPr txBox="1"/>
                                            <wps:spPr>
                                              <a:xfrm>
                                                <a:off x="6066" y="473758"/>
                                                <a:ext cx="1736"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E62B6">
                                                  <w:pPr>
                                                    <w:keepNext w:val="0"/>
                                                    <w:keepLines w:val="0"/>
                                                    <w:pageBreakBefore w:val="0"/>
                                                    <w:widowControl w:val="0"/>
                                                    <w:kinsoku/>
                                                    <w:wordWrap/>
                                                    <w:overflowPunct/>
                                                    <w:topLinePunct w:val="0"/>
                                                    <w:bidi w:val="0"/>
                                                    <w:adjustRightInd/>
                                                    <w:snapToGrid/>
                                                    <w:jc w:val="both"/>
                                                    <w:textAlignment w:val="auto"/>
                                                    <w:rPr>
                                                      <w:rFonts w:hint="default" w:eastAsiaTheme="minorEastAsia"/>
                                                      <w:lang w:val="en-US" w:eastAsia="zh-CN"/>
                                                    </w:rPr>
                                                  </w:pPr>
                                                  <w:r>
                                                    <w:rPr>
                                                      <w:rFonts w:hint="eastAsia" w:eastAsiaTheme="minorEastAsia"/>
                                                      <w:lang w:val="en-US" w:eastAsia="zh-CN"/>
                                                    </w:rPr>
                                                    <w:t>无铬钝化剂、水</w:t>
                                                  </w:r>
                                                </w:p>
                                              </w:txbxContent>
                                            </wps:txbx>
                                            <wps:bodyPr rot="0" spcFirstLastPara="0" vertOverflow="overflow" horzOverflow="overflow" vert="horz" wrap="square" lIns="0" tIns="0" rIns="36000" bIns="36000" numCol="1" spcCol="0" rtlCol="0" fromWordArt="0" anchor="t" anchorCtr="0" forceAA="0" compatLnSpc="1">
                                              <a:noAutofit/>
                                            </wps:bodyPr>
                                          </wps:wsp>
                                        </wpg:grpSp>
                                        <wps:wsp>
                                          <wps:cNvPr id="114" name="直接箭头连接符 28"/>
                                          <wps:cNvCnPr/>
                                          <wps:spPr>
                                            <a:xfrm>
                                              <a:off x="8971" y="13953"/>
                                              <a:ext cx="1" cy="476"/>
                                            </a:xfrm>
                                            <a:prstGeom prst="straightConnector1">
                                              <a:avLst/>
                                            </a:prstGeom>
                                            <a:ln>
                                              <a:headEnd type="none"/>
                                              <a:tailEnd type="triangle" w="med" len="med"/>
                                            </a:ln>
                                          </wps:spPr>
                                          <wps:style>
                                            <a:lnRef idx="2">
                                              <a:prstClr val="black"/>
                                            </a:lnRef>
                                            <a:fillRef idx="0">
                                              <a:srgbClr val="FFFFFF"/>
                                            </a:fillRef>
                                            <a:effectRef idx="0">
                                              <a:srgbClr val="FFFFFF"/>
                                            </a:effectRef>
                                            <a:fontRef idx="minor">
                                              <a:schemeClr val="tx1"/>
                                            </a:fontRef>
                                          </wps:style>
                                          <wps:bodyPr/>
                                        </wps:wsp>
                                        <wps:wsp>
                                          <wps:cNvPr id="115" name="文本框 27"/>
                                          <wps:cNvSpPr txBox="1"/>
                                          <wps:spPr>
                                            <a:xfrm>
                                              <a:off x="8309" y="14420"/>
                                              <a:ext cx="1333" cy="41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C4155E">
                                                <w:pPr>
                                                  <w:jc w:val="center"/>
                                                  <w:rPr>
                                                    <w:rFonts w:hint="default" w:eastAsiaTheme="minorEastAsia"/>
                                                    <w:lang w:val="en-US" w:eastAsia="zh-CN"/>
                                                  </w:rPr>
                                                </w:pPr>
                                                <w:r>
                                                  <w:rPr>
                                                    <w:rFonts w:hint="eastAsia" w:eastAsiaTheme="minorEastAsia"/>
                                                    <w:lang w:val="en-US" w:eastAsia="zh-CN"/>
                                                  </w:rPr>
                                                  <w:t>包装</w:t>
                                                </w:r>
                                              </w:p>
                                            </w:txbxContent>
                                          </wps:txbx>
                                          <wps:bodyPr rot="0" spcFirstLastPara="0" vertOverflow="overflow" horzOverflow="overflow" vert="horz" wrap="square" lIns="91440" tIns="0" rIns="91440" bIns="45720" numCol="1" spcCol="0" rtlCol="0" fromWordArt="0" anchor="t" anchorCtr="0" forceAA="0" compatLnSpc="1">
                                            <a:noAutofit/>
                                          </wps:bodyPr>
                                        </wps:wsp>
                                      </wpg:grpSp>
                                    </wpg:grpSp>
                                    <wps:wsp>
                                      <wps:cNvPr id="116" name="直接箭头连接符 22"/>
                                      <wps:cNvCnPr/>
                                      <wps:spPr>
                                        <a:xfrm flipV="1">
                                          <a:off x="7665" y="10946"/>
                                          <a:ext cx="557" cy="7"/>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117" name="文本框 13"/>
                                      <wps:cNvSpPr txBox="1"/>
                                      <wps:spPr>
                                        <a:xfrm>
                                          <a:off x="6737" y="10694"/>
                                          <a:ext cx="1077" cy="4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9C533">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天然气</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wgp>
                        </a:graphicData>
                      </a:graphic>
                    </wp:anchor>
                  </w:drawing>
                </mc:Choice>
                <mc:Fallback>
                  <w:pict>
                    <v:group id="_x0000_s1026" o:spid="_x0000_s1026" o:spt="203" style="position:absolute;left:0pt;margin-left:2pt;margin-top:12.2pt;height:595.3pt;width:425.2pt;z-index:251672576;mso-width-relative:page;mso-height-relative:page;" coordorigin="4673,1585" coordsize="9156,13252" o:gfxdata="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">
                      <o:lock v:ext="edit" aspectratio="f"/>
                      <v:shape id="直接箭头连接符 18" o:spid="_x0000_s1026" o:spt="32" type="#_x0000_t32" style="position:absolute;left:9546;top:10058;flip:y;height:8;width:557;" filled="f" stroked="t" coordsize="21600,21600" o:gfxdata="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BR+r4A&#10;AADbAAAADwAAAAAAAAABACAAAAAiAAAAZHJzL2Rvd25yZXYueG1sUEsBAhQAFAAAAAgAh07iQDMv&#10;BZ47AAAAOQAAABAAAAAAAAAAAQAgAAAADQEAAGRycy9zaGFwZXhtbC54bWxQSwUGAAAAAAYABgBb&#10;AQAAtwMAAAAA&#10;">
                        <v:fill on="f" focussize="0,0"/>
                        <v:stroke weight="1pt" color="#000000 [3213]" miterlimit="8" joinstyle="miter" dashstyle="dashDot" endarrow="block"/>
                        <v:imagedata o:title=""/>
                        <o:lock v:ext="edit" aspectratio="f"/>
                      </v:shape>
                      <v:shape id="直接箭头连接符 18" o:spid="_x0000_s1026" o:spt="32" type="#_x0000_t32" style="position:absolute;left:9594;top:10982;flip:y;height:8;width:557;" filled="f" stroked="t" coordsize="21600,21600" o:gfxdata="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VsFb4A&#10;AADbAAAADwAAAAAAAAABACAAAAAiAAAAZHJzL2Rvd25yZXYueG1sUEsBAhQAFAAAAAgAh07iQDMv&#10;BZ47AAAAOQAAABAAAAAAAAAAAQAgAAAADQEAAGRycy9zaGFwZXhtbC54bWxQSwUGAAAAAAYABgBb&#10;AQAAtwMAAAAA&#10;">
                        <v:fill on="f" focussize="0,0"/>
                        <v:stroke weight="1pt" color="#000000 [3213]" miterlimit="8" joinstyle="miter" dashstyle="dashDot" endarrow="block"/>
                        <v:imagedata o:title=""/>
                        <o:lock v:ext="edit" aspectratio="f"/>
                      </v:shape>
                      <v:group id="组合 113" o:spid="_x0000_s1026" o:spt="203" style="position:absolute;left:4673;top:1585;height:13252;width:9156;" coordorigin="4673,1585" coordsize="9156,13252"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shape id="文本框 25" o:spid="_x0000_s1026" o:spt="202" type="#_x0000_t202" style="position:absolute;left:9822;top:9854;height:404;width:1184;" filled="f" stroked="f" coordsize="21600,21600" o:gfxdata="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7KkS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2.54mm,1mm,2.54mm,1.27mm">
                            <w:txbxContent>
                              <w:p w14:paraId="581E1F24">
                                <w:pPr>
                                  <w:jc w:val="center"/>
                                  <w:rPr>
                                    <w:rFonts w:hint="default" w:ascii="Times New Roman" w:hAnsi="Times New Roman" w:cs="Times New Roman" w:eastAsiaTheme="minorEastAsia"/>
                                    <w:lang w:val="en-US" w:eastAsia="zh-CN"/>
                                  </w:rPr>
                                </w:pPr>
                                <w:r>
                                  <w:rPr>
                                    <w:rFonts w:hint="eastAsia" w:cs="Times New Roman"/>
                                    <w:lang w:val="en-US" w:eastAsia="zh-CN"/>
                                  </w:rPr>
                                  <w:t>W1-2</w:t>
                                </w:r>
                              </w:p>
                            </w:txbxContent>
                          </v:textbox>
                        </v:shape>
                        <v:shape id="文本框 25" o:spid="_x0000_s1026" o:spt="202" type="#_x0000_t202" style="position:absolute;left:9906;top:10749;height:404;width:1184;" filled="f" stroked="f" coordsize="21600,21600" o:gfxdata="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pQ4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2.54mm,1mm,2.54mm,1mm">
                            <w:txbxContent>
                              <w:p w14:paraId="78C6A9C4">
                                <w:pPr>
                                  <w:jc w:val="center"/>
                                  <w:rPr>
                                    <w:rFonts w:hint="default" w:ascii="Times New Roman" w:hAnsi="Times New Roman" w:cs="Times New Roman" w:eastAsiaTheme="minorEastAsia"/>
                                    <w:lang w:val="en-US" w:eastAsia="zh-CN"/>
                                  </w:rPr>
                                </w:pPr>
                                <w:r>
                                  <w:rPr>
                                    <w:rFonts w:hint="eastAsia" w:cs="Times New Roman"/>
                                    <w:lang w:val="en-US" w:eastAsia="zh-CN"/>
                                  </w:rPr>
                                  <w:t>G1-4</w:t>
                                </w:r>
                              </w:p>
                            </w:txbxContent>
                          </v:textbox>
                        </v:shape>
                        <v:group id="组合 102" o:spid="_x0000_s1026" o:spt="203" style="position:absolute;left:4673;top:1585;height:13252;width:9156;" coordorigin="4673,1585" coordsize="9156,13252" o:gfxdata="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GWcW7AAAA3AAAAA8AAAAAAAAAAQAgAAAAIgAAAGRycy9kb3ducmV2LnhtbFBL&#10;AQIUABQAAAAIAIdO4kAzLwWeOwAAADkAAAAVAAAAAAAAAAEAIAAAAAoBAABkcnMvZ3JvdXBzaGFw&#10;ZXhtbC54bWxQSwUGAAAAAAYABgBgAQAAxwMAAAAA&#10;">
                          <o:lock v:ext="edit" aspectratio="f"/>
                          <v:shape id="文本框 27" o:spid="_x0000_s1026" o:spt="202" type="#_x0000_t202" style="position:absolute;left:8261;top:10760;height:419;width:1333;" filled="f" stroked="t" coordsize="21600,21600" o:gfxdata="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ct58&#10;wAAAANs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inset="1mm,0mm,2mm,1mm">
                              <w:txbxContent>
                                <w:p w14:paraId="2ADEA18D">
                                  <w:pPr>
                                    <w:jc w:val="center"/>
                                    <w:rPr>
                                      <w:rFonts w:hint="default" w:eastAsiaTheme="minorEastAsia"/>
                                      <w:lang w:val="en-US" w:eastAsia="zh-CN"/>
                                    </w:rPr>
                                  </w:pPr>
                                  <w:r>
                                    <w:rPr>
                                      <w:rFonts w:hint="eastAsia" w:eastAsiaTheme="minorEastAsia"/>
                                      <w:lang w:val="en-US" w:eastAsia="zh-CN"/>
                                    </w:rPr>
                                    <w:t>水性烘干</w:t>
                                  </w:r>
                                </w:p>
                              </w:txbxContent>
                            </v:textbox>
                          </v:shape>
                          <v:shape id="直接箭头连接符 28" o:spid="_x0000_s1026" o:spt="32" type="#_x0000_t32" style="position:absolute;left:8923;top:11181;height:476;width:7;" filled="f" stroked="t" coordsize="21600,21600" o:gfxdata="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1UVC5AAAA2wAA&#10;AA8AAAAAAAAAAQAgAAAAIgAAAGRycy9kb3ducmV2LnhtbFBLAQIUABQAAAAIAIdO4kAzLwWeOwAA&#10;ADkAAAAQAAAAAAAAAAEAIAAAAAgBAABkcnMvc2hhcGV4bWwueG1sUEsFBgAAAAAGAAYAWwEAALID&#10;AAAAAA==&#10;">
                            <v:fill on="f" focussize="0,0"/>
                            <v:stroke weight="1pt" color="#000000" miterlimit="8" joinstyle="miter" endarrow="block"/>
                            <v:imagedata o:title=""/>
                            <o:lock v:ext="edit" aspectratio="f"/>
                          </v:shape>
                          <v:shape id="_x0000_s1026" o:spid="_x0000_s1026" o:spt="33" type="#_x0000_t33" style="position:absolute;left:9904;top:12311;height:1674;width:1151;rotation:5898240f;" filled="f" stroked="t" coordsize="21600,21600" o:gfxdata="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FDWG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肘形连接符 76" o:spid="_x0000_s1026" o:spt="33" type="#_x0000_t33" style="position:absolute;left:6993;top:12407;flip:y;height:1493;width:1139;rotation:-5898240f;" filled="f" stroked="t" coordsize="21600,21600" o:gfxdata="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rskr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id="组合 92" o:spid="_x0000_s1026" o:spt="203" style="position:absolute;left:4673;top:1585;height:13252;width:9156;" coordorigin="4673,1585" coordsize="9156,13252"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直接箭头连接符 22" o:spid="_x0000_s1026" o:spt="32" type="#_x0000_t32" style="position:absolute;left:7521;top:12350;flip:y;height:1;width:454;" filled="f" stroked="t" coordsize="21600,21600" o:gfxdata="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BadGvQAA&#10;ANsAAAAPAAAAAAAAAAEAIAAAACIAAABkcnMvZG93bnJldi54bWxQSwECFAAUAAAACACHTuJAMy8F&#10;njsAAAA5AAAAEAAAAAAAAAABACAAAAAMAQAAZHJzL3NoYXBleG1sLnhtbFBLBQYAAAAABgAGAFsB&#10;AAC2AwAAAAA=&#10;">
                              <v:fill on="f" focussize="0,0"/>
                              <v:stroke weight="1pt" color="#000000" miterlimit="8" joinstyle="miter" dashstyle="dash" endarrow="block"/>
                              <v:imagedata o:title=""/>
                              <o:lock v:ext="edit" aspectratio="f"/>
                            </v:shape>
                            <v:shape id="文本框 27" o:spid="_x0000_s1026" o:spt="202" type="#_x0000_t202" style="position:absolute;left:8021;top:12152;height:419;width:1344;" filled="f" stroked="f" coordsize="21600,21600" o:gfxdata="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TgMm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2.54mm,1mm,2.54mm,1mm">
                                <w:txbxContent>
                                  <w:p w14:paraId="1DDC80BC">
                                    <w:pPr>
                                      <w:jc w:val="center"/>
                                      <w:rPr>
                                        <w:rFonts w:hint="default" w:eastAsiaTheme="minorEastAsia"/>
                                        <w:lang w:val="en-US" w:eastAsia="zh-CN"/>
                                      </w:rPr>
                                    </w:pPr>
                                    <w:r>
                                      <w:rPr>
                                        <w:rFonts w:hint="eastAsia" w:eastAsiaTheme="minorEastAsia"/>
                                        <w:lang w:val="en-US" w:eastAsia="zh-CN"/>
                                      </w:rPr>
                                      <w:t>G1-5、S1-4</w:t>
                                    </w:r>
                                  </w:p>
                                </w:txbxContent>
                              </v:textbox>
                            </v:shape>
                            <v:shape id="文本框 27" o:spid="_x0000_s1026" o:spt="202" type="#_x0000_t202" style="position:absolute;left:9461;top:12872;height:419;width:852;" filled="f" stroked="f" coordsize="21600,21600" o:gfxdata="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5z2Ya5AAAA2wAA&#10;AA8AAAAAAAAAAQAgAAAAIgAAAGRycy9kb3ducmV2LnhtbFBLAQIUABQAAAAIAIdO4kAzLwWeOwAA&#10;ADkAAAAQAAAAAAAAAAEAIAAAAAgBAABkcnMvc2hhcGV4bWwueG1sUEsFBgAAAAAGAAYAWwEAALID&#10;AAAAAA==&#10;">
                              <v:fill on="f" focussize="0,0"/>
                              <v:stroke on="f" weight="0.5pt"/>
                              <v:imagedata o:title=""/>
                              <o:lock v:ext="edit" aspectratio="f"/>
                              <v:textbox inset="2.54mm,0mm,2.54mm,1.27mm">
                                <w:txbxContent>
                                  <w:p w14:paraId="6FBB4FE5">
                                    <w:pPr>
                                      <w:jc w:val="center"/>
                                      <w:rPr>
                                        <w:rFonts w:hint="default" w:eastAsiaTheme="minorEastAsia"/>
                                        <w:lang w:val="en-US" w:eastAsia="zh-CN"/>
                                      </w:rPr>
                                    </w:pPr>
                                    <w:r>
                                      <w:rPr>
                                        <w:rFonts w:hint="eastAsia" w:eastAsiaTheme="minorEastAsia"/>
                                        <w:lang w:val="en-US" w:eastAsia="zh-CN"/>
                                      </w:rPr>
                                      <w:t>G1-7</w:t>
                                    </w:r>
                                  </w:p>
                                </w:txbxContent>
                              </v:textbox>
                            </v:shape>
                            <v:shape id="_x0000_s1026" o:spid="_x0000_s1026" o:spt="32" type="#_x0000_t32" style="position:absolute;left:8970;top:12993;flip:x y;height:510;width:1;" filled="f" stroked="t" coordsize="21600,21600" o:gfxdata="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MFwq8AAAA&#10;2wAAAA8AAAAAAAAAAQAgAAAAIgAAAGRycy9kb3ducmV2LnhtbFBLAQIUABQAAAAIAIdO4kAzLwWe&#10;OwAAADkAAAAQAAAAAAAAAAEAIAAAAAsBAABkcnMvc2hhcGV4bWwueG1sUEsFBgAAAAAGAAYAWwEA&#10;ALUDAAAAAA==&#10;">
                              <v:fill on="f" focussize="0,0"/>
                              <v:stroke weight="1pt" color="#000000 [3213]" miterlimit="8" joinstyle="miter" dashstyle="dashDot"/>
                              <v:imagedata o:title=""/>
                              <o:lock v:ext="edit" aspectratio="f"/>
                            </v:shape>
                            <v:shape id="_x0000_s1026" o:spid="_x0000_s1026" o:spt="32" type="#_x0000_t32" style="position:absolute;left:9210;top:12801;flip:x y;height:510;width:1;rotation:-5898240f;" filled="f" stroked="t" coordsize="21600,21600" o:gfxdata="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xClu/&#10;AAAA2wAAAA8AAAAAAAAAAQAgAAAAIgAAAGRycy9kb3ducmV2LnhtbFBLAQIUABQAAAAIAIdO4kAz&#10;LwWeOwAAADkAAAAQAAAAAAAAAAEAIAAAAA4BAABkcnMvc2hhcGV4bWwueG1sUEsFBgAAAAAGAAYA&#10;WwEAALgDAAAAAA==&#10;">
                              <v:fill on="f" focussize="0,0"/>
                              <v:stroke weight="1pt" color="#000000 [3213]" miterlimit="8" joinstyle="miter" dashstyle="dashDot" startarrow="block"/>
                              <v:imagedata o:title=""/>
                              <o:lock v:ext="edit" aspectratio="f"/>
                            </v:shape>
                            <v:shape id="直接箭头连接符 22" o:spid="_x0000_s1026" o:spt="32" type="#_x0000_t32" style="position:absolute;left:8229;top:13226;flip:y;height:7;width:557;rotation:-5898240f;" filled="f" stroked="t" coordsize="21600,21600" o:gfxdata="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SYy/&#10;AAAA2wAAAA8AAAAAAAAAAQAgAAAAIgAAAGRycy9kb3ducmV2LnhtbFBLAQIUABQAAAAIAIdO4kAz&#10;LwWeOwAAADkAAAAQAAAAAAAAAAEAIAAAAA4BAABkcnMvc2hhcGV4bWwueG1sUEsFBgAAAAAGAAYA&#10;WwEAALgDAAAAAA==&#10;">
                              <v:fill on="f" focussize="0,0"/>
                              <v:stroke weight="1pt" color="#000000" miterlimit="8" joinstyle="miter" endarrow="block"/>
                              <v:imagedata o:title=""/>
                              <o:lock v:ext="edit" aspectratio="f"/>
                            </v:shape>
                            <v:shape id="文本框 13" o:spid="_x0000_s1026" o:spt="202" type="#_x0000_t202" style="position:absolute;left:8141;top:12645;height:404;width:729;" filled="f" stroked="f" coordsize="21600,21600" o:gfxdata="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eMlq/&#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14:paraId="51C8CF4E">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天然气</w:t>
                                    </w:r>
                                  </w:p>
                                </w:txbxContent>
                              </v:textbox>
                            </v:shape>
                            <v:group id="组合 49" o:spid="_x0000_s1026" o:spt="203" style="position:absolute;left:4673;top:1585;height:13252;width:9156;" coordorigin="4673,1585" coordsize="9156,13252"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shape id="直接箭头连接符 22" o:spid="_x0000_s1026" o:spt="32" type="#_x0000_t32" style="position:absolute;left:11469;top:11858;flip:y;height:7;width:557;rotation:-5898240f;" filled="f" stroked="t" coordsize="21600,21600" o:gfxdata="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QqHf&#10;wAAAANsAAAAPAAAAAAAAAAEAIAAAACIAAABkcnMvZG93bnJldi54bWxQSwECFAAUAAAACACHTuJA&#10;My8FnjsAAAA5AAAAEAAAAAAAAAABACAAAAAPAQAAZHJzL3NoYXBleG1sLnhtbFBLBQYAAAAABgAG&#10;AFsBAAC5AwAAAAA=&#10;">
                                <v:fill on="f" focussize="0,0"/>
                                <v:stroke weight="1pt" color="#000000" miterlimit="8" joinstyle="miter" endarrow="block"/>
                                <v:imagedata o:title=""/>
                                <o:lock v:ext="edit" aspectratio="f"/>
                              </v:shape>
                              <v:shape id="文本框 13" o:spid="_x0000_s1026" o:spt="202" type="#_x0000_t202" style="position:absolute;left:11300;top:11157;height:404;width:894;" filled="f" stroked="f" coordsize="21600,21600" o:gfxdata="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JE6e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1mm,0mm,1mm,1mm">
                                  <w:txbxContent>
                                    <w:p w14:paraId="69B9503B">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塑粉</w:t>
                                      </w:r>
                                    </w:p>
                                  </w:txbxContent>
                                </v:textbox>
                              </v:shape>
                              <v:group id="组合 7" o:spid="_x0000_s1026" o:spt="203" style="position:absolute;left:4673;top:1585;height:13252;width:9156;" coordorigin="4673,1585" coordsize="9156,13252"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o:lock v:ext="edit" aspectratio="f"/>
                                <v:shape id="直接箭头连接符 22" o:spid="_x0000_s1026" o:spt="32" type="#_x0000_t32" style="position:absolute;left:12033;top:12350;flip:y;height:1;width:454;" filled="f" stroked="t" coordsize="21600,21600" o:gfxdata="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bfL4A&#10;AADbAAAADwAAAAAAAAABACAAAAAiAAAAZHJzL2Rvd25yZXYueG1sUEsBAhQAFAAAAAgAh07iQDMv&#10;BZ47AAAAOQAAABAAAAAAAAAAAQAgAAAADQEAAGRycy9zaGFwZXhtbC54bWxQSwUGAAAAAAYABgBb&#10;AQAAtwMAAAAA&#10;">
                                  <v:fill on="f" focussize="0,0"/>
                                  <v:stroke weight="1pt" color="#000000 [3213]" miterlimit="8" joinstyle="miter" dashstyle="dashDot" endarrow="block"/>
                                  <v:imagedata o:title=""/>
                                  <o:lock v:ext="edit" aspectratio="f"/>
                                </v:shape>
                                <v:shape id="文本框 27" o:spid="_x0000_s1026" o:spt="202" type="#_x0000_t202" style="position:absolute;left:12485;top:12104;height:419;width:1344;"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1D1D4B8">
                                        <w:pPr>
                                          <w:jc w:val="center"/>
                                          <w:rPr>
                                            <w:rFonts w:hint="default" w:eastAsiaTheme="minorEastAsia"/>
                                            <w:lang w:val="en-US" w:eastAsia="zh-CN"/>
                                          </w:rPr>
                                        </w:pPr>
                                        <w:r>
                                          <w:rPr>
                                            <w:rFonts w:hint="eastAsia" w:eastAsiaTheme="minorEastAsia"/>
                                            <w:lang w:val="en-US" w:eastAsia="zh-CN"/>
                                          </w:rPr>
                                          <w:t>G1-6、S1-5</w:t>
                                        </w:r>
                                      </w:p>
                                    </w:txbxContent>
                                  </v:textbox>
                                </v:shape>
                                <v:shape id="直接箭头连接符 22" o:spid="_x0000_s1026" o:spt="32" type="#_x0000_t32" style="position:absolute;left:5589;top:12362;flip:y;height:7;width:557;" filled="f" stroked="t" coordsize="21600,21600" o:gfxdata="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8JUjvQAA&#10;ANs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文本框 13" o:spid="_x0000_s1026" o:spt="202" type="#_x0000_t202" style="position:absolute;left:4673;top:12117;height:440;width:1077;" filled="f" stroked="f" coordsize="21600,21600" o:gfxdata="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eBdrsAAADb&#10;AAAADwAAAAAAAAABACAAAAAiAAAAZHJzL2Rvd25yZXYueG1sUEsBAhQAFAAAAAgAh07iQDMvBZ47&#10;AAAAOQAAABAAAAAAAAAAAQAgAAAACgEAAGRycy9zaGFwZXhtbC54bWxQSwUGAAAAAAYABgBbAQAA&#10;tAMAAAAA&#10;">
                                  <v:fill on="f" focussize="0,0"/>
                                  <v:stroke on="f" weight="0.5pt"/>
                                  <v:imagedata o:title=""/>
                                  <o:lock v:ext="edit" aspectratio="f"/>
                                  <v:textbox inset="2.54mm,1mm,2.54mm,1.27mm">
                                    <w:txbxContent>
                                      <w:p w14:paraId="780D57A3">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水性漆</w:t>
                                        </w:r>
                                      </w:p>
                                    </w:txbxContent>
                                  </v:textbox>
                                </v:shape>
                                <v:group id="组合 6" o:spid="_x0000_s1026" o:spt="203" style="position:absolute;left:5922;top:1585;height:13253;width:6106;" coordorigin="5922,1585" coordsize="6106,13253"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group id="组合 58" o:spid="_x0000_s1026" o:spt="203" style="position:absolute;left:5922;top:1585;height:12347;width:6106;" coordorigin="6066,465471" coordsize="6106,12347"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group id="组合 40" o:spid="_x0000_s1026" o:spt="203" style="position:absolute;left:6293;top:465471;height:12347;width:5879;" coordorigin="6293,465461" coordsize="5879,12347"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文本框 27" o:spid="_x0000_s1026" o:spt="202" type="#_x0000_t202" style="position:absolute;left:8453;top:477389;height:419;width:1333;" filled="f" stroked="t" coordsize="21600,21600" o:gfxdata="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7gfVvQAA&#10;ANs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2.54mm,0mm,2.54mm,1.27mm">
                                          <w:txbxContent>
                                            <w:p w14:paraId="48C0B910">
                                              <w:pPr>
                                                <w:jc w:val="center"/>
                                                <w:rPr>
                                                  <w:rFonts w:hint="default" w:eastAsiaTheme="minorEastAsia"/>
                                                  <w:lang w:val="en-US" w:eastAsia="zh-CN"/>
                                                </w:rPr>
                                              </w:pPr>
                                              <w:r>
                                                <w:rPr>
                                                  <w:rFonts w:hint="eastAsia" w:eastAsiaTheme="minorEastAsia"/>
                                                  <w:lang w:val="en-US" w:eastAsia="zh-CN"/>
                                                </w:rPr>
                                                <w:t>烘干/固化</w:t>
                                              </w:r>
                                            </w:p>
                                          </w:txbxContent>
                                        </v:textbox>
                                      </v:shape>
                                      <v:group id="组合 27" o:spid="_x0000_s1026" o:spt="203" style="position:absolute;left:6293;top:465461;height:10999;width:5879;" coordorigin="6269,465497" coordsize="5879,10999"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group id="组合 45" o:spid="_x0000_s1026" o:spt="203" style="position:absolute;left:6269;top:465497;height:10999;width:5879;" coordorigin="3869,467251" coordsize="5879,10999"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group id="组合 30" o:spid="_x0000_s1026" o:spt="203" style="position:absolute;left:4075;top:467251;height:7795;width:5673;" coordorigin="10772,913" coordsize="5673,8102"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文本框 1" o:spid="_x0000_s1026" o:spt="202" type="#_x0000_t202" style="position:absolute;left:12541;top:913;height:460;width:1576;" filled="f" stroked="f" coordsize="21600,21600" o:gfxdata="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Mna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0mm,1mm,0mm,0mm">
                                                <w:txbxContent>
                                                  <w:p w14:paraId="3898AAC4">
                                                    <w:pPr>
                                                      <w:jc w:val="center"/>
                                                      <w:rPr>
                                                        <w:rFonts w:hint="default" w:eastAsiaTheme="minorEastAsia"/>
                                                        <w:lang w:val="en-US" w:eastAsia="zh-CN"/>
                                                      </w:rPr>
                                                    </w:pPr>
                                                    <w:r>
                                                      <w:rPr>
                                                        <w:rFonts w:hint="eastAsia" w:eastAsiaTheme="minorEastAsia"/>
                                                        <w:lang w:val="en-US" w:eastAsia="zh-CN"/>
                                                      </w:rPr>
                                                      <w:t>铝板/卷、铝型材</w:t>
                                                    </w:r>
                                                  </w:p>
                                                </w:txbxContent>
                                              </v:textbox>
                                            </v:shape>
                                            <v:shape id="直接箭头连接符 2" o:spid="_x0000_s1026" o:spt="32" type="#_x0000_t32" style="position:absolute;left:13325;top:2406;height:530;width:0;" filled="f" stroked="t" coordsize="21600,21600" o:gfxdata="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819C8AAAA&#10;2wAAAA8AAAAAAAAAAQAgAAAAIgAAAGRycy9kb3ducmV2LnhtbFBLAQIUABQAAAAIAIdO4kAzLwWe&#10;OwAAADkAAAAQAAAAAAAAAAEAIAAAAAsBAABkcnMvc2hhcGV4bWwueG1sUEsFBgAAAAAGAAYAWwEA&#10;ALUDAAAAAA==&#10;">
                                              <v:fill on="f" focussize="0,0"/>
                                              <v:stroke weight="1pt" color="#000000" miterlimit="8" joinstyle="miter" endarrow="block"/>
                                              <v:imagedata o:title=""/>
                                              <o:lock v:ext="edit" aspectratio="f"/>
                                            </v:shape>
                                            <v:shape id="文本框 3" o:spid="_x0000_s1026" o:spt="202" type="#_x0000_t202" style="position:absolute;left:12735;top:2955;height:435;width:1153;" filled="f" stroked="t" coordsize="21600,21600" o:gfxdata="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3KGYbsAAADb&#10;AAAADwAAAAAAAAABACAAAAAiAAAAZHJzL2Rvd25yZXYueG1sUEsBAhQAFAAAAAgAh07iQDMvBZ47&#10;AAAAOQAAABAAAAAAAAAAAQAgAAAACgEAAGRycy9zaGFwZXhtbC54bWxQSwUGAAAAAAYABgBbAQAA&#10;tAMAAAAA&#10;">
                                              <v:fill on="f" focussize="0,0"/>
                                              <v:stroke weight="0.5pt" color="#000000 [3204]" joinstyle="round"/>
                                              <v:imagedata o:title=""/>
                                              <o:lock v:ext="edit" aspectratio="f"/>
                                              <v:textbox inset="0mm,0mm,1mm,1.27mm">
                                                <w:txbxContent>
                                                  <w:p w14:paraId="32670494">
                                                    <w:pPr>
                                                      <w:jc w:val="center"/>
                                                      <w:rPr>
                                                        <w:rFonts w:hint="default" w:eastAsiaTheme="minorEastAsia"/>
                                                        <w:lang w:val="en-US" w:eastAsia="zh-CN"/>
                                                      </w:rPr>
                                                    </w:pPr>
                                                    <w:r>
                                                      <w:rPr>
                                                        <w:rFonts w:hint="eastAsia" w:eastAsiaTheme="minorEastAsia"/>
                                                        <w:lang w:val="en-US" w:eastAsia="zh-CN"/>
                                                      </w:rPr>
                                                      <w:t>切割下料</w:t>
                                                    </w:r>
                                                  </w:p>
                                                </w:txbxContent>
                                              </v:textbox>
                                            </v:shape>
                                            <v:shape id="直接箭头连接符 4" o:spid="_x0000_s1026" o:spt="32" type="#_x0000_t32" style="position:absolute;left:13888;top:3165;flip:y;height:0;width:557;" filled="f" stroked="t" coordsize="21600,21600" o:gfxdata="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7Nna8AAAA&#10;2wAAAA8AAAAAAAAAAQAgAAAAIgAAAGRycy9kb3ducmV2LnhtbFBLAQIUABQAAAAIAIdO4kAzLwWe&#10;OwAAADkAAAAQAAAAAAAAAAEAIAAAAAsBAABkcnMvc2hhcGV4bWwueG1sUEsFBgAAAAAGAAYAWwEA&#10;ALUDAAAAAA==&#10;">
                                              <v:fill on="f" focussize="0,0"/>
                                              <v:stroke weight="1pt" color="#000000 [3213]" miterlimit="8" joinstyle="miter" dashstyle="dashDot" endarrow="block"/>
                                              <v:imagedata o:title=""/>
                                              <o:lock v:ext="edit" aspectratio="f"/>
                                            </v:shape>
                                            <v:shape id="文本框 5" o:spid="_x0000_s1026" o:spt="202" type="#_x0000_t202" style="position:absolute;left:14356;top:2940;height:420;width:2028;" filled="f" stroked="f" coordsize="21600,21600" o:gfxdata="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ZtypvQAA&#10;ANsAAAAPAAAAAAAAAAEAIAAAACIAAABkcnMvZG93bnJldi54bWxQSwECFAAUAAAACACHTuJAMy8F&#10;njsAAAA5AAAAEAAAAAAAAAABACAAAAAMAQAAZHJzL3NoYXBleG1sLnhtbFBLBQYAAAAABgAGAFsB&#10;AAC2AwAAAAA=&#10;">
                                              <v:fill on="f" focussize="0,0"/>
                                              <v:stroke on="f" weight="0.5pt"/>
                                              <v:imagedata o:title=""/>
                                              <o:lock v:ext="edit" aspectratio="f"/>
                                              <v:textbox inset="2.54mm,1mm,2.54mm,1mm">
                                                <w:txbxContent>
                                                  <w:p w14:paraId="382FFC69">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G1</w:t>
                                                    </w:r>
                                                    <w:r>
                                                      <w:rPr>
                                                        <w:rFonts w:hint="eastAsia" w:cs="Times New Roman"/>
                                                        <w:lang w:val="en-US" w:eastAsia="zh-CN"/>
                                                      </w:rPr>
                                                      <w:t>-1</w:t>
                                                    </w:r>
                                                    <w:r>
                                                      <w:rPr>
                                                        <w:rFonts w:hint="eastAsia" w:ascii="Times New Roman" w:hAnsi="Times New Roman" w:cs="Times New Roman"/>
                                                        <w:lang w:eastAsia="zh-CN"/>
                                                      </w:rPr>
                                                      <w:t>、</w:t>
                                                    </w:r>
                                                    <w:r>
                                                      <w:rPr>
                                                        <w:rFonts w:ascii="Times New Roman" w:hAnsi="Times New Roman" w:cs="Times New Roman"/>
                                                        <w:lang w:eastAsia="zh-CN"/>
                                                      </w:rPr>
                                                      <w:t>S1</w:t>
                                                    </w:r>
                                                    <w:r>
                                                      <w:rPr>
                                                        <w:rFonts w:hint="eastAsia" w:cs="Times New Roman"/>
                                                        <w:lang w:val="en-US" w:eastAsia="zh-CN"/>
                                                      </w:rPr>
                                                      <w:t>-1</w:t>
                                                    </w:r>
                                                    <w:r>
                                                      <w:rPr>
                                                        <w:rFonts w:ascii="Times New Roman" w:hAnsi="Times New Roman" w:cs="Times New Roman"/>
                                                        <w:lang w:eastAsia="zh-CN"/>
                                                      </w:rPr>
                                                      <w:t>、N1</w:t>
                                                    </w:r>
                                                    <w:r>
                                                      <w:rPr>
                                                        <w:rFonts w:hint="eastAsia" w:cs="Times New Roman"/>
                                                        <w:lang w:val="en-US" w:eastAsia="zh-CN"/>
                                                      </w:rPr>
                                                      <w:t>-1</w:t>
                                                    </w:r>
                                                  </w:p>
                                                </w:txbxContent>
                                              </v:textbox>
                                            </v:shape>
                                            <v:shape id="直接箭头连接符 6" o:spid="_x0000_s1026" o:spt="32" type="#_x0000_t32" style="position:absolute;left:13313;top:3390;height:530;width:0;" filled="f" stroked="t" coordsize="21600,21600" o:gfxdata="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KTR74A&#10;AADb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shape id="文本框 7" o:spid="_x0000_s1026" o:spt="202" type="#_x0000_t202" style="position:absolute;left:12735;top:3870;height:452;width:1153;" filled="f" stroked="t" coordsize="21600,21600" o:gfxdata="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BNonvQAA&#10;ANs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2.54mm,1mm,0mm,1.27mm">
                                                <w:txbxContent>
                                                  <w:p w14:paraId="275A68F1">
                                                    <w:pPr>
                                                      <w:jc w:val="center"/>
                                                      <w:rPr>
                                                        <w:rFonts w:hint="default" w:eastAsiaTheme="minorEastAsia"/>
                                                        <w:lang w:val="en-US" w:eastAsia="zh-CN"/>
                                                      </w:rPr>
                                                    </w:pPr>
                                                    <w:r>
                                                      <w:rPr>
                                                        <w:rFonts w:hint="eastAsia" w:eastAsiaTheme="minorEastAsia"/>
                                                        <w:lang w:val="en-US" w:eastAsia="zh-CN"/>
                                                      </w:rPr>
                                                      <w:t>钣金加工</w:t>
                                                    </w:r>
                                                  </w:p>
                                                </w:txbxContent>
                                              </v:textbox>
                                            </v:shape>
                                            <v:shape id="直接箭头连接符 8" o:spid="_x0000_s1026" o:spt="32" type="#_x0000_t32" style="position:absolute;left:13918;top:4095;flip:y;height:8;width:557;" filled="f" stroked="t" coordsize="21600,21600" o:gfxdata="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wdb4A&#10;AADbAAAADwAAAAAAAAABACAAAAAiAAAAZHJzL2Rvd25yZXYueG1sUEsBAhQAFAAAAAgAh07iQDMv&#10;BZ47AAAAOQAAABAAAAAAAAAAAQAgAAAADQEAAGRycy9zaGFwZXhtbC54bWxQSwUGAAAAAAYABgBb&#10;AQAAtwMAAAAA&#10;">
                                              <v:fill on="f" focussize="0,0"/>
                                              <v:stroke weight="1pt" color="#000000 [3213]" miterlimit="8" joinstyle="miter" dashstyle="dashDot" endarrow="block"/>
                                              <v:imagedata o:title=""/>
                                              <o:lock v:ext="edit" aspectratio="f"/>
                                            </v:shape>
                                            <v:shape id="文本框 9" o:spid="_x0000_s1026" o:spt="202" type="#_x0000_t202" style="position:absolute;left:14417;top:3846;height:419;width:1240;" filled="f" stroked="f" coordsize="21600,21600" o:gfxdata="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p4irsAAADb&#10;AAAADwAAAAAAAAABACAAAAAiAAAAZHJzL2Rvd25yZXYueG1sUEsBAhQAFAAAAAgAh07iQDMvBZ47&#10;AAAAOQAAABAAAAAAAAAAAQAgAAAACgEAAGRycy9zaGFwZXhtbC54bWxQSwUGAAAAAAYABgBbAQAA&#10;tAMAAAAA&#10;">
                                              <v:fill on="f" focussize="0,0"/>
                                              <v:stroke on="f" weight="0.5pt"/>
                                              <v:imagedata o:title=""/>
                                              <o:lock v:ext="edit" aspectratio="f"/>
                                              <v:textbox inset="0mm,1mm,0mm,1mm">
                                                <w:txbxContent>
                                                  <w:p w14:paraId="1421448D">
                                                    <w:pPr>
                                                      <w:jc w:val="center"/>
                                                      <w:rPr>
                                                        <w:rFonts w:hint="default" w:ascii="Times New Roman" w:hAnsi="Times New Roman" w:cs="Times New Roman" w:eastAsiaTheme="minorEastAsia"/>
                                                        <w:lang w:val="en-US" w:eastAsia="zh-CN"/>
                                                      </w:rPr>
                                                    </w:pPr>
                                                    <w:r>
                                                      <w:rPr>
                                                        <w:rFonts w:ascii="Times New Roman" w:hAnsi="Times New Roman" w:cs="Times New Roman"/>
                                                        <w:lang w:eastAsia="zh-CN"/>
                                                      </w:rPr>
                                                      <w:t>S</w:t>
                                                    </w:r>
                                                    <w:r>
                                                      <w:rPr>
                                                        <w:rFonts w:hint="eastAsia" w:cs="Times New Roman"/>
                                                        <w:lang w:val="en-US" w:eastAsia="zh-CN"/>
                                                      </w:rPr>
                                                      <w:t>1-2</w:t>
                                                    </w:r>
                                                    <w:r>
                                                      <w:rPr>
                                                        <w:rFonts w:ascii="Times New Roman" w:hAnsi="Times New Roman" w:cs="Times New Roman"/>
                                                        <w:lang w:eastAsia="zh-CN"/>
                                                      </w:rPr>
                                                      <w:t>、N</w:t>
                                                    </w:r>
                                                    <w:r>
                                                      <w:rPr>
                                                        <w:rFonts w:hint="eastAsia" w:cs="Times New Roman"/>
                                                        <w:lang w:val="en-US" w:eastAsia="zh-CN"/>
                                                      </w:rPr>
                                                      <w:t>1-2</w:t>
                                                    </w:r>
                                                  </w:p>
                                                </w:txbxContent>
                                              </v:textbox>
                                            </v:shape>
                                            <v:shape id="直接箭头连接符 10" o:spid="_x0000_s1026" o:spt="32" type="#_x0000_t32" style="position:absolute;left:13328;top:4320;height:495;width:7;" filled="f" stroked="t" coordsize="21600,21600" o:gfxdata="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tgE2ugAAANsA&#10;AAAPAAAAAAAAAAEAIAAAACIAAABkcnMvZG93bnJldi54bWxQSwECFAAUAAAACACHTuJAMy8FnjsA&#10;AAA5AAAAEAAAAAAAAAABACAAAAAJAQAAZHJzL3NoYXBleG1sLnhtbFBLBQYAAAAABgAGAFsBAACz&#10;AwAAAAA=&#10;">
                                              <v:fill on="f" focussize="0,0"/>
                                              <v:stroke weight="1pt" color="#000000" miterlimit="8" joinstyle="miter" endarrow="block"/>
                                              <v:imagedata o:title=""/>
                                              <o:lock v:ext="edit" aspectratio="f"/>
                                            </v:shape>
                                            <v:shape id="文本框 11" o:spid="_x0000_s1026" o:spt="202" type="#_x0000_t202" style="position:absolute;left:12735;top:4815;height:435;width:1153;" filled="f" stroked="t" coordsize="21600,21600" o:gfxdata="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PTY8vQAA&#10;ANs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2.54mm,0mm,2.54mm,1.27mm">
                                                <w:txbxContent>
                                                  <w:p w14:paraId="52877951">
                                                    <w:pPr>
                                                      <w:jc w:val="center"/>
                                                      <w:rPr>
                                                        <w:rFonts w:eastAsiaTheme="minorEastAsia"/>
                                                        <w:lang w:eastAsia="zh-CN"/>
                                                      </w:rPr>
                                                    </w:pPr>
                                                    <w:r>
                                                      <w:rPr>
                                                        <w:rFonts w:hint="eastAsia"/>
                                                        <w:lang w:eastAsia="zh-CN"/>
                                                      </w:rPr>
                                                      <w:t>焊接</w:t>
                                                    </w:r>
                                                  </w:p>
                                                </w:txbxContent>
                                              </v:textbox>
                                            </v:shape>
                                            <v:shape id="直接箭头连接符 12" o:spid="_x0000_s1026" o:spt="32" type="#_x0000_t32" style="position:absolute;left:12178;top:5055;flip:y;height:8;width:557;" filled="f" stroked="t" coordsize="21600,21600" o:gfxdata="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clDvQAA&#10;ANs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文本框 13" o:spid="_x0000_s1026" o:spt="202" type="#_x0000_t202" style="position:absolute;left:11251;top:4810;height:420;width:1244;" filled="f" stroked="f" coordsize="21600,21600" o:gfxdata="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7GJbsAAADb&#10;AAAADwAAAAAAAAABACAAAAAiAAAAZHJzL2Rvd25yZXYueG1sUEsBAhQAFAAAAAgAh07iQDMvBZ47&#10;AAAAOQAAABAAAAAAAAAAAQAgAAAACgEAAGRycy9zaGFwZXhtbC54bWxQSwUGAAAAAAYABgBbAQAA&#10;tAMAAAAA&#10;">
                                              <v:fill on="f" focussize="0,0"/>
                                              <v:stroke on="f" weight="0.5pt"/>
                                              <v:imagedata o:title=""/>
                                              <o:lock v:ext="edit" aspectratio="f"/>
                                              <v:textbox inset="2.54mm,0mm,2.54mm,1mm">
                                                <w:txbxContent>
                                                  <w:p w14:paraId="3174263E">
                                                    <w:pPr>
                                                      <w:jc w:val="center"/>
                                                      <w:rPr>
                                                        <w:rFonts w:hint="default" w:eastAsiaTheme="minorEastAsia"/>
                                                        <w:lang w:val="en-US" w:eastAsia="zh-CN"/>
                                                      </w:rPr>
                                                    </w:pPr>
                                                    <w:r>
                                                      <w:rPr>
                                                        <w:rFonts w:hint="eastAsia" w:eastAsiaTheme="minorEastAsia"/>
                                                        <w:lang w:val="en-US" w:eastAsia="zh-CN"/>
                                                      </w:rPr>
                                                      <w:t>焊丝</w:t>
                                                    </w:r>
                                                  </w:p>
                                                </w:txbxContent>
                                              </v:textbox>
                                            </v:shape>
                                            <v:shape id="直接箭头连接符 14" o:spid="_x0000_s1026" o:spt="32" type="#_x0000_t32" style="position:absolute;left:13903;top:5040;flip:y;height:8;width:557;" filled="f" stroked="t" coordsize="21600,21600" o:gfxdata="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8m0e8AAAA&#10;2wAAAA8AAAAAAAAAAQAgAAAAIgAAAGRycy9kb3ducmV2LnhtbFBLAQIUABQAAAAIAIdO4kAzLwWe&#10;OwAAADkAAAAQAAAAAAAAAAEAIAAAAAsBAABkcnMvc2hhcGV4bWwueG1sUEsFBgAAAAAGAAYAWwEA&#10;ALUDAAAAAA==&#10;">
                                              <v:fill on="f" focussize="0,0"/>
                                              <v:stroke weight="1pt" color="#000000 [3213]" miterlimit="8" joinstyle="miter" dashstyle="dashDot" endarrow="block"/>
                                              <v:imagedata o:title=""/>
                                              <o:lock v:ext="edit" aspectratio="f"/>
                                            </v:shape>
                                            <v:shape id="文本框 15" o:spid="_x0000_s1026" o:spt="202" type="#_x0000_t202" style="position:absolute;left:14251;top:5745;height:420;width:1843;" filled="f" stroked="f" coordsize="21600,21600" o:gfxdata="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hfg+bsAAADb&#10;AAAADwAAAAAAAAABACAAAAAiAAAAZHJzL2Rvd25yZXYueG1sUEsBAhQAFAAAAAgAh07iQDMvBZ47&#10;AAAAOQAAABAAAAAAAAAAAQAgAAAACgEAAGRycy9zaGFwZXhtbC54bWxQSwUGAAAAAAYABgBbAQAA&#10;tAMAAAAA&#10;">
                                              <v:fill on="f" focussize="0,0"/>
                                              <v:stroke on="f" weight="0.5pt"/>
                                              <v:imagedata o:title=""/>
                                              <o:lock v:ext="edit" aspectratio="f"/>
                                              <v:textbox inset="2.54mm,1mm,2.54mm,1.27mm">
                                                <w:txbxContent>
                                                  <w:p w14:paraId="53C2170A">
                                                    <w:pPr>
                                                      <w:jc w:val="center"/>
                                                      <w:rPr>
                                                        <w:rFonts w:ascii="Times New Roman" w:hAnsi="Times New Roman" w:cs="Times New Roman" w:eastAsiaTheme="minorEastAsia"/>
                                                        <w:lang w:eastAsia="zh-CN"/>
                                                      </w:rPr>
                                                    </w:pPr>
                                                    <w:r>
                                                      <w:rPr>
                                                        <w:rFonts w:ascii="Times New Roman" w:hAnsi="Times New Roman" w:cs="Times New Roman"/>
                                                        <w:lang w:eastAsia="zh-CN"/>
                                                      </w:rPr>
                                                      <w:t>G</w:t>
                                                    </w:r>
                                                    <w:r>
                                                      <w:rPr>
                                                        <w:rFonts w:hint="eastAsia" w:cs="Times New Roman"/>
                                                        <w:lang w:val="en-US" w:eastAsia="zh-CN"/>
                                                      </w:rPr>
                                                      <w:t>1-</w:t>
                                                    </w:r>
                                                    <w:r>
                                                      <w:rPr>
                                                        <w:rFonts w:hint="eastAsia" w:ascii="Times New Roman" w:hAnsi="Times New Roman" w:cs="Times New Roman"/>
                                                        <w:lang w:eastAsia="zh-CN"/>
                                                      </w:rPr>
                                                      <w:t>3</w:t>
                                                    </w:r>
                                                    <w:r>
                                                      <w:rPr>
                                                        <w:rFonts w:ascii="Times New Roman" w:hAnsi="Times New Roman" w:cs="Times New Roman"/>
                                                        <w:lang w:eastAsia="zh-CN"/>
                                                      </w:rPr>
                                                      <w:t>、N</w:t>
                                                    </w:r>
                                                    <w:r>
                                                      <w:rPr>
                                                        <w:rFonts w:hint="eastAsia" w:cs="Times New Roman"/>
                                                        <w:lang w:val="en-US" w:eastAsia="zh-CN"/>
                                                      </w:rPr>
                                                      <w:t>1-</w:t>
                                                    </w:r>
                                                    <w:r>
                                                      <w:rPr>
                                                        <w:rFonts w:ascii="Times New Roman" w:hAnsi="Times New Roman" w:cs="Times New Roman"/>
                                                        <w:lang w:eastAsia="zh-CN"/>
                                                      </w:rPr>
                                                      <w:t>4</w:t>
                                                    </w:r>
                                                  </w:p>
                                                </w:txbxContent>
                                              </v:textbox>
                                            </v:shape>
                                            <v:shape id="直接箭头连接符 16" o:spid="_x0000_s1026" o:spt="32" type="#_x0000_t32" style="position:absolute;left:13328;top:5250;height:495;width:7;" filled="f" stroked="t" coordsize="21600,21600" o:gfxdata="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bjh1vQAA&#10;ANs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文本框 17" o:spid="_x0000_s1026" o:spt="202" type="#_x0000_t202" style="position:absolute;left:12720;top:5745;height:435;width:1153;" filled="f" stroked="t" coordsize="21600,21600" o:gfxdata="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MEJG/&#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inset="1mm,0mm,2.54mm,1.27mm">
                                                <w:txbxContent>
                                                  <w:p w14:paraId="405A8C04">
                                                    <w:pPr>
                                                      <w:jc w:val="center"/>
                                                      <w:rPr>
                                                        <w:rFonts w:hint="default" w:eastAsiaTheme="minorEastAsia"/>
                                                        <w:lang w:val="en-US" w:eastAsia="zh-CN"/>
                                                      </w:rPr>
                                                    </w:pPr>
                                                    <w:r>
                                                      <w:rPr>
                                                        <w:rFonts w:hint="eastAsia" w:eastAsiaTheme="minorEastAsia"/>
                                                        <w:lang w:val="en-US" w:eastAsia="zh-CN"/>
                                                      </w:rPr>
                                                      <w:t>打磨抛光</w:t>
                                                    </w:r>
                                                  </w:p>
                                                </w:txbxContent>
                                              </v:textbox>
                                            </v:shape>
                                            <v:shape id="直接箭头连接符 18" o:spid="_x0000_s1026" o:spt="32" type="#_x0000_t32" style="position:absolute;left:13903;top:5955;flip:y;height:8;width:557;" filled="f" stroked="t" coordsize="21600,21600" o:gfxdata="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51EvQAA&#10;ANsAAAAPAAAAAAAAAAEAIAAAACIAAABkcnMvZG93bnJldi54bWxQSwECFAAUAAAACACHTuJAMy8F&#10;njsAAAA5AAAAEAAAAAAAAAABACAAAAAMAQAAZHJzL3NoYXBleG1sLnhtbFBLBQYAAAAABgAGAFsB&#10;AAC2AwAAAAA=&#10;">
                                              <v:fill on="f" focussize="0,0"/>
                                              <v:stroke weight="1pt" color="#000000 [3213]" miterlimit="8" joinstyle="miter" dashstyle="dashDot" endarrow="block"/>
                                              <v:imagedata o:title=""/>
                                              <o:lock v:ext="edit" aspectratio="f"/>
                                            </v:shape>
                                            <v:shape id="文本框 19" o:spid="_x0000_s1026" o:spt="202" type="#_x0000_t202" style="position:absolute;left:14446;top:4815;height:420;width:1999;" filled="f" stroked="f" coordsize="21600,21600" o:gfxdata="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1rq/LgAAADbAAAA&#10;DwAAAAAAAAABACAAAAAiAAAAZHJzL2Rvd25yZXYueG1sUEsBAhQAFAAAAAgAh07iQDMvBZ47AAAA&#10;OQAAABAAAAAAAAAAAQAgAAAABwEAAGRycy9zaGFwZXhtbC54bWxQSwUGAAAAAAYABgBbAQAAsQMA&#10;AAAA&#10;">
                                              <v:fill on="f" focussize="0,0"/>
                                              <v:stroke on="f" weight="0.5pt"/>
                                              <v:imagedata o:title=""/>
                                              <o:lock v:ext="edit" aspectratio="f"/>
                                              <v:textbox inset="2.54mm,1mm,2.54mm,1.27mm">
                                                <w:txbxContent>
                                                  <w:p w14:paraId="7CE75C0C">
                                                    <w:pPr>
                                                      <w:jc w:val="center"/>
                                                      <w:rPr>
                                                        <w:rFonts w:eastAsiaTheme="minorEastAsia"/>
                                                        <w:sz w:val="24"/>
                                                        <w:szCs w:val="24"/>
                                                        <w:lang w:eastAsia="zh-CN"/>
                                                      </w:rPr>
                                                    </w:pPr>
                                                    <w:r>
                                                      <w:rPr>
                                                        <w:rFonts w:ascii="Times New Roman" w:hAnsi="Times New Roman" w:cs="Times New Roman"/>
                                                        <w:lang w:eastAsia="zh-CN"/>
                                                      </w:rPr>
                                                      <w:t>G</w:t>
                                                    </w:r>
                                                    <w:r>
                                                      <w:rPr>
                                                        <w:rFonts w:hint="eastAsia" w:cs="Times New Roman"/>
                                                        <w:lang w:val="en-US" w:eastAsia="zh-CN"/>
                                                      </w:rPr>
                                                      <w:t>1-</w:t>
                                                    </w:r>
                                                    <w:r>
                                                      <w:rPr>
                                                        <w:rFonts w:hint="eastAsia" w:ascii="Times New Roman" w:hAnsi="Times New Roman" w:cs="Times New Roman"/>
                                                        <w:lang w:eastAsia="zh-CN"/>
                                                      </w:rPr>
                                                      <w:t>2</w:t>
                                                    </w:r>
                                                    <w:r>
                                                      <w:rPr>
                                                        <w:rFonts w:ascii="Times New Roman" w:hAnsi="Times New Roman" w:cs="Times New Roman"/>
                                                        <w:lang w:eastAsia="zh-CN"/>
                                                      </w:rPr>
                                                      <w:t>、S</w:t>
                                                    </w:r>
                                                    <w:r>
                                                      <w:rPr>
                                                        <w:rFonts w:hint="eastAsia" w:cs="Times New Roman"/>
                                                        <w:lang w:val="en-US" w:eastAsia="zh-CN"/>
                                                      </w:rPr>
                                                      <w:t>1-</w:t>
                                                    </w:r>
                                                    <w:r>
                                                      <w:rPr>
                                                        <w:rFonts w:ascii="Times New Roman" w:hAnsi="Times New Roman" w:cs="Times New Roman"/>
                                                        <w:lang w:eastAsia="zh-CN"/>
                                                      </w:rPr>
                                                      <w:t>3、N</w:t>
                                                    </w:r>
                                                    <w:r>
                                                      <w:rPr>
                                                        <w:rFonts w:hint="eastAsia" w:cs="Times New Roman"/>
                                                        <w:lang w:val="en-US" w:eastAsia="zh-CN"/>
                                                      </w:rPr>
                                                      <w:t>1-</w:t>
                                                    </w:r>
                                                    <w:r>
                                                      <w:rPr>
                                                        <w:rFonts w:ascii="Times New Roman" w:hAnsi="Times New Roman" w:cs="Times New Roman"/>
                                                        <w:lang w:eastAsia="zh-CN"/>
                                                      </w:rPr>
                                                      <w:t>3</w:t>
                                                    </w:r>
                                                  </w:p>
                                                </w:txbxContent>
                                              </v:textbox>
                                            </v:shape>
                                            <v:shape id="直接箭头连接符 20" o:spid="_x0000_s1026" o:spt="32" type="#_x0000_t32" style="position:absolute;left:13343;top:6195;height:495;width:0;" filled="f" stroked="t" coordsize="21600,21600" o:gfxdata="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RV/5vQAA&#10;ANs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文本框 21" o:spid="_x0000_s1026" o:spt="202" type="#_x0000_t202" style="position:absolute;left:12660;top:6690;height:435;width:1333;" filled="f" stroked="t" coordsize="21600,21600" o:gfxdata="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0JOrsAAADb&#10;AAAADwAAAAAAAAABACAAAAAiAAAAZHJzL2Rvd25yZXYueG1sUEsBAhQAFAAAAAgAh07iQDMvBZ47&#10;AAAAOQAAABAAAAAAAAAAAQAgAAAACgEAAGRycy9zaGFwZXhtbC54bWxQSwUGAAAAAAYABgBbAQAA&#10;tAMAAAAA&#10;">
                                              <v:fill on="f" focussize="0,0"/>
                                              <v:stroke weight="0.5pt" color="#000000 [3204]" joinstyle="round"/>
                                              <v:imagedata o:title=""/>
                                              <o:lock v:ext="edit" aspectratio="f"/>
                                              <v:textbox inset="2mm,0mm,2mm,0mm">
                                                <w:txbxContent>
                                                  <w:p w14:paraId="2A43BE18">
                                                    <w:pPr>
                                                      <w:jc w:val="center"/>
                                                      <w:rPr>
                                                        <w:rFonts w:hint="default" w:eastAsiaTheme="minorEastAsia"/>
                                                        <w:lang w:val="en-US" w:eastAsia="zh-CN"/>
                                                      </w:rPr>
                                                    </w:pPr>
                                                    <w:r>
                                                      <w:rPr>
                                                        <w:rFonts w:hint="eastAsia" w:eastAsiaTheme="minorEastAsia"/>
                                                        <w:lang w:val="en-US" w:eastAsia="zh-CN"/>
                                                      </w:rPr>
                                                      <w:t>喷淋脱脂</w:t>
                                                    </w:r>
                                                  </w:p>
                                                </w:txbxContent>
                                              </v:textbox>
                                            </v:shape>
                                            <v:shape id="直接箭头连接符 22" o:spid="_x0000_s1026" o:spt="32" type="#_x0000_t32" style="position:absolute;left:12118;top:6915;flip:y;height:8;width:557;" filled="f" stroked="t" coordsize="21600,21600" o:gfxdata="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l5QS8AAAA&#10;2wAAAA8AAAAAAAAAAQAgAAAAIgAAAGRycy9kb3ducmV2LnhtbFBLAQIUABQAAAAIAIdO4kAzLwWe&#10;OwAAADkAAAAQAAAAAAAAAAEAIAAAAAsBAABkcnMvc2hhcGV4bWwueG1sUEsFBgAAAAAGAAYAWwEA&#10;ALUDAAAAAA==&#10;">
                                              <v:fill on="f" focussize="0,0"/>
                                              <v:stroke weight="1pt" color="#000000" miterlimit="8" joinstyle="miter" endarrow="block"/>
                                              <v:imagedata o:title=""/>
                                              <o:lock v:ext="edit" aspectratio="f"/>
                                            </v:shape>
                                            <v:shape id="文本框 23" o:spid="_x0000_s1026" o:spt="202" type="#_x0000_t202" style="position:absolute;left:10772;top:6730;height:422;width:1513;" filled="f" stroked="f" coordsize="21600,21600" o:gfxdata="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eqLr4A&#10;AADb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14:paraId="47407D7E">
                                                    <w:pPr>
                                                      <w:jc w:val="center"/>
                                                      <w:rPr>
                                                        <w:rFonts w:hint="default" w:eastAsiaTheme="minorEastAsia"/>
                                                        <w:lang w:val="en-US" w:eastAsia="zh-CN"/>
                                                      </w:rPr>
                                                    </w:pPr>
                                                    <w:r>
                                                      <w:rPr>
                                                        <w:rFonts w:hint="eastAsia" w:eastAsiaTheme="minorEastAsia"/>
                                                        <w:lang w:val="en-US" w:eastAsia="zh-CN"/>
                                                      </w:rPr>
                                                      <w:t>脱脂剂、水</w:t>
                                                    </w:r>
                                                  </w:p>
                                                </w:txbxContent>
                                              </v:textbox>
                                            </v:shape>
                                            <v:shape id="直接箭头连接符 24" o:spid="_x0000_s1026" o:spt="32" type="#_x0000_t32" style="position:absolute;left:14023;top:6915;flip:y;height:8;width:557;" filled="f" stroked="t" coordsize="21600,21600" o:gfxdata="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y3AL4A&#10;AADbAAAADwAAAAAAAAABACAAAAAiAAAAZHJzL2Rvd25yZXYueG1sUEsBAhQAFAAAAAgAh07iQDMv&#10;BZ47AAAAOQAAABAAAAAAAAAAAQAgAAAADQEAAGRycy9zaGFwZXhtbC54bWxQSwUGAAAAAAYABgBb&#10;AQAAtwMAAAAA&#10;">
                                              <v:fill on="f" focussize="0,0"/>
                                              <v:stroke weight="1pt" color="#000000 [3213]" miterlimit="8" joinstyle="miter" dashstyle="dashDot" endarrow="block"/>
                                              <v:imagedata o:title=""/>
                                              <o:lock v:ext="edit" aspectratio="f"/>
                                            </v:shape>
                                            <v:shape id="文本框 25" o:spid="_x0000_s1026" o:spt="202" type="#_x0000_t202" style="position:absolute;left:14311;top:6690;height:420;width:1184;" filled="f" stroked="f" coordsize="21600,21600" o:gfxdata="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A5RO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2.54mm,0mm,2.54mm,1.27mm">
                                                <w:txbxContent>
                                                  <w:p w14:paraId="4AA0B684">
                                                    <w:pPr>
                                                      <w:jc w:val="center"/>
                                                      <w:rPr>
                                                        <w:rFonts w:hint="default" w:ascii="Times New Roman" w:hAnsi="Times New Roman" w:cs="Times New Roman" w:eastAsiaTheme="minorEastAsia"/>
                                                        <w:lang w:val="en-US" w:eastAsia="zh-CN"/>
                                                      </w:rPr>
                                                    </w:pPr>
                                                    <w:r>
                                                      <w:rPr>
                                                        <w:rFonts w:hint="eastAsia" w:cs="Times New Roman"/>
                                                        <w:lang w:val="en-US" w:eastAsia="zh-CN"/>
                                                      </w:rPr>
                                                      <w:t>W1-1</w:t>
                                                    </w:r>
                                                  </w:p>
                                                </w:txbxContent>
                                              </v:textbox>
                                            </v:shape>
                                            <v:shape id="直接箭头连接符 26" o:spid="_x0000_s1026" o:spt="32" type="#_x0000_t32" style="position:absolute;left:13328;top:7125;height:495;width:0;" filled="f" stroked="t" coordsize="21600,21600" o:gfxdata="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kC/evQAA&#10;ANs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文本框 27" o:spid="_x0000_s1026" o:spt="202" type="#_x0000_t202" style="position:absolute;left:12630;top:8580;height:435;width:1333;" filled="f" stroked="t" coordsize="21600,21600" o:gfxdata="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Gc3srUAAADbAAAADwAA&#10;AAAAAAABACAAAAAiAAAAZHJzL2Rvd25yZXYueG1sUEsBAhQAFAAAAAgAh07iQDMvBZ47AAAAOQAA&#10;ABAAAAAAAAAAAQAgAAAABAEAAGRycy9zaGFwZXhtbC54bWxQSwUGAAAAAAYABgBbAQAArgMAAAAA&#10;">
                                              <v:fill on="f" focussize="0,0"/>
                                              <v:stroke weight="0.5pt" color="#000000 [3204]" joinstyle="round"/>
                                              <v:imagedata o:title=""/>
                                              <o:lock v:ext="edit" aspectratio="f"/>
                                              <v:textbox inset="2.54mm,0mm,2.54mm,1mm">
                                                <w:txbxContent>
                                                  <w:p w14:paraId="1E35F15B">
                                                    <w:pPr>
                                                      <w:jc w:val="center"/>
                                                      <w:rPr>
                                                        <w:rFonts w:hint="default" w:eastAsiaTheme="minorEastAsia"/>
                                                        <w:lang w:val="en-US" w:eastAsia="zh-CN"/>
                                                      </w:rPr>
                                                    </w:pPr>
                                                    <w:r>
                                                      <w:rPr>
                                                        <w:rFonts w:hint="eastAsia" w:eastAsiaTheme="minorEastAsia"/>
                                                        <w:lang w:val="en-US" w:eastAsia="zh-CN"/>
                                                      </w:rPr>
                                                      <w:t>喷淋洗2</w:t>
                                                    </w:r>
                                                  </w:p>
                                                </w:txbxContent>
                                              </v:textbox>
                                            </v:shape>
                                            <v:shape id="直接箭头连接符 28" o:spid="_x0000_s1026" o:spt="32" type="#_x0000_t32" style="position:absolute;left:13328;top:8070;height:495;width:7;" filled="f" stroked="t" coordsize="21600,21600" o:gfxdata="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DHje/&#10;AAAA2wAAAA8AAAAAAAAAAQAgAAAAIgAAAGRycy9kb3ducmV2LnhtbFBLAQIUABQAAAAIAIdO4kAz&#10;LwWeOwAAADkAAAAQAAAAAAAAAAEAIAAAAA4BAABkcnMvc2hhcGV4bWwueG1sUEsFBgAAAAAGAAYA&#10;WwEAALgDAAAAAA==&#10;">
                                              <v:fill on="f" focussize="0,0"/>
                                              <v:stroke weight="1pt" color="#000000" miterlimit="8" joinstyle="miter" endarrow="block"/>
                                              <v:imagedata o:title=""/>
                                              <o:lock v:ext="edit" aspectratio="f"/>
                                            </v:shape>
                                            <v:shape id="文本框 29" o:spid="_x0000_s1026" o:spt="202" type="#_x0000_t202" style="position:absolute;left:12675;top:7635;height:435;width:1333;" filled="f" stroked="t" coordsize="21600,21600" o:gfxdata="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d+QLsAAADb&#10;AAAADwAAAAAAAAABACAAAAAiAAAAZHJzL2Rvd25yZXYueG1sUEsBAhQAFAAAAAgAh07iQDMvBZ47&#10;AAAAOQAAABAAAAAAAAAAAQAgAAAACgEAAGRycy9zaGFwZXhtbC54bWxQSwUGAAAAAAYABgBbAQAA&#10;tAMAAAAA&#10;">
                                              <v:fill on="f" focussize="0,0"/>
                                              <v:stroke weight="0.5pt" color="#000000 [3204]" joinstyle="round"/>
                                              <v:imagedata o:title=""/>
                                              <o:lock v:ext="edit" aspectratio="f"/>
                                              <v:textbox inset="2mm,0mm,2.54mm,1mm">
                                                <w:txbxContent>
                                                  <w:p w14:paraId="481DB4AD">
                                                    <w:pPr>
                                                      <w:jc w:val="center"/>
                                                      <w:rPr>
                                                        <w:rFonts w:hint="default" w:eastAsiaTheme="minorEastAsia"/>
                                                        <w:lang w:val="en-US" w:eastAsia="zh-CN"/>
                                                      </w:rPr>
                                                    </w:pPr>
                                                    <w:r>
                                                      <w:rPr>
                                                        <w:rFonts w:hint="eastAsia" w:eastAsiaTheme="minorEastAsia"/>
                                                        <w:lang w:val="en-US" w:eastAsia="zh-CN"/>
                                                      </w:rPr>
                                                      <w:t>喷淋洗1</w:t>
                                                    </w:r>
                                                  </w:p>
                                                </w:txbxContent>
                                              </v:textbox>
                                            </v:shape>
                                          </v:group>
                                          <v:shape id="直接箭头连接符 2" o:spid="_x0000_s1026" o:spt="32" type="#_x0000_t32" style="position:absolute;left:6640;top:467711;height:491;width:0;" filled="f" stroked="t" coordsize="21600,21600" o:gfxdata="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UcmL4A&#10;AADb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shape id="文本框 3" o:spid="_x0000_s1026" o:spt="202" type="#_x0000_t202" style="position:absolute;left:6062;top:468233;height:432;width:1153;" filled="f" stroked="t" coordsize="21600,21600" o:gfxdata="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2Bcd&#10;wAAAANs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inset="2.54mm,1mm,2.54mm,1.27mm">
                                              <w:txbxContent>
                                                <w:p w14:paraId="3E837E1E">
                                                  <w:pPr>
                                                    <w:jc w:val="center"/>
                                                    <w:rPr>
                                                      <w:rFonts w:hint="default" w:eastAsiaTheme="minorEastAsia"/>
                                                      <w:lang w:val="en-US" w:eastAsia="zh-CN"/>
                                                    </w:rPr>
                                                  </w:pPr>
                                                  <w:r>
                                                    <w:rPr>
                                                      <w:rFonts w:hint="eastAsia" w:eastAsiaTheme="minorEastAsia"/>
                                                      <w:lang w:val="en-US" w:eastAsia="zh-CN"/>
                                                    </w:rPr>
                                                    <w:t>开平</w:t>
                                                  </w:r>
                                                </w:p>
                                              </w:txbxContent>
                                            </v:textbox>
                                          </v:shape>
                                          <v:shape id="直接箭头连接符 28" o:spid="_x0000_s1026" o:spt="32" type="#_x0000_t32" style="position:absolute;left:6655;top:475048;height:476;width:7;" filled="f" stroked="t" coordsize="21600,21600" o:gfxdata="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1i1xugAAANsA&#10;AAAPAAAAAAAAAAEAIAAAACIAAABkcnMvZG93bnJldi54bWxQSwECFAAUAAAACACHTuJAMy8FnjsA&#10;AAA5AAAAEAAAAAAAAAABACAAAAAJAQAAZHJzL3NoYXBleG1sLnhtbFBLBQYAAAAABgAGAFsBAACz&#10;AwAAAAA=&#10;">
                                            <v:fill on="f" focussize="0,0"/>
                                            <v:stroke weight="1pt" color="#000000" miterlimit="8" joinstyle="miter" endarrow="block"/>
                                            <v:imagedata o:title=""/>
                                            <o:lock v:ext="edit" aspectratio="f"/>
                                          </v:shape>
                                          <v:shape id="文本框 27" o:spid="_x0000_s1026" o:spt="202" type="#_x0000_t202" style="position:absolute;left:5933;top:475527;height:419;width:1333;" filled="f" stroked="t" coordsize="21600,21600" o:gfxdata="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Sw228AAAA&#10;2w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inset="1mm,1mm,2mm,1mm">
                                              <w:txbxContent>
                                                <w:p w14:paraId="15CD5E2C">
                                                  <w:pPr>
                                                    <w:jc w:val="center"/>
                                                    <w:rPr>
                                                      <w:rFonts w:hint="default" w:eastAsiaTheme="minorEastAsia"/>
                                                      <w:lang w:val="en-US" w:eastAsia="zh-CN"/>
                                                    </w:rPr>
                                                  </w:pPr>
                                                  <w:r>
                                                    <w:rPr>
                                                      <w:rFonts w:hint="eastAsia" w:eastAsiaTheme="minorEastAsia"/>
                                                      <w:lang w:val="en-US" w:eastAsia="zh-CN"/>
                                                    </w:rPr>
                                                    <w:t>钝化清洗</w:t>
                                                  </w:r>
                                                </w:p>
                                              </w:txbxContent>
                                            </v:textbox>
                                          </v:shape>
                                          <v:shape id="直接箭头连接符 28" o:spid="_x0000_s1026" o:spt="32" type="#_x0000_t32" style="position:absolute;left:6655;top:475948;height:476;width:7;" filled="f" stroked="t" coordsize="21600,21600" o:gfxdata="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He4q/&#10;AAAA3AAAAA8AAAAAAAAAAQAgAAAAIgAAAGRycy9kb3ducmV2LnhtbFBLAQIUABQAAAAIAIdO4kAz&#10;LwWeOwAAADkAAAAQAAAAAAAAAAEAIAAAAA4BAABkcnMvc2hhcGV4bWwueG1sUEsFBgAAAAAGAAYA&#10;WwEAALgDAAAAAA==&#10;">
                                            <v:fill on="f" focussize="0,0"/>
                                            <v:stroke weight="1pt" color="#000000" miterlimit="8" joinstyle="miter" endarrow="block"/>
                                            <v:imagedata o:title=""/>
                                            <o:lock v:ext="edit" aspectratio="f"/>
                                          </v:shape>
                                          <v:shape id="文本框 27" o:spid="_x0000_s1026" o:spt="202" type="#_x0000_t202" style="position:absolute;left:3869;top:477831;height:419;width:1333;" filled="f" stroked="t" coordsize="21600,21600" o:gfxdata="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EMAUugAAANwA&#10;AAAPAAAAAAAAAAEAIAAAACIAAABkcnMvZG93bnJldi54bWxQSwECFAAUAAAACACHTuJAMy8FnjsA&#10;AAA5AAAAEAAAAAAAAAABACAAAAAJAQAAZHJzL3NoYXBleG1sLnhtbFBLBQYAAAAABgAGAFsBAACz&#10;AwAAAAA=&#10;">
                                            <v:fill on="f" focussize="0,0"/>
                                            <v:stroke weight="0.5pt" color="#000000 [3204]" joinstyle="round"/>
                                            <v:imagedata o:title=""/>
                                            <o:lock v:ext="edit" aspectratio="f"/>
                                            <v:textbox inset="2.54mm,0mm,2.54mm,1mm">
                                              <w:txbxContent>
                                                <w:p w14:paraId="4F79C0DB">
                                                  <w:pPr>
                                                    <w:jc w:val="center"/>
                                                    <w:rPr>
                                                      <w:rFonts w:hint="default" w:eastAsiaTheme="minorEastAsia"/>
                                                      <w:lang w:val="en-US" w:eastAsia="zh-CN"/>
                                                    </w:rPr>
                                                  </w:pPr>
                                                  <w:r>
                                                    <w:rPr>
                                                      <w:rFonts w:hint="eastAsia" w:eastAsiaTheme="minorEastAsia"/>
                                                      <w:lang w:val="en-US" w:eastAsia="zh-CN"/>
                                                    </w:rPr>
                                                    <w:t>喷漆</w:t>
                                                  </w:r>
                                                </w:p>
                                              </w:txbxContent>
                                            </v:textbox>
                                          </v:shape>
                                          <v:line id="直接连接符 41" o:spid="_x0000_s1026" o:spt="20" style="position:absolute;left:4525;top:477323;height:0;width:4535;" filled="f" stroked="t" coordsize="21600,21600" o:gfxdata="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7JEu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shape id="直接箭头连接符 28" o:spid="_x0000_s1026" o:spt="32" type="#_x0000_t32" style="position:absolute;left:4519;top:477316;height:476;width:7;" filled="f" stroked="t" coordsize="21600,21600" o:gfxdata="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YErsAAADc&#10;AAAADwAAAAAAAAABACAAAAAiAAAAZHJzL2Rvd25yZXYueG1sUEsBAhQAFAAAAAgAh07iQDMvBZ47&#10;AAAAOQAAABAAAAAAAAAAAQAgAAAACgEAAGRycy9zaGFwZXhtbC54bWxQSwUGAAAAAAYABgBbAQAA&#10;tAMAAAAA&#10;">
                                            <v:fill on="f" focussize="0,0"/>
                                            <v:stroke weight="1pt" color="#000000" miterlimit="8" joinstyle="miter" endarrow="block"/>
                                            <v:imagedata o:title=""/>
                                            <o:lock v:ext="edit" aspectratio="f"/>
                                          </v:shape>
                                          <v:shape id="直接箭头连接符 28" o:spid="_x0000_s1026" o:spt="32" type="#_x0000_t32" style="position:absolute;left:9067;top:477316;height:476;width:7;" filled="f" stroked="t" coordsize="21600,21600" o:gfxdata="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JGZbsAAADc&#10;AAAADwAAAAAAAAABACAAAAAiAAAAZHJzL2Rvd25yZXYueG1sUEsBAhQAFAAAAAgAh07iQDMvBZ47&#10;AAAAOQAAABAAAAAAAAAAAQAgAAAACgEAAGRycy9zaGFwZXhtbC54bWxQSwUGAAAAAAYABgBbAQAA&#10;tAMAAAAA&#10;">
                                            <v:fill on="f" focussize="0,0"/>
                                            <v:stroke weight="1pt" color="#000000" miterlimit="8" joinstyle="miter" endarrow="block"/>
                                            <v:imagedata o:title=""/>
                                            <o:lock v:ext="edit" aspectratio="f"/>
                                          </v:shape>
                                          <v:shape id="文本框 27" o:spid="_x0000_s1026" o:spt="202" type="#_x0000_t202" style="position:absolute;left:8369;top:477819;height:419;width:1333;" filled="f" stroked="t" coordsize="21600,21600" o:gfxdata="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X9+7sAAADc&#10;AAAADwAAAAAAAAABACAAAAAiAAAAZHJzL2Rvd25yZXYueG1sUEsBAhQAFAAAAAgAh07iQDMvBZ47&#10;AAAAOQAAABAAAAAAAAAAAQAgAAAACgEAAGRycy9zaGFwZXhtbC54bWxQSwUGAAAAAAYABgBbAQAA&#10;tAMAAAAA&#10;">
                                            <v:fill on="f" focussize="0,0"/>
                                            <v:stroke weight="0.5pt" color="#000000 [3204]" joinstyle="round"/>
                                            <v:imagedata o:title=""/>
                                            <o:lock v:ext="edit" aspectratio="f"/>
                                            <v:textbox inset="2.54mm,0mm,2.54mm,1mm">
                                              <w:txbxContent>
                                                <w:p w14:paraId="0085B3F3">
                                                  <w:pPr>
                                                    <w:jc w:val="center"/>
                                                    <w:rPr>
                                                      <w:rFonts w:hint="default" w:eastAsiaTheme="minorEastAsia"/>
                                                      <w:lang w:val="en-US" w:eastAsia="zh-CN"/>
                                                    </w:rPr>
                                                  </w:pPr>
                                                  <w:r>
                                                    <w:rPr>
                                                      <w:rFonts w:hint="eastAsia" w:eastAsiaTheme="minorEastAsia"/>
                                                      <w:lang w:val="en-US" w:eastAsia="zh-CN"/>
                                                    </w:rPr>
                                                    <w:t>喷塑</w:t>
                                                  </w:r>
                                                </w:p>
                                              </w:txbxContent>
                                            </v:textbox>
                                          </v:shape>
                                        </v:group>
                                        <v:shape id="直接箭头连接符 22" o:spid="_x0000_s1026" o:spt="32" type="#_x0000_t32" style="position:absolute;left:7833;top:472127;flip:y;height:7;width:557;" filled="f" stroked="t" coordsize="21600,21600" o:gfxdata="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ei2jvQAA&#10;ANw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文本框 13" o:spid="_x0000_s1026" o:spt="202" type="#_x0000_t202" style="position:absolute;left:7024;top:471887;height:404;width:1247;" filled="f" stroked="f" coordsize="21600,21600" o:gfxdata="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ImxW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2.54mm,0mm,2.54mm,1mm">
                                            <w:txbxContent>
                                              <w:p w14:paraId="7235A624">
                                                <w:pPr>
                                                  <w:jc w:val="center"/>
                                                  <w:rPr>
                                                    <w:rFonts w:hint="default" w:eastAsiaTheme="minorEastAsia"/>
                                                    <w:lang w:val="en-US" w:eastAsia="zh-CN"/>
                                                  </w:rPr>
                                                </w:pPr>
                                                <w:r>
                                                  <w:rPr>
                                                    <w:rFonts w:hint="eastAsia" w:eastAsiaTheme="minorEastAsia"/>
                                                    <w:lang w:val="en-US" w:eastAsia="zh-CN"/>
                                                  </w:rPr>
                                                  <w:t>水</w:t>
                                                </w:r>
                                              </w:p>
                                            </w:txbxContent>
                                          </v:textbox>
                                        </v:shape>
                                        <v:shape id="直接箭头连接符 22" o:spid="_x0000_s1026" o:spt="32" type="#_x0000_t32" style="position:absolute;left:7785;top:473015;flip:y;height:7;width:557;" filled="f" stroked="t" coordsize="21600,21600" o:gfxdata="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bd4vQAA&#10;ANw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文本框 13" o:spid="_x0000_s1026" o:spt="202" type="#_x0000_t202" style="position:absolute;left:6966;top:472760;height:404;width:1247;" filled="f" stroked="f" coordsize="21600,21600" o:gfxdata="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yCU7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1mm,2.54mm,1mm">
                                            <w:txbxContent>
                                              <w:p w14:paraId="25658EEB">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水</w:t>
                                                </w:r>
                                              </w:p>
                                            </w:txbxContent>
                                          </v:textbox>
                                        </v:shape>
                                      </v:group>
                                    </v:group>
                                    <v:shape id="直接箭头连接符 22" o:spid="_x0000_s1026" o:spt="32" type="#_x0000_t32" style="position:absolute;left:7809;top:473969;flip:y;height:7;width:557;" filled="f" stroked="t" coordsize="21600,21600" o:gfxdata="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uMlLsAAADc&#10;AAAADwAAAAAAAAABACAAAAAiAAAAZHJzL2Rvd25yZXYueG1sUEsBAhQAFAAAAAgAh07iQDMvBZ47&#10;AAAAOQAAABAAAAAAAAAAAQAgAAAACgEAAGRycy9zaGFwZXhtbC54bWxQSwUGAAAAAAYABgBbAQAA&#10;tAMAAAAA&#10;">
                                      <v:fill on="f" focussize="0,0"/>
                                      <v:stroke weight="1pt" color="#000000" miterlimit="8" joinstyle="miter" endarrow="block"/>
                                      <v:imagedata o:title=""/>
                                      <o:lock v:ext="edit" aspectratio="f"/>
                                    </v:shape>
                                    <v:shape id="文本框 13" o:spid="_x0000_s1026" o:spt="202" type="#_x0000_t202" style="position:absolute;left:6066;top:473758;height:404;width:1736;" filled="f" stroked="f" coordsize="21600,21600" o:gfxdata="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fSGtL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1mm,1mm">
                                        <w:txbxContent>
                                          <w:p w14:paraId="7E1E62B6">
                                            <w:pPr>
                                              <w:keepNext w:val="0"/>
                                              <w:keepLines w:val="0"/>
                                              <w:pageBreakBefore w:val="0"/>
                                              <w:widowControl w:val="0"/>
                                              <w:kinsoku/>
                                              <w:wordWrap/>
                                              <w:overflowPunct/>
                                              <w:topLinePunct w:val="0"/>
                                              <w:bidi w:val="0"/>
                                              <w:adjustRightInd/>
                                              <w:snapToGrid/>
                                              <w:jc w:val="both"/>
                                              <w:textAlignment w:val="auto"/>
                                              <w:rPr>
                                                <w:rFonts w:hint="default" w:eastAsiaTheme="minorEastAsia"/>
                                                <w:lang w:val="en-US" w:eastAsia="zh-CN"/>
                                              </w:rPr>
                                            </w:pPr>
                                            <w:r>
                                              <w:rPr>
                                                <w:rFonts w:hint="eastAsia" w:eastAsiaTheme="minorEastAsia"/>
                                                <w:lang w:val="en-US" w:eastAsia="zh-CN"/>
                                              </w:rPr>
                                              <w:t>无铬钝化剂、水</w:t>
                                            </w:r>
                                          </w:p>
                                        </w:txbxContent>
                                      </v:textbox>
                                    </v:shape>
                                  </v:group>
                                  <v:shape id="直接箭头连接符 28" o:spid="_x0000_s1026" o:spt="32" type="#_x0000_t32" style="position:absolute;left:8971;top:13953;height:476;width:1;" filled="f" stroked="t" coordsize="21600,21600" o:gfxdata="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l61S8AAAA&#10;3AAAAA8AAAAAAAAAAQAgAAAAIgAAAGRycy9kb3ducmV2LnhtbFBLAQIUABQAAAAIAIdO4kAzLwWe&#10;OwAAADkAAAAQAAAAAAAAAAEAIAAAAAsBAABkcnMvc2hhcGV4bWwueG1sUEsFBgAAAAAGAAYAWwEA&#10;ALUDAAAAAA==&#10;">
                                    <v:fill on="f" focussize="0,0"/>
                                    <v:stroke weight="1pt" color="#000000" miterlimit="8" joinstyle="miter" endarrow="block"/>
                                    <v:imagedata o:title=""/>
                                    <o:lock v:ext="edit" aspectratio="f"/>
                                  </v:shape>
                                  <v:shape id="文本框 27" o:spid="_x0000_s1026" o:spt="202" type="#_x0000_t202" style="position:absolute;left:8309;top:14420;height:419;width:1333;" filled="f" stroked="t" coordsize="21600,21600" o:gfxdata="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DSF7sAAADc&#10;AAAADwAAAAAAAAABACAAAAAiAAAAZHJzL2Rvd25yZXYueG1sUEsBAhQAFAAAAAgAh07iQDMvBZ47&#10;AAAAOQAAABAAAAAAAAAAAQAgAAAACgEAAGRycy9zaGFwZXhtbC54bWxQSwUGAAAAAAYABgBbAQAA&#10;tAMAAAAA&#10;">
                                    <v:fill on="f" focussize="0,0"/>
                                    <v:stroke weight="0.5pt" color="#000000 [3204]" joinstyle="round"/>
                                    <v:imagedata o:title=""/>
                                    <o:lock v:ext="edit" aspectratio="f"/>
                                    <v:textbox inset="2.54mm,0mm,2.54mm,1.27mm">
                                      <w:txbxContent>
                                        <w:p w14:paraId="09C4155E">
                                          <w:pPr>
                                            <w:jc w:val="center"/>
                                            <w:rPr>
                                              <w:rFonts w:hint="default" w:eastAsiaTheme="minorEastAsia"/>
                                              <w:lang w:val="en-US" w:eastAsia="zh-CN"/>
                                            </w:rPr>
                                          </w:pPr>
                                          <w:r>
                                            <w:rPr>
                                              <w:rFonts w:hint="eastAsia" w:eastAsiaTheme="minorEastAsia"/>
                                              <w:lang w:val="en-US" w:eastAsia="zh-CN"/>
                                            </w:rPr>
                                            <w:t>包装</w:t>
                                          </w:r>
                                        </w:p>
                                      </w:txbxContent>
                                    </v:textbox>
                                  </v:shape>
                                </v:group>
                              </v:group>
                              <v:shape id="直接箭头连接符 22" o:spid="_x0000_s1026" o:spt="32" type="#_x0000_t32" style="position:absolute;left:7665;top:10946;flip:y;height:7;width:557;" filled="f" stroked="t" coordsize="21600,21600" o:gfxdata="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CKl7sAAADc&#10;AAAADwAAAAAAAAABACAAAAAiAAAAZHJzL2Rvd25yZXYueG1sUEsBAhQAFAAAAAgAh07iQDMvBZ47&#10;AAAAOQAAABAAAAAAAAAAAQAgAAAACgEAAGRycy9zaGFwZXhtbC54bWxQSwUGAAAAAAYABgBbAQAA&#10;tAMAAAAA&#10;">
                                <v:fill on="f" focussize="0,0"/>
                                <v:stroke weight="1pt" color="#000000" miterlimit="8" joinstyle="miter" endarrow="block"/>
                                <v:imagedata o:title=""/>
                                <o:lock v:ext="edit" aspectratio="f"/>
                              </v:shape>
                              <v:shape id="文本框 13" o:spid="_x0000_s1026" o:spt="202" type="#_x0000_t202" style="position:absolute;left:6737;top:10694;height:442;width:1077;" filled="f" stroked="f" coordsize="21600,21600" o:gfxdata="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6Ay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28F9C533">
                                      <w:pPr>
                                        <w:keepNext w:val="0"/>
                                        <w:keepLines w:val="0"/>
                                        <w:pageBreakBefore w:val="0"/>
                                        <w:widowControl w:val="0"/>
                                        <w:kinsoku/>
                                        <w:wordWrap/>
                                        <w:overflowPunct/>
                                        <w:topLinePunct w:val="0"/>
                                        <w:bidi w:val="0"/>
                                        <w:adjustRightInd/>
                                        <w:snapToGrid/>
                                        <w:jc w:val="center"/>
                                        <w:textAlignment w:val="auto"/>
                                        <w:rPr>
                                          <w:rFonts w:hint="default" w:eastAsiaTheme="minorEastAsia"/>
                                          <w:lang w:val="en-US" w:eastAsia="zh-CN"/>
                                        </w:rPr>
                                      </w:pPr>
                                      <w:r>
                                        <w:rPr>
                                          <w:rFonts w:hint="eastAsia" w:eastAsiaTheme="minorEastAsia"/>
                                          <w:lang w:val="en-US" w:eastAsia="zh-CN"/>
                                        </w:rPr>
                                        <w:t>天然气</w:t>
                                      </w:r>
                                    </w:p>
                                  </w:txbxContent>
                                </v:textbox>
                              </v:shape>
                            </v:group>
                          </v:group>
                        </v:group>
                      </v:group>
                    </v:group>
                  </w:pict>
                </mc:Fallback>
              </mc:AlternateContent>
            </w:r>
          </w:p>
          <w:p w14:paraId="7A697BA2">
            <w:pPr>
              <w:pStyle w:val="14"/>
              <w:rPr>
                <w:rFonts w:ascii="Times New Roman" w:hAnsi="Times New Roman" w:eastAsia="宋体" w:cs="Times New Roman"/>
                <w:b/>
                <w:bCs/>
                <w:color w:val="auto"/>
                <w:sz w:val="24"/>
                <w:szCs w:val="24"/>
                <w:highlight w:val="none"/>
                <w:lang w:eastAsia="zh-CN"/>
              </w:rPr>
            </w:pPr>
          </w:p>
          <w:p w14:paraId="7A82BD2C">
            <w:pPr>
              <w:rPr>
                <w:rFonts w:ascii="Times New Roman" w:hAnsi="Times New Roman" w:eastAsia="宋体" w:cs="Times New Roman"/>
                <w:b/>
                <w:bCs/>
                <w:color w:val="auto"/>
                <w:sz w:val="24"/>
                <w:szCs w:val="24"/>
                <w:highlight w:val="none"/>
                <w:lang w:eastAsia="zh-CN"/>
              </w:rPr>
            </w:pPr>
          </w:p>
          <w:p w14:paraId="07A38EFA">
            <w:pPr>
              <w:pStyle w:val="14"/>
              <w:rPr>
                <w:rFonts w:ascii="Times New Roman" w:hAnsi="Times New Roman" w:eastAsia="宋体" w:cs="Times New Roman"/>
                <w:b/>
                <w:bCs/>
                <w:color w:val="auto"/>
                <w:sz w:val="24"/>
                <w:szCs w:val="24"/>
                <w:highlight w:val="none"/>
                <w:lang w:eastAsia="zh-CN"/>
              </w:rPr>
            </w:pPr>
          </w:p>
          <w:p w14:paraId="75298329">
            <w:pPr>
              <w:rPr>
                <w:rFonts w:ascii="Times New Roman" w:hAnsi="Times New Roman" w:eastAsia="宋体" w:cs="Times New Roman"/>
                <w:b/>
                <w:bCs/>
                <w:color w:val="auto"/>
                <w:sz w:val="24"/>
                <w:szCs w:val="24"/>
                <w:highlight w:val="none"/>
                <w:lang w:eastAsia="zh-CN"/>
              </w:rPr>
            </w:pPr>
          </w:p>
          <w:p w14:paraId="010C168F">
            <w:pPr>
              <w:pStyle w:val="14"/>
              <w:rPr>
                <w:rFonts w:ascii="Times New Roman" w:hAnsi="Times New Roman" w:eastAsia="宋体" w:cs="Times New Roman"/>
                <w:b/>
                <w:bCs/>
                <w:color w:val="auto"/>
                <w:sz w:val="24"/>
                <w:szCs w:val="24"/>
                <w:highlight w:val="none"/>
                <w:lang w:eastAsia="zh-CN"/>
              </w:rPr>
            </w:pPr>
          </w:p>
          <w:p w14:paraId="6A71AAE8">
            <w:pPr>
              <w:rPr>
                <w:rFonts w:ascii="Times New Roman" w:hAnsi="Times New Roman" w:eastAsia="宋体" w:cs="Times New Roman"/>
                <w:b/>
                <w:bCs/>
                <w:color w:val="auto"/>
                <w:sz w:val="24"/>
                <w:szCs w:val="24"/>
                <w:highlight w:val="none"/>
                <w:lang w:eastAsia="zh-CN"/>
              </w:rPr>
            </w:pPr>
          </w:p>
          <w:p w14:paraId="02F7501F">
            <w:pPr>
              <w:pStyle w:val="14"/>
              <w:rPr>
                <w:rFonts w:ascii="Times New Roman" w:hAnsi="Times New Roman" w:eastAsia="宋体" w:cs="Times New Roman"/>
                <w:b/>
                <w:bCs/>
                <w:color w:val="auto"/>
                <w:sz w:val="24"/>
                <w:szCs w:val="24"/>
                <w:highlight w:val="none"/>
                <w:lang w:eastAsia="zh-CN"/>
              </w:rPr>
            </w:pPr>
          </w:p>
          <w:p w14:paraId="194A2799">
            <w:pPr>
              <w:rPr>
                <w:rFonts w:ascii="Times New Roman" w:hAnsi="Times New Roman" w:eastAsia="宋体" w:cs="Times New Roman"/>
                <w:b/>
                <w:bCs/>
                <w:color w:val="auto"/>
                <w:sz w:val="24"/>
                <w:szCs w:val="24"/>
                <w:highlight w:val="none"/>
                <w:lang w:eastAsia="zh-CN"/>
              </w:rPr>
            </w:pPr>
          </w:p>
          <w:p w14:paraId="6C8330F1">
            <w:pPr>
              <w:pStyle w:val="14"/>
              <w:rPr>
                <w:rFonts w:ascii="Times New Roman" w:hAnsi="Times New Roman" w:eastAsia="宋体" w:cs="Times New Roman"/>
                <w:b/>
                <w:bCs/>
                <w:color w:val="auto"/>
                <w:sz w:val="24"/>
                <w:szCs w:val="24"/>
                <w:highlight w:val="none"/>
                <w:lang w:eastAsia="zh-CN"/>
              </w:rPr>
            </w:pPr>
          </w:p>
          <w:p w14:paraId="4300F8C4">
            <w:pPr>
              <w:rPr>
                <w:rFonts w:ascii="Times New Roman" w:hAnsi="Times New Roman" w:eastAsia="宋体" w:cs="Times New Roman"/>
                <w:b/>
                <w:bCs/>
                <w:color w:val="auto"/>
                <w:sz w:val="24"/>
                <w:szCs w:val="24"/>
                <w:highlight w:val="none"/>
                <w:lang w:eastAsia="zh-CN"/>
              </w:rPr>
            </w:pPr>
          </w:p>
          <w:p w14:paraId="695D1B6B">
            <w:pPr>
              <w:pStyle w:val="14"/>
              <w:rPr>
                <w:rFonts w:ascii="Times New Roman" w:hAnsi="Times New Roman" w:eastAsia="宋体" w:cs="Times New Roman"/>
                <w:b/>
                <w:bCs/>
                <w:color w:val="auto"/>
                <w:sz w:val="24"/>
                <w:szCs w:val="24"/>
                <w:highlight w:val="none"/>
                <w:lang w:eastAsia="zh-CN"/>
              </w:rPr>
            </w:pPr>
          </w:p>
          <w:p w14:paraId="3F114828">
            <w:pPr>
              <w:rPr>
                <w:rFonts w:ascii="Times New Roman" w:hAnsi="Times New Roman" w:eastAsia="宋体" w:cs="Times New Roman"/>
                <w:b/>
                <w:bCs/>
                <w:color w:val="auto"/>
                <w:sz w:val="24"/>
                <w:szCs w:val="24"/>
                <w:highlight w:val="none"/>
                <w:lang w:eastAsia="zh-CN"/>
              </w:rPr>
            </w:pPr>
          </w:p>
          <w:p w14:paraId="62199FA1">
            <w:pPr>
              <w:pStyle w:val="14"/>
              <w:rPr>
                <w:rFonts w:ascii="Times New Roman" w:hAnsi="Times New Roman" w:eastAsia="宋体" w:cs="Times New Roman"/>
                <w:b/>
                <w:bCs/>
                <w:color w:val="auto"/>
                <w:sz w:val="24"/>
                <w:szCs w:val="24"/>
                <w:highlight w:val="none"/>
                <w:lang w:eastAsia="zh-CN"/>
              </w:rPr>
            </w:pPr>
          </w:p>
          <w:p w14:paraId="77E4292E">
            <w:pPr>
              <w:rPr>
                <w:rFonts w:ascii="Times New Roman" w:hAnsi="Times New Roman" w:eastAsia="宋体" w:cs="Times New Roman"/>
                <w:b/>
                <w:bCs/>
                <w:color w:val="auto"/>
                <w:sz w:val="24"/>
                <w:szCs w:val="24"/>
                <w:highlight w:val="none"/>
                <w:lang w:eastAsia="zh-CN"/>
              </w:rPr>
            </w:pPr>
          </w:p>
          <w:p w14:paraId="6206149C">
            <w:pPr>
              <w:pStyle w:val="14"/>
              <w:rPr>
                <w:rFonts w:ascii="Times New Roman" w:hAnsi="Times New Roman" w:eastAsia="宋体" w:cs="Times New Roman"/>
                <w:b/>
                <w:bCs/>
                <w:color w:val="auto"/>
                <w:sz w:val="24"/>
                <w:szCs w:val="24"/>
                <w:highlight w:val="none"/>
                <w:lang w:eastAsia="zh-CN"/>
              </w:rPr>
            </w:pPr>
          </w:p>
          <w:p w14:paraId="1A16A3E7">
            <w:pPr>
              <w:rPr>
                <w:rFonts w:ascii="Times New Roman" w:hAnsi="Times New Roman" w:eastAsia="宋体" w:cs="Times New Roman"/>
                <w:b/>
                <w:bCs/>
                <w:color w:val="auto"/>
                <w:sz w:val="24"/>
                <w:szCs w:val="24"/>
                <w:highlight w:val="none"/>
                <w:lang w:eastAsia="zh-CN"/>
              </w:rPr>
            </w:pPr>
          </w:p>
          <w:p w14:paraId="31FBB536">
            <w:pPr>
              <w:pStyle w:val="14"/>
              <w:rPr>
                <w:rFonts w:ascii="Times New Roman" w:hAnsi="Times New Roman" w:eastAsia="宋体" w:cs="Times New Roman"/>
                <w:b/>
                <w:bCs/>
                <w:color w:val="auto"/>
                <w:sz w:val="24"/>
                <w:szCs w:val="24"/>
                <w:highlight w:val="none"/>
                <w:lang w:eastAsia="zh-CN"/>
              </w:rPr>
            </w:pPr>
          </w:p>
          <w:p w14:paraId="254B9C8F">
            <w:pPr>
              <w:rPr>
                <w:rFonts w:ascii="Times New Roman" w:hAnsi="Times New Roman" w:eastAsia="宋体" w:cs="Times New Roman"/>
                <w:b/>
                <w:bCs/>
                <w:color w:val="auto"/>
                <w:sz w:val="24"/>
                <w:szCs w:val="24"/>
                <w:highlight w:val="none"/>
                <w:lang w:eastAsia="zh-CN"/>
              </w:rPr>
            </w:pPr>
          </w:p>
          <w:p w14:paraId="469494EA">
            <w:pPr>
              <w:pStyle w:val="14"/>
              <w:rPr>
                <w:rFonts w:ascii="Times New Roman" w:hAnsi="Times New Roman" w:eastAsia="宋体" w:cs="Times New Roman"/>
                <w:b/>
                <w:bCs/>
                <w:color w:val="auto"/>
                <w:sz w:val="24"/>
                <w:szCs w:val="24"/>
                <w:highlight w:val="none"/>
                <w:lang w:eastAsia="zh-CN"/>
              </w:rPr>
            </w:pPr>
          </w:p>
          <w:p w14:paraId="50C8BE39">
            <w:pPr>
              <w:rPr>
                <w:rFonts w:ascii="Times New Roman" w:hAnsi="Times New Roman" w:eastAsia="宋体" w:cs="Times New Roman"/>
                <w:b/>
                <w:bCs/>
                <w:color w:val="auto"/>
                <w:sz w:val="24"/>
                <w:szCs w:val="24"/>
                <w:highlight w:val="none"/>
                <w:lang w:eastAsia="zh-CN"/>
              </w:rPr>
            </w:pPr>
          </w:p>
          <w:p w14:paraId="547CA6DD">
            <w:pPr>
              <w:pStyle w:val="14"/>
              <w:rPr>
                <w:rFonts w:ascii="Times New Roman" w:hAnsi="Times New Roman" w:eastAsia="宋体" w:cs="Times New Roman"/>
                <w:b/>
                <w:bCs/>
                <w:color w:val="auto"/>
                <w:sz w:val="24"/>
                <w:szCs w:val="24"/>
                <w:highlight w:val="none"/>
                <w:lang w:eastAsia="zh-CN"/>
              </w:rPr>
            </w:pPr>
          </w:p>
          <w:p w14:paraId="1184C541">
            <w:pPr>
              <w:rPr>
                <w:rFonts w:ascii="Times New Roman" w:hAnsi="Times New Roman" w:eastAsia="宋体" w:cs="Times New Roman"/>
                <w:b/>
                <w:bCs/>
                <w:color w:val="auto"/>
                <w:sz w:val="24"/>
                <w:szCs w:val="24"/>
                <w:highlight w:val="none"/>
                <w:lang w:eastAsia="zh-CN"/>
              </w:rPr>
            </w:pPr>
          </w:p>
          <w:p w14:paraId="75EEEED1">
            <w:pPr>
              <w:pStyle w:val="14"/>
              <w:rPr>
                <w:rFonts w:ascii="Times New Roman" w:hAnsi="Times New Roman" w:eastAsia="宋体" w:cs="Times New Roman"/>
                <w:b/>
                <w:bCs/>
                <w:color w:val="auto"/>
                <w:sz w:val="24"/>
                <w:szCs w:val="24"/>
                <w:highlight w:val="none"/>
                <w:lang w:eastAsia="zh-CN"/>
              </w:rPr>
            </w:pPr>
          </w:p>
          <w:p w14:paraId="1950D654">
            <w:pPr>
              <w:rPr>
                <w:rFonts w:ascii="Times New Roman" w:hAnsi="Times New Roman" w:eastAsia="宋体" w:cs="Times New Roman"/>
                <w:b/>
                <w:bCs/>
                <w:color w:val="auto"/>
                <w:sz w:val="24"/>
                <w:szCs w:val="24"/>
                <w:highlight w:val="none"/>
                <w:lang w:eastAsia="zh-CN"/>
              </w:rPr>
            </w:pPr>
          </w:p>
          <w:p w14:paraId="65743993">
            <w:pPr>
              <w:pStyle w:val="14"/>
              <w:rPr>
                <w:rFonts w:ascii="Times New Roman" w:hAnsi="Times New Roman" w:eastAsia="宋体" w:cs="Times New Roman"/>
                <w:b/>
                <w:bCs/>
                <w:color w:val="auto"/>
                <w:sz w:val="24"/>
                <w:szCs w:val="24"/>
                <w:highlight w:val="none"/>
                <w:lang w:eastAsia="zh-CN"/>
              </w:rPr>
            </w:pPr>
          </w:p>
          <w:p w14:paraId="7E48535A">
            <w:pPr>
              <w:rPr>
                <w:rFonts w:ascii="Times New Roman" w:hAnsi="Times New Roman" w:eastAsia="宋体" w:cs="Times New Roman"/>
                <w:b/>
                <w:bCs/>
                <w:color w:val="auto"/>
                <w:sz w:val="24"/>
                <w:szCs w:val="24"/>
                <w:highlight w:val="none"/>
                <w:lang w:eastAsia="zh-CN"/>
              </w:rPr>
            </w:pPr>
          </w:p>
          <w:p w14:paraId="1057FF6D">
            <w:pPr>
              <w:pStyle w:val="14"/>
              <w:rPr>
                <w:rFonts w:ascii="Times New Roman" w:hAnsi="Times New Roman" w:eastAsia="宋体" w:cs="Times New Roman"/>
                <w:b/>
                <w:bCs/>
                <w:color w:val="auto"/>
                <w:sz w:val="24"/>
                <w:szCs w:val="24"/>
                <w:highlight w:val="none"/>
                <w:lang w:eastAsia="zh-CN"/>
              </w:rPr>
            </w:pPr>
          </w:p>
          <w:p w14:paraId="69DDFA5E">
            <w:pPr>
              <w:rPr>
                <w:rFonts w:ascii="Times New Roman" w:hAnsi="Times New Roman" w:eastAsia="宋体" w:cs="Times New Roman"/>
                <w:b/>
                <w:bCs/>
                <w:color w:val="auto"/>
                <w:sz w:val="24"/>
                <w:szCs w:val="24"/>
                <w:highlight w:val="none"/>
                <w:lang w:eastAsia="zh-CN"/>
              </w:rPr>
            </w:pPr>
          </w:p>
          <w:p w14:paraId="4DA60121">
            <w:pPr>
              <w:pStyle w:val="14"/>
              <w:rPr>
                <w:rFonts w:ascii="Times New Roman" w:hAnsi="Times New Roman" w:eastAsia="宋体" w:cs="Times New Roman"/>
                <w:b/>
                <w:bCs/>
                <w:color w:val="auto"/>
                <w:sz w:val="24"/>
                <w:szCs w:val="24"/>
                <w:highlight w:val="none"/>
                <w:lang w:eastAsia="zh-CN"/>
              </w:rPr>
            </w:pPr>
          </w:p>
          <w:p w14:paraId="52B5494F">
            <w:pPr>
              <w:rPr>
                <w:rFonts w:ascii="Times New Roman" w:hAnsi="Times New Roman" w:eastAsia="宋体" w:cs="Times New Roman"/>
                <w:b/>
                <w:bCs/>
                <w:color w:val="auto"/>
                <w:sz w:val="24"/>
                <w:szCs w:val="24"/>
                <w:highlight w:val="none"/>
                <w:lang w:eastAsia="zh-CN"/>
              </w:rPr>
            </w:pPr>
          </w:p>
          <w:p w14:paraId="7D77F5DF">
            <w:pPr>
              <w:pStyle w:val="14"/>
              <w:rPr>
                <w:rFonts w:ascii="Times New Roman" w:hAnsi="Times New Roman" w:eastAsia="宋体" w:cs="Times New Roman"/>
                <w:b/>
                <w:bCs/>
                <w:color w:val="auto"/>
                <w:sz w:val="24"/>
                <w:szCs w:val="24"/>
                <w:highlight w:val="none"/>
                <w:lang w:eastAsia="zh-CN"/>
              </w:rPr>
            </w:pPr>
          </w:p>
          <w:p w14:paraId="064EC70F">
            <w:pPr>
              <w:pStyle w:val="14"/>
              <w:ind w:left="0" w:leftChars="0" w:firstLine="0" w:firstLineChars="0"/>
              <w:rPr>
                <w:rFonts w:ascii="Times New Roman" w:hAnsi="Times New Roman" w:eastAsia="宋体" w:cs="Times New Roman"/>
                <w:b/>
                <w:bCs/>
                <w:color w:val="auto"/>
                <w:sz w:val="24"/>
                <w:szCs w:val="24"/>
                <w:highlight w:val="none"/>
                <w:lang w:eastAsia="zh-CN"/>
              </w:rPr>
            </w:pPr>
          </w:p>
          <w:p w14:paraId="2CC10685">
            <w:pPr>
              <w:kinsoku/>
              <w:spacing w:line="360" w:lineRule="auto"/>
              <w:jc w:val="center"/>
              <w:rPr>
                <w:rFonts w:hint="eastAsia" w:cs="Times New Roman"/>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图2-</w:t>
            </w:r>
            <w:r>
              <w:rPr>
                <w:rFonts w:hint="eastAsia" w:ascii="Times New Roman" w:hAnsi="Times New Roman" w:eastAsia="宋体" w:cs="Times New Roman"/>
                <w:b/>
                <w:bCs/>
                <w:color w:val="auto"/>
                <w:sz w:val="24"/>
                <w:szCs w:val="24"/>
                <w:highlight w:val="none"/>
                <w:lang w:eastAsia="zh-CN"/>
              </w:rPr>
              <w:t xml:space="preserve">3 </w:t>
            </w:r>
            <w:r>
              <w:rPr>
                <w:rFonts w:ascii="Times New Roman" w:hAnsi="Times New Roman" w:eastAsia="宋体" w:cs="Times New Roman"/>
                <w:b/>
                <w:bCs/>
                <w:color w:val="auto"/>
                <w:sz w:val="24"/>
                <w:szCs w:val="24"/>
                <w:highlight w:val="none"/>
                <w:lang w:eastAsia="zh-CN"/>
              </w:rPr>
              <w:t>生产工艺流程及产污节点图</w:t>
            </w:r>
            <w:bookmarkStart w:id="5" w:name="_Toc28017"/>
          </w:p>
          <w:p w14:paraId="7EE5C818">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ascii="Times New Roman" w:hAnsi="Times New Roman" w:eastAsia="宋体" w:cs="Times New Roman"/>
                <w:color w:val="auto"/>
                <w:sz w:val="24"/>
                <w:szCs w:val="24"/>
                <w:highlight w:val="none"/>
                <w:lang w:eastAsia="zh-CN"/>
              </w:rPr>
              <w:t>工艺流程简述：</w:t>
            </w:r>
          </w:p>
          <w:p w14:paraId="5D60B753">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eastAsia="zh-CN"/>
              </w:rPr>
            </w:pPr>
            <w:r>
              <w:rPr>
                <w:rFonts w:hint="eastAsia" w:ascii="Times New Roman" w:hAnsi="Times New Roman" w:eastAsia="宋体" w:cs="Times New Roman"/>
                <w:b w:val="0"/>
                <w:bCs/>
                <w:color w:val="auto"/>
                <w:kern w:val="2"/>
                <w:sz w:val="24"/>
                <w:szCs w:val="24"/>
                <w:highlight w:val="none"/>
                <w:lang w:val="en-US" w:eastAsia="zh-CN" w:bidi="ar-SA"/>
              </w:rPr>
              <w:t>①</w:t>
            </w:r>
            <w:r>
              <w:rPr>
                <w:rFonts w:hint="eastAsia" w:ascii="Times New Roman" w:hAnsi="Times New Roman" w:cs="Times New Roman"/>
                <w:b w:val="0"/>
                <w:bCs/>
                <w:color w:val="auto"/>
                <w:kern w:val="2"/>
                <w:sz w:val="24"/>
                <w:szCs w:val="24"/>
                <w:highlight w:val="none"/>
                <w:lang w:val="en-US" w:eastAsia="zh-CN" w:bidi="ar-SA"/>
              </w:rPr>
              <w:t>开平、</w:t>
            </w:r>
            <w:r>
              <w:rPr>
                <w:rFonts w:hint="default" w:ascii="Times New Roman" w:hAnsi="Times New Roman" w:cs="Times New Roman"/>
                <w:b w:val="0"/>
                <w:bCs/>
                <w:color w:val="auto"/>
                <w:highlight w:val="none"/>
                <w:lang w:eastAsia="zh-CN"/>
              </w:rPr>
              <w:t>切割下料：外购的</w:t>
            </w:r>
            <w:r>
              <w:rPr>
                <w:rFonts w:hint="default" w:ascii="Times New Roman" w:hAnsi="Times New Roman" w:cs="Times New Roman"/>
                <w:b w:val="0"/>
                <w:bCs/>
                <w:color w:val="auto"/>
                <w:highlight w:val="none"/>
                <w:lang w:val="en-US" w:eastAsia="zh-CN"/>
              </w:rPr>
              <w:t>铝</w:t>
            </w:r>
            <w:r>
              <w:rPr>
                <w:rFonts w:hint="default" w:ascii="Times New Roman" w:hAnsi="Times New Roman" w:cs="Times New Roman"/>
                <w:b w:val="0"/>
                <w:bCs/>
                <w:color w:val="auto"/>
                <w:highlight w:val="none"/>
                <w:lang w:eastAsia="zh-CN"/>
              </w:rPr>
              <w:t>板</w:t>
            </w:r>
            <w:r>
              <w:rPr>
                <w:rFonts w:hint="eastAsia" w:ascii="Times New Roman" w:hAnsi="Times New Roman" w:cs="Times New Roman"/>
                <w:b w:val="0"/>
                <w:bCs/>
                <w:color w:val="auto"/>
                <w:highlight w:val="none"/>
                <w:lang w:val="en-US" w:eastAsia="zh-CN"/>
              </w:rPr>
              <w:t>/卷、铝型材</w:t>
            </w:r>
            <w:r>
              <w:rPr>
                <w:rFonts w:hint="default" w:ascii="Times New Roman" w:hAnsi="Times New Roman" w:cs="Times New Roman"/>
                <w:b w:val="0"/>
                <w:bCs/>
                <w:color w:val="auto"/>
                <w:highlight w:val="none"/>
                <w:lang w:eastAsia="zh-CN"/>
              </w:rPr>
              <w:t>等原料入厂，</w:t>
            </w:r>
            <w:r>
              <w:rPr>
                <w:rFonts w:hint="eastAsia" w:ascii="Times New Roman" w:hAnsi="Times New Roman" w:cs="Times New Roman"/>
                <w:b w:val="0"/>
                <w:bCs/>
                <w:color w:val="auto"/>
                <w:highlight w:val="none"/>
                <w:lang w:val="en-US" w:eastAsia="zh-CN"/>
              </w:rPr>
              <w:t>先经过开平机对原材料进行矫正，使其更加平整，之后再</w:t>
            </w:r>
            <w:r>
              <w:rPr>
                <w:rFonts w:hint="default" w:ascii="Times New Roman" w:hAnsi="Times New Roman" w:cs="Times New Roman"/>
                <w:b w:val="0"/>
                <w:bCs/>
                <w:color w:val="auto"/>
                <w:highlight w:val="none"/>
                <w:lang w:eastAsia="zh-CN"/>
              </w:rPr>
              <w:t>根据设计图纸，采用</w:t>
            </w:r>
            <w:r>
              <w:rPr>
                <w:rFonts w:hint="default" w:ascii="Times New Roman" w:hAnsi="Times New Roman" w:cs="Times New Roman"/>
                <w:b w:val="0"/>
                <w:bCs/>
                <w:color w:val="auto"/>
                <w:highlight w:val="none"/>
                <w:lang w:val="en-US" w:eastAsia="zh-CN"/>
              </w:rPr>
              <w:t>雕刻机、激光</w:t>
            </w:r>
            <w:r>
              <w:rPr>
                <w:rFonts w:hint="default" w:ascii="Times New Roman" w:hAnsi="Times New Roman" w:cs="Times New Roman"/>
                <w:b w:val="0"/>
                <w:bCs/>
                <w:color w:val="auto"/>
                <w:highlight w:val="none"/>
                <w:lang w:eastAsia="zh-CN"/>
              </w:rPr>
              <w:t>切割机</w:t>
            </w:r>
            <w:r>
              <w:rPr>
                <w:rFonts w:hint="default" w:ascii="Times New Roman" w:hAnsi="Times New Roman" w:cs="Times New Roman"/>
                <w:b w:val="0"/>
                <w:bCs/>
                <w:color w:val="auto"/>
                <w:highlight w:val="none"/>
                <w:lang w:val="en-US" w:eastAsia="zh-CN"/>
              </w:rPr>
              <w:t>等设备</w:t>
            </w:r>
            <w:r>
              <w:rPr>
                <w:rFonts w:hint="default" w:ascii="Times New Roman" w:hAnsi="Times New Roman" w:cs="Times New Roman"/>
                <w:b w:val="0"/>
                <w:bCs/>
                <w:color w:val="auto"/>
                <w:highlight w:val="none"/>
                <w:lang w:eastAsia="zh-CN"/>
              </w:rPr>
              <w:t>将金属材料切割成需要的规格。该过程中有少量金属边角料产生。</w:t>
            </w:r>
          </w:p>
          <w:p w14:paraId="503A40EC">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eastAsia="zh-CN"/>
              </w:rPr>
            </w:pPr>
            <w:r>
              <w:rPr>
                <w:rFonts w:hint="default" w:ascii="Times New Roman" w:hAnsi="Times New Roman" w:cs="Times New Roman"/>
                <w:b w:val="0"/>
                <w:bCs/>
                <w:color w:val="auto"/>
                <w:highlight w:val="none"/>
                <w:lang w:eastAsia="zh-CN"/>
              </w:rPr>
              <w:t>该工序产生的污染物主要为切割烟尘G</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1、金属边角料S</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1和设备运行噪声N</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1。</w:t>
            </w:r>
          </w:p>
          <w:p w14:paraId="7951DABA">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eastAsia="zh-CN"/>
              </w:rPr>
            </w:pPr>
            <w:r>
              <w:rPr>
                <w:rFonts w:hint="eastAsia" w:ascii="Times New Roman" w:hAnsi="Times New Roman" w:eastAsia="宋体" w:cs="Times New Roman"/>
                <w:b w:val="0"/>
                <w:bCs/>
                <w:color w:val="auto"/>
                <w:kern w:val="2"/>
                <w:sz w:val="24"/>
                <w:szCs w:val="24"/>
                <w:highlight w:val="none"/>
                <w:lang w:val="en-US" w:eastAsia="zh-CN" w:bidi="ar-SA"/>
              </w:rPr>
              <w:t>②</w:t>
            </w:r>
            <w:r>
              <w:rPr>
                <w:rFonts w:hint="eastAsia" w:ascii="Times New Roman" w:hAnsi="Times New Roman" w:cs="Times New Roman"/>
                <w:b w:val="0"/>
                <w:bCs/>
                <w:color w:val="auto"/>
                <w:kern w:val="2"/>
                <w:sz w:val="24"/>
                <w:szCs w:val="24"/>
                <w:highlight w:val="none"/>
                <w:lang w:val="en-US" w:eastAsia="zh-CN" w:bidi="ar-SA"/>
              </w:rPr>
              <w:t>钣金加工</w:t>
            </w:r>
            <w:r>
              <w:rPr>
                <w:rFonts w:hint="default" w:ascii="Times New Roman" w:hAnsi="Times New Roman" w:cs="Times New Roman"/>
                <w:b w:val="0"/>
                <w:bCs/>
                <w:color w:val="auto"/>
                <w:highlight w:val="none"/>
                <w:lang w:eastAsia="zh-CN"/>
              </w:rPr>
              <w:t>：采用</w:t>
            </w:r>
            <w:r>
              <w:rPr>
                <w:rFonts w:hint="default" w:ascii="Times New Roman" w:hAnsi="Times New Roman" w:cs="Times New Roman"/>
                <w:b w:val="0"/>
                <w:bCs/>
                <w:color w:val="auto"/>
                <w:highlight w:val="none"/>
                <w:lang w:val="en-US" w:eastAsia="zh-CN"/>
              </w:rPr>
              <w:t>折弯机、滚边机</w:t>
            </w:r>
            <w:r>
              <w:rPr>
                <w:rFonts w:hint="default" w:ascii="Times New Roman" w:hAnsi="Times New Roman" w:cs="Times New Roman"/>
                <w:b w:val="0"/>
                <w:bCs/>
                <w:color w:val="auto"/>
                <w:highlight w:val="none"/>
                <w:lang w:eastAsia="zh-CN"/>
              </w:rPr>
              <w:t>等机加工设备，</w:t>
            </w:r>
            <w:r>
              <w:rPr>
                <w:rFonts w:hint="eastAsia" w:ascii="Times New Roman" w:hAnsi="Times New Roman" w:cs="Times New Roman"/>
                <w:b w:val="0"/>
                <w:bCs/>
                <w:color w:val="auto"/>
                <w:highlight w:val="none"/>
                <w:lang w:val="en-US" w:eastAsia="zh-CN"/>
              </w:rPr>
              <w:t>根据图纸设计要求对铝型材折边、塑型处理，得到需要的形状</w:t>
            </w:r>
            <w:r>
              <w:rPr>
                <w:rFonts w:hint="default" w:ascii="Times New Roman" w:hAnsi="Times New Roman" w:cs="Times New Roman"/>
                <w:b w:val="0"/>
                <w:bCs/>
                <w:color w:val="auto"/>
                <w:highlight w:val="none"/>
                <w:lang w:eastAsia="zh-CN"/>
              </w:rPr>
              <w:t>。</w:t>
            </w:r>
          </w:p>
          <w:p w14:paraId="65D96F7B">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eastAsia="zh-CN"/>
              </w:rPr>
            </w:pPr>
            <w:r>
              <w:rPr>
                <w:rFonts w:hint="default" w:ascii="Times New Roman" w:hAnsi="Times New Roman" w:cs="Times New Roman"/>
                <w:b w:val="0"/>
                <w:bCs/>
                <w:color w:val="auto"/>
                <w:highlight w:val="none"/>
                <w:lang w:eastAsia="zh-CN"/>
              </w:rPr>
              <w:t>该工序产生的污染物主要为金属边角料S</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2和设备运行噪声N</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2。</w:t>
            </w:r>
          </w:p>
          <w:p w14:paraId="6F407DF7">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③</w:t>
            </w:r>
            <w:r>
              <w:rPr>
                <w:rFonts w:hint="default" w:ascii="Times New Roman" w:hAnsi="Times New Roman" w:cs="Times New Roman"/>
                <w:b w:val="0"/>
                <w:bCs/>
                <w:color w:val="auto"/>
                <w:highlight w:val="none"/>
                <w:lang w:eastAsia="zh-CN"/>
              </w:rPr>
              <w:t>焊接：</w:t>
            </w:r>
            <w:r>
              <w:rPr>
                <w:rFonts w:hint="eastAsia" w:ascii="Times New Roman" w:hAnsi="Times New Roman" w:cs="Times New Roman"/>
                <w:b w:val="0"/>
                <w:bCs/>
                <w:color w:val="auto"/>
                <w:highlight w:val="none"/>
                <w:lang w:val="en-US" w:eastAsia="zh-CN"/>
              </w:rPr>
              <w:t>项目设置5个固定焊接工位，</w:t>
            </w:r>
            <w:r>
              <w:rPr>
                <w:rFonts w:hint="default" w:ascii="Times New Roman" w:hAnsi="Times New Roman" w:cs="Times New Roman"/>
                <w:b w:val="0"/>
                <w:bCs/>
                <w:color w:val="auto"/>
                <w:highlight w:val="none"/>
                <w:lang w:eastAsia="zh-CN"/>
              </w:rPr>
              <w:t>根据设计图纸，通过电焊机将</w:t>
            </w:r>
            <w:r>
              <w:rPr>
                <w:rFonts w:hint="eastAsia" w:ascii="Times New Roman" w:hAnsi="Times New Roman" w:cs="Times New Roman"/>
                <w:b w:val="0"/>
                <w:bCs/>
                <w:color w:val="auto"/>
                <w:highlight w:val="none"/>
                <w:lang w:val="en-US" w:eastAsia="zh-CN"/>
              </w:rPr>
              <w:t>制作好的铝材</w:t>
            </w:r>
            <w:r>
              <w:rPr>
                <w:rFonts w:hint="default" w:ascii="Times New Roman" w:hAnsi="Times New Roman" w:cs="Times New Roman"/>
                <w:b w:val="0"/>
                <w:bCs/>
                <w:color w:val="auto"/>
                <w:highlight w:val="none"/>
                <w:lang w:eastAsia="zh-CN"/>
              </w:rPr>
              <w:t>部件</w:t>
            </w:r>
            <w:r>
              <w:rPr>
                <w:rFonts w:hint="eastAsia" w:ascii="Times New Roman" w:hAnsi="Times New Roman" w:cs="Times New Roman"/>
                <w:b w:val="0"/>
                <w:bCs/>
                <w:color w:val="auto"/>
                <w:highlight w:val="none"/>
                <w:lang w:val="en-US" w:eastAsia="zh-CN"/>
              </w:rPr>
              <w:t>与挂钩焊接成型。挂钩处不进行喷涂。</w:t>
            </w:r>
          </w:p>
          <w:p w14:paraId="6196A20A">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eastAsia="zh-CN"/>
              </w:rPr>
            </w:pPr>
            <w:r>
              <w:rPr>
                <w:rFonts w:hint="default" w:ascii="Times New Roman" w:hAnsi="Times New Roman" w:cs="Times New Roman"/>
                <w:b w:val="0"/>
                <w:bCs/>
                <w:color w:val="auto"/>
                <w:highlight w:val="none"/>
                <w:lang w:eastAsia="zh-CN"/>
              </w:rPr>
              <w:t>该工序产生的污染物为焊接烟尘G</w:t>
            </w:r>
            <w:r>
              <w:rPr>
                <w:rFonts w:hint="default" w:ascii="Times New Roman" w:hAnsi="Times New Roman" w:cs="Times New Roman"/>
                <w:b w:val="0"/>
                <w:bCs/>
                <w:color w:val="auto"/>
                <w:highlight w:val="none"/>
                <w:lang w:val="en-US" w:eastAsia="zh-CN"/>
              </w:rPr>
              <w:t>1-2</w:t>
            </w:r>
            <w:r>
              <w:rPr>
                <w:rFonts w:hint="default" w:ascii="Times New Roman" w:hAnsi="Times New Roman" w:cs="Times New Roman"/>
                <w:b w:val="0"/>
                <w:bCs/>
                <w:color w:val="auto"/>
                <w:highlight w:val="none"/>
                <w:lang w:eastAsia="zh-CN"/>
              </w:rPr>
              <w:t>、焊渣S</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3和设备噪声N</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3。</w:t>
            </w:r>
          </w:p>
          <w:p w14:paraId="35400475">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④</w:t>
            </w:r>
            <w:r>
              <w:rPr>
                <w:rFonts w:hint="default" w:ascii="Times New Roman" w:hAnsi="Times New Roman" w:cs="Times New Roman"/>
                <w:b w:val="0"/>
                <w:bCs/>
                <w:color w:val="auto"/>
                <w:highlight w:val="none"/>
                <w:lang w:val="en-US" w:eastAsia="zh-CN"/>
              </w:rPr>
              <w:t>打磨</w:t>
            </w:r>
            <w:r>
              <w:rPr>
                <w:rFonts w:hint="eastAsia" w:ascii="Times New Roman" w:hAnsi="Times New Roman" w:cs="Times New Roman"/>
                <w:b w:val="0"/>
                <w:bCs/>
                <w:color w:val="auto"/>
                <w:highlight w:val="none"/>
                <w:lang w:val="en-US" w:eastAsia="zh-CN"/>
              </w:rPr>
              <w:t>抛光</w:t>
            </w:r>
            <w:r>
              <w:rPr>
                <w:rFonts w:hint="default" w:ascii="Times New Roman" w:hAnsi="Times New Roman" w:cs="Times New Roman"/>
                <w:b w:val="0"/>
                <w:bCs/>
                <w:color w:val="auto"/>
                <w:highlight w:val="none"/>
                <w:lang w:eastAsia="zh-CN"/>
              </w:rPr>
              <w:t>：</w:t>
            </w:r>
            <w:r>
              <w:rPr>
                <w:rFonts w:hint="eastAsia" w:ascii="Times New Roman" w:hAnsi="Times New Roman" w:cs="Times New Roman"/>
                <w:b w:val="0"/>
                <w:bCs/>
                <w:color w:val="auto"/>
                <w:highlight w:val="none"/>
                <w:lang w:val="en-US" w:eastAsia="zh-CN"/>
              </w:rPr>
              <w:t>项目打磨为定点打磨抛光，</w:t>
            </w:r>
            <w:r>
              <w:rPr>
                <w:rFonts w:hint="default" w:ascii="Times New Roman" w:hAnsi="Times New Roman" w:cs="Times New Roman"/>
                <w:b w:val="0"/>
                <w:bCs/>
                <w:color w:val="auto"/>
                <w:highlight w:val="none"/>
                <w:lang w:eastAsia="zh-CN"/>
              </w:rPr>
              <w:t>焊接后的工件</w:t>
            </w:r>
            <w:r>
              <w:rPr>
                <w:rFonts w:hint="eastAsia" w:ascii="Times New Roman" w:hAnsi="Times New Roman" w:cs="Times New Roman"/>
                <w:b w:val="0"/>
                <w:bCs/>
                <w:color w:val="auto"/>
                <w:highlight w:val="none"/>
                <w:lang w:val="en-US" w:eastAsia="zh-CN"/>
              </w:rPr>
              <w:t>在焊接工位上</w:t>
            </w:r>
            <w:r>
              <w:rPr>
                <w:rFonts w:hint="default" w:ascii="Times New Roman" w:hAnsi="Times New Roman" w:cs="Times New Roman"/>
                <w:b w:val="0"/>
                <w:bCs/>
                <w:color w:val="auto"/>
                <w:highlight w:val="none"/>
                <w:lang w:eastAsia="zh-CN"/>
              </w:rPr>
              <w:t>通过</w:t>
            </w:r>
            <w:r>
              <w:rPr>
                <w:rFonts w:hint="eastAsia" w:ascii="Times New Roman" w:hAnsi="Times New Roman" w:cs="Times New Roman"/>
                <w:b w:val="0"/>
                <w:bCs/>
                <w:color w:val="auto"/>
                <w:highlight w:val="none"/>
                <w:lang w:val="en-US" w:eastAsia="zh-CN"/>
              </w:rPr>
              <w:t>角磨机</w:t>
            </w:r>
            <w:r>
              <w:rPr>
                <w:rFonts w:hint="default" w:ascii="Times New Roman" w:hAnsi="Times New Roman" w:cs="Times New Roman"/>
                <w:b w:val="0"/>
                <w:bCs/>
                <w:color w:val="auto"/>
                <w:highlight w:val="none"/>
                <w:lang w:val="en-US" w:eastAsia="zh-CN"/>
              </w:rPr>
              <w:t>对工件进行表面处理</w:t>
            </w:r>
            <w:r>
              <w:rPr>
                <w:rFonts w:hint="eastAsia" w:ascii="Times New Roman" w:hAnsi="Times New Roman" w:cs="Times New Roman"/>
                <w:b w:val="0"/>
                <w:bCs/>
                <w:color w:val="auto"/>
                <w:highlight w:val="none"/>
                <w:lang w:val="en-US" w:eastAsia="zh-CN"/>
              </w:rPr>
              <w:t>，使其铝材光滑平整。</w:t>
            </w:r>
          </w:p>
          <w:p w14:paraId="6AD34A19">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eastAsia="zh-CN"/>
              </w:rPr>
            </w:pPr>
            <w:r>
              <w:rPr>
                <w:rFonts w:hint="eastAsia" w:ascii="Times New Roman" w:hAnsi="Times New Roman" w:cs="Times New Roman"/>
                <w:b w:val="0"/>
                <w:bCs/>
                <w:color w:val="auto"/>
                <w:highlight w:val="none"/>
                <w:lang w:val="en-US" w:eastAsia="zh-CN"/>
              </w:rPr>
              <w:t>该工序产生的主要污染物为打磨粉尘</w:t>
            </w:r>
            <w:r>
              <w:rPr>
                <w:rFonts w:hint="default" w:ascii="Times New Roman" w:hAnsi="Times New Roman" w:cs="Times New Roman"/>
                <w:b w:val="0"/>
                <w:bCs/>
                <w:color w:val="auto"/>
                <w:highlight w:val="none"/>
                <w:lang w:eastAsia="zh-CN"/>
              </w:rPr>
              <w:t>G</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3和噪声N</w:t>
            </w:r>
            <w:r>
              <w:rPr>
                <w:rFonts w:hint="default" w:ascii="Times New Roman" w:hAnsi="Times New Roman" w:cs="Times New Roman"/>
                <w:b w:val="0"/>
                <w:bCs/>
                <w:color w:val="auto"/>
                <w:highlight w:val="none"/>
                <w:lang w:val="en-US" w:eastAsia="zh-CN"/>
              </w:rPr>
              <w:t>1-</w:t>
            </w:r>
            <w:r>
              <w:rPr>
                <w:rFonts w:hint="default" w:ascii="Times New Roman" w:hAnsi="Times New Roman" w:cs="Times New Roman"/>
                <w:b w:val="0"/>
                <w:bCs/>
                <w:color w:val="auto"/>
                <w:highlight w:val="none"/>
                <w:lang w:eastAsia="zh-CN"/>
              </w:rPr>
              <w:t>4。</w:t>
            </w:r>
          </w:p>
          <w:p w14:paraId="19C5A802">
            <w:pPr>
              <w:pStyle w:val="59"/>
              <w:keepNext w:val="0"/>
              <w:keepLines w:val="0"/>
              <w:pageBreakBefore w:val="0"/>
              <w:widowControl w:val="0"/>
              <w:numPr>
                <w:ilvl w:val="0"/>
                <w:numId w:val="0"/>
              </w:numPr>
              <w:kinsoku/>
              <w:wordWrap/>
              <w:overflowPunct/>
              <w:topLinePunct w:val="0"/>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⑤</w:t>
            </w:r>
            <w:r>
              <w:rPr>
                <w:rFonts w:hint="default" w:ascii="Times New Roman" w:hAnsi="Times New Roman" w:eastAsia="宋体" w:cs="Times New Roman"/>
                <w:b w:val="0"/>
                <w:bCs/>
                <w:color w:val="auto"/>
                <w:kern w:val="2"/>
                <w:sz w:val="24"/>
                <w:szCs w:val="24"/>
                <w:highlight w:val="none"/>
                <w:lang w:val="en-US" w:eastAsia="zh-CN" w:bidi="ar-SA"/>
              </w:rPr>
              <w:t>脱脂清洗：</w:t>
            </w:r>
            <w:r>
              <w:rPr>
                <w:rFonts w:hint="eastAsia" w:ascii="Times New Roman" w:cs="Times New Roman"/>
                <w:b w:val="0"/>
                <w:bCs/>
                <w:color w:val="auto"/>
                <w:kern w:val="2"/>
                <w:sz w:val="24"/>
                <w:szCs w:val="24"/>
                <w:highlight w:val="none"/>
                <w:lang w:val="en-US" w:eastAsia="zh-CN" w:bidi="ar-SA"/>
              </w:rPr>
              <w:t>经打磨、抛光之后</w:t>
            </w:r>
            <w:r>
              <w:rPr>
                <w:rFonts w:hint="default" w:ascii="Times New Roman" w:hAnsi="Times New Roman" w:eastAsia="宋体" w:cs="Times New Roman"/>
                <w:b w:val="0"/>
                <w:bCs/>
                <w:color w:val="auto"/>
                <w:kern w:val="2"/>
                <w:sz w:val="24"/>
                <w:szCs w:val="24"/>
                <w:highlight w:val="none"/>
                <w:lang w:val="en-US" w:eastAsia="zh-CN" w:bidi="ar-SA"/>
              </w:rPr>
              <w:t>的工件采用碱性脱脂剂进行喷淋脱脂清洗，定期补充损耗，脱脂清洗槽废水经</w:t>
            </w:r>
            <w:r>
              <w:rPr>
                <w:rFonts w:hint="eastAsia" w:ascii="Times New Roman" w:hAnsi="Times New Roman" w:eastAsia="宋体" w:cs="Times New Roman"/>
                <w:b w:val="0"/>
                <w:bCs/>
                <w:color w:val="auto"/>
                <w:kern w:val="2"/>
                <w:sz w:val="24"/>
                <w:szCs w:val="24"/>
                <w:highlight w:val="none"/>
                <w:lang w:val="en-US" w:eastAsia="zh-CN" w:bidi="ar-SA"/>
              </w:rPr>
              <w:t>隔油+气浮+混凝沉淀+A/O+沉淀处理</w:t>
            </w:r>
            <w:r>
              <w:rPr>
                <w:rFonts w:hint="default" w:ascii="Times New Roman" w:hAnsi="Times New Roman" w:eastAsia="宋体" w:cs="Times New Roman"/>
                <w:b w:val="0"/>
                <w:bCs/>
                <w:color w:val="auto"/>
                <w:kern w:val="2"/>
                <w:sz w:val="24"/>
                <w:szCs w:val="24"/>
                <w:highlight w:val="none"/>
                <w:lang w:val="en-US" w:eastAsia="zh-CN" w:bidi="ar-SA"/>
              </w:rPr>
              <w:t>后，回</w:t>
            </w:r>
            <w:r>
              <w:rPr>
                <w:rFonts w:hint="default" w:ascii="Times New Roman" w:hAnsi="Times New Roman" w:cs="Times New Roman"/>
                <w:b w:val="0"/>
                <w:bCs/>
                <w:color w:val="auto"/>
                <w:kern w:val="2"/>
                <w:sz w:val="24"/>
                <w:szCs w:val="24"/>
                <w:highlight w:val="none"/>
                <w:lang w:val="en-US" w:eastAsia="zh-CN" w:bidi="ar-SA"/>
              </w:rPr>
              <w:t>用于</w:t>
            </w:r>
            <w:r>
              <w:rPr>
                <w:rFonts w:hint="eastAsia" w:ascii="Times New Roman" w:cs="Times New Roman"/>
                <w:b w:val="0"/>
                <w:bCs/>
                <w:color w:val="auto"/>
                <w:kern w:val="2"/>
                <w:sz w:val="24"/>
                <w:szCs w:val="24"/>
                <w:highlight w:val="none"/>
                <w:lang w:val="en-US" w:eastAsia="zh-CN" w:bidi="ar-SA"/>
              </w:rPr>
              <w:t>脱脂用水中</w:t>
            </w:r>
            <w:r>
              <w:rPr>
                <w:rFonts w:hint="default" w:ascii="Times New Roman" w:hAnsi="Times New Roman" w:eastAsia="宋体" w:cs="Times New Roman"/>
                <w:b w:val="0"/>
                <w:bCs/>
                <w:color w:val="auto"/>
                <w:kern w:val="2"/>
                <w:sz w:val="24"/>
                <w:szCs w:val="24"/>
                <w:highlight w:val="none"/>
                <w:lang w:val="en-US" w:eastAsia="zh-CN" w:bidi="ar-SA"/>
              </w:rPr>
              <w:t>。</w:t>
            </w:r>
          </w:p>
          <w:p w14:paraId="214DB297">
            <w:pPr>
              <w:pStyle w:val="59"/>
              <w:keepNext w:val="0"/>
              <w:keepLines w:val="0"/>
              <w:pageBreakBefore w:val="0"/>
              <w:widowControl w:val="0"/>
              <w:numPr>
                <w:ilvl w:val="0"/>
                <w:numId w:val="0"/>
              </w:numPr>
              <w:kinsoku/>
              <w:wordWrap/>
              <w:overflowPunct/>
              <w:topLinePunct w:val="0"/>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该工段产生的污染物主要为清洗废水W1-1。</w:t>
            </w:r>
          </w:p>
          <w:p w14:paraId="14E344EC">
            <w:pPr>
              <w:pStyle w:val="59"/>
              <w:keepNext w:val="0"/>
              <w:keepLines w:val="0"/>
              <w:pageBreakBefore w:val="0"/>
              <w:widowControl w:val="0"/>
              <w:numPr>
                <w:ilvl w:val="0"/>
                <w:numId w:val="0"/>
              </w:numPr>
              <w:kinsoku/>
              <w:wordWrap/>
              <w:overflowPunct/>
              <w:topLinePunct w:val="0"/>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⑥</w:t>
            </w:r>
            <w:r>
              <w:rPr>
                <w:rFonts w:hint="default" w:ascii="Times New Roman" w:hAnsi="Times New Roman" w:eastAsia="宋体" w:cs="Times New Roman"/>
                <w:b w:val="0"/>
                <w:bCs/>
                <w:color w:val="auto"/>
                <w:kern w:val="2"/>
                <w:sz w:val="24"/>
                <w:szCs w:val="24"/>
                <w:highlight w:val="none"/>
                <w:lang w:val="en-US" w:eastAsia="zh-CN" w:bidi="ar-SA"/>
              </w:rPr>
              <w:t>喷淋水洗：经脱脂清洗的工件</w:t>
            </w:r>
            <w:r>
              <w:rPr>
                <w:rFonts w:hint="eastAsia" w:ascii="Times New Roman" w:cs="Times New Roman"/>
                <w:b w:val="0"/>
                <w:bCs/>
                <w:color w:val="auto"/>
                <w:kern w:val="2"/>
                <w:sz w:val="24"/>
                <w:szCs w:val="24"/>
                <w:highlight w:val="none"/>
                <w:lang w:val="en-US" w:eastAsia="zh-CN" w:bidi="ar-SA"/>
              </w:rPr>
              <w:t>由导轨转运到清洗区域，脱脂后</w:t>
            </w:r>
            <w:r>
              <w:rPr>
                <w:rFonts w:hint="default" w:ascii="Times New Roman" w:hAnsi="Times New Roman" w:eastAsia="宋体" w:cs="Times New Roman"/>
                <w:b w:val="0"/>
                <w:bCs/>
                <w:color w:val="auto"/>
                <w:kern w:val="2"/>
                <w:sz w:val="24"/>
                <w:szCs w:val="24"/>
                <w:highlight w:val="none"/>
                <w:lang w:val="en-US" w:eastAsia="zh-CN" w:bidi="ar-SA"/>
              </w:rPr>
              <w:t>需进行两次喷淋水洗，</w:t>
            </w:r>
            <w:r>
              <w:rPr>
                <w:rFonts w:hint="eastAsia" w:ascii="Times New Roman" w:cs="Times New Roman"/>
                <w:b w:val="0"/>
                <w:bCs/>
                <w:color w:val="auto"/>
                <w:kern w:val="2"/>
                <w:sz w:val="24"/>
                <w:szCs w:val="24"/>
                <w:highlight w:val="none"/>
                <w:lang w:val="en-US" w:eastAsia="zh-CN" w:bidi="ar-SA"/>
              </w:rPr>
              <w:t>经过导轨进入清洗区，喷淋水洗</w:t>
            </w:r>
            <w:r>
              <w:rPr>
                <w:rFonts w:hint="default" w:ascii="Times New Roman" w:hAnsi="Times New Roman" w:eastAsia="宋体" w:cs="Times New Roman"/>
                <w:b w:val="0"/>
                <w:bCs/>
                <w:color w:val="auto"/>
                <w:kern w:val="2"/>
                <w:sz w:val="24"/>
                <w:szCs w:val="24"/>
                <w:highlight w:val="none"/>
                <w:lang w:val="en-US" w:eastAsia="zh-CN" w:bidi="ar-SA"/>
              </w:rPr>
              <w:t>采用清水喷淋的方式，定期补充损耗，喷淋水洗</w:t>
            </w:r>
            <w:r>
              <w:rPr>
                <w:rFonts w:hint="default" w:ascii="Times New Roman" w:hAnsi="Times New Roman" w:cs="Times New Roman"/>
                <w:b w:val="0"/>
                <w:bCs/>
                <w:color w:val="auto"/>
                <w:kern w:val="2"/>
                <w:sz w:val="24"/>
                <w:szCs w:val="24"/>
                <w:highlight w:val="none"/>
                <w:lang w:val="en-US" w:eastAsia="zh-CN" w:bidi="ar-SA"/>
              </w:rPr>
              <w:t>定期排入</w:t>
            </w:r>
            <w:r>
              <w:rPr>
                <w:rFonts w:hint="eastAsia" w:ascii="Times New Roman" w:cs="Times New Roman"/>
                <w:b w:val="0"/>
                <w:bCs/>
                <w:color w:val="auto"/>
                <w:kern w:val="2"/>
                <w:sz w:val="24"/>
                <w:szCs w:val="24"/>
                <w:highlight w:val="none"/>
                <w:lang w:val="en-US" w:eastAsia="zh-CN" w:bidi="ar-SA"/>
              </w:rPr>
              <w:t>自建污水处理站处理后（</w:t>
            </w:r>
            <w:r>
              <w:rPr>
                <w:rFonts w:hint="eastAsia" w:ascii="Times New Roman" w:hAnsi="Times New Roman" w:eastAsia="宋体" w:cs="Times New Roman"/>
                <w:b w:val="0"/>
                <w:bCs/>
                <w:color w:val="auto"/>
                <w:kern w:val="2"/>
                <w:sz w:val="24"/>
                <w:szCs w:val="24"/>
                <w:highlight w:val="none"/>
                <w:lang w:val="en-US" w:eastAsia="zh-CN" w:bidi="ar-SA"/>
              </w:rPr>
              <w:t>隔油+气浮+混凝沉淀+A/O+沉淀</w:t>
            </w:r>
            <w:r>
              <w:rPr>
                <w:rFonts w:hint="eastAsia" w:ascii="Times New Roman"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，回用于第一道脱脂用水中，废水不外排</w:t>
            </w:r>
            <w:r>
              <w:rPr>
                <w:rFonts w:hint="default" w:ascii="Times New Roman" w:hAnsi="Times New Roman" w:eastAsia="宋体" w:cs="Times New Roman"/>
                <w:b w:val="0"/>
                <w:bCs/>
                <w:color w:val="auto"/>
                <w:kern w:val="2"/>
                <w:sz w:val="24"/>
                <w:szCs w:val="24"/>
                <w:highlight w:val="none"/>
                <w:lang w:val="en-US" w:eastAsia="zh-CN" w:bidi="ar-SA"/>
              </w:rPr>
              <w:t>。</w:t>
            </w:r>
          </w:p>
          <w:p w14:paraId="6286B386">
            <w:pPr>
              <w:pStyle w:val="59"/>
              <w:keepNext w:val="0"/>
              <w:keepLines w:val="0"/>
              <w:pageBreakBefore w:val="0"/>
              <w:widowControl w:val="0"/>
              <w:numPr>
                <w:ilvl w:val="0"/>
                <w:numId w:val="0"/>
              </w:numPr>
              <w:kinsoku/>
              <w:wordWrap/>
              <w:overflowPunct/>
              <w:topLinePunct w:val="0"/>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cs="Times New Roman"/>
                <w:b w:val="0"/>
                <w:bCs/>
                <w:color w:val="auto"/>
                <w:kern w:val="2"/>
                <w:sz w:val="24"/>
                <w:szCs w:val="24"/>
                <w:highlight w:val="none"/>
                <w:lang w:val="en-US" w:eastAsia="zh-CN" w:bidi="ar-SA"/>
              </w:rPr>
              <w:t>⑦</w:t>
            </w:r>
            <w:r>
              <w:rPr>
                <w:rFonts w:hint="default" w:ascii="Times New Roman" w:hAnsi="Times New Roman" w:eastAsia="宋体" w:cs="Times New Roman"/>
                <w:b w:val="0"/>
                <w:bCs/>
                <w:color w:val="auto"/>
                <w:kern w:val="2"/>
                <w:sz w:val="24"/>
                <w:szCs w:val="24"/>
                <w:highlight w:val="none"/>
                <w:lang w:val="en-US" w:eastAsia="zh-CN" w:bidi="ar-SA"/>
              </w:rPr>
              <w:t>无铬钝化液清洗：经两段</w:t>
            </w:r>
            <w:r>
              <w:rPr>
                <w:rFonts w:hint="eastAsia" w:ascii="Times New Roman" w:cs="Times New Roman"/>
                <w:b w:val="0"/>
                <w:bCs/>
                <w:color w:val="auto"/>
                <w:kern w:val="2"/>
                <w:sz w:val="24"/>
                <w:szCs w:val="24"/>
                <w:highlight w:val="none"/>
                <w:lang w:val="en-US" w:eastAsia="zh-CN" w:bidi="ar-SA"/>
              </w:rPr>
              <w:t>水</w:t>
            </w:r>
            <w:r>
              <w:rPr>
                <w:rFonts w:hint="default" w:ascii="Times New Roman" w:hAnsi="Times New Roman" w:eastAsia="宋体" w:cs="Times New Roman"/>
                <w:b w:val="0"/>
                <w:bCs/>
                <w:color w:val="auto"/>
                <w:kern w:val="2"/>
                <w:sz w:val="24"/>
                <w:szCs w:val="24"/>
                <w:highlight w:val="none"/>
                <w:lang w:val="en-US" w:eastAsia="zh-CN" w:bidi="ar-SA"/>
              </w:rPr>
              <w:t>清洗后的工件需经加入无铬钝化剂的水进行</w:t>
            </w:r>
            <w:r>
              <w:rPr>
                <w:rFonts w:hint="eastAsia" w:ascii="Times New Roman" w:cs="Times New Roman"/>
                <w:b w:val="0"/>
                <w:bCs/>
                <w:color w:val="auto"/>
                <w:kern w:val="2"/>
                <w:sz w:val="24"/>
                <w:szCs w:val="24"/>
                <w:highlight w:val="none"/>
                <w:lang w:val="en-US" w:eastAsia="zh-CN" w:bidi="ar-SA"/>
              </w:rPr>
              <w:t>喷淋水洗</w:t>
            </w:r>
            <w:r>
              <w:rPr>
                <w:rFonts w:hint="default" w:ascii="Times New Roman" w:hAnsi="Times New Roman" w:eastAsia="宋体" w:cs="Times New Roman"/>
                <w:b w:val="0"/>
                <w:bCs/>
                <w:color w:val="auto"/>
                <w:kern w:val="2"/>
                <w:sz w:val="24"/>
                <w:szCs w:val="24"/>
                <w:highlight w:val="none"/>
                <w:lang w:val="en-US" w:eastAsia="zh-CN" w:bidi="ar-SA"/>
              </w:rPr>
              <w:t>，</w:t>
            </w:r>
            <w:r>
              <w:rPr>
                <w:rFonts w:hint="eastAsia" w:ascii="Times New Roman" w:cs="Times New Roman"/>
                <w:b w:val="0"/>
                <w:bCs/>
                <w:color w:val="auto"/>
                <w:kern w:val="2"/>
                <w:sz w:val="24"/>
                <w:szCs w:val="24"/>
                <w:highlight w:val="none"/>
                <w:lang w:val="en-US" w:eastAsia="zh-CN" w:bidi="ar-SA"/>
              </w:rPr>
              <w:t>由导轨进入无铬钝化清洗区域，由喷头对工件进行无铬钝化清洗，</w:t>
            </w:r>
            <w:r>
              <w:rPr>
                <w:rFonts w:hint="default" w:ascii="Times New Roman" w:hAnsi="Times New Roman" w:eastAsia="宋体" w:cs="Times New Roman"/>
                <w:b w:val="0"/>
                <w:bCs/>
                <w:color w:val="auto"/>
                <w:kern w:val="2"/>
                <w:sz w:val="24"/>
                <w:szCs w:val="24"/>
                <w:highlight w:val="none"/>
                <w:lang w:val="en-US" w:eastAsia="zh-CN" w:bidi="ar-SA"/>
              </w:rPr>
              <w:t>定期补充损耗，无铬钝化清洗槽废水</w:t>
            </w:r>
            <w:r>
              <w:rPr>
                <w:rFonts w:hint="eastAsia" w:ascii="Times New Roman" w:hAnsi="Times New Roman" w:eastAsia="宋体" w:cs="Times New Roman"/>
                <w:b w:val="0"/>
                <w:bCs/>
                <w:color w:val="auto"/>
                <w:kern w:val="2"/>
                <w:sz w:val="24"/>
                <w:szCs w:val="24"/>
                <w:highlight w:val="none"/>
                <w:lang w:val="en-US" w:eastAsia="zh-CN" w:bidi="ar-SA"/>
              </w:rPr>
              <w:t>经自建污水处理站处理后（隔油+气浮+混凝沉淀+A/O+沉淀）</w:t>
            </w:r>
            <w:r>
              <w:rPr>
                <w:rFonts w:hint="default" w:ascii="Times New Roman" w:hAnsi="Times New Roman" w:eastAsia="宋体" w:cs="Times New Roman"/>
                <w:b w:val="0"/>
                <w:bCs/>
                <w:color w:val="auto"/>
                <w:kern w:val="2"/>
                <w:sz w:val="24"/>
                <w:szCs w:val="24"/>
                <w:highlight w:val="none"/>
                <w:lang w:val="en-US" w:eastAsia="zh-CN" w:bidi="ar-SA"/>
              </w:rPr>
              <w:t>后，回用于第一道脱脂用水中，不外排。</w:t>
            </w:r>
          </w:p>
          <w:p w14:paraId="3F2DBD57">
            <w:pPr>
              <w:pStyle w:val="59"/>
              <w:keepNext w:val="0"/>
              <w:keepLines w:val="0"/>
              <w:pageBreakBefore w:val="0"/>
              <w:widowControl w:val="0"/>
              <w:numPr>
                <w:ilvl w:val="0"/>
                <w:numId w:val="0"/>
              </w:numPr>
              <w:kinsoku/>
              <w:wordWrap/>
              <w:overflowPunct/>
              <w:topLinePunct w:val="0"/>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该工序产生的污染物主要为清洗废水W1-2。</w:t>
            </w:r>
          </w:p>
          <w:p w14:paraId="1DE3E9CB">
            <w:pPr>
              <w:pStyle w:val="59"/>
              <w:keepNext w:val="0"/>
              <w:keepLines w:val="0"/>
              <w:pageBreakBefore w:val="0"/>
              <w:widowControl w:val="0"/>
              <w:numPr>
                <w:ilvl w:val="0"/>
                <w:numId w:val="0"/>
              </w:numPr>
              <w:kinsoku/>
              <w:wordWrap/>
              <w:overflowPunct/>
              <w:topLinePunct w:val="0"/>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⑧</w:t>
            </w:r>
            <w:r>
              <w:rPr>
                <w:rFonts w:hint="default" w:ascii="Times New Roman" w:hAnsi="Times New Roman" w:eastAsia="宋体" w:cs="Times New Roman"/>
                <w:b w:val="0"/>
                <w:bCs/>
                <w:color w:val="auto"/>
                <w:kern w:val="2"/>
                <w:sz w:val="24"/>
                <w:szCs w:val="24"/>
                <w:highlight w:val="none"/>
                <w:lang w:val="en-US" w:eastAsia="zh-CN" w:bidi="ar-SA"/>
              </w:rPr>
              <w:t>烘干：经水洗后的工件进行</w:t>
            </w:r>
            <w:r>
              <w:rPr>
                <w:rFonts w:hint="eastAsia" w:ascii="Times New Roman" w:cs="Times New Roman"/>
                <w:b w:val="0"/>
                <w:bCs/>
                <w:color w:val="auto"/>
                <w:kern w:val="2"/>
                <w:sz w:val="24"/>
                <w:szCs w:val="24"/>
                <w:highlight w:val="none"/>
                <w:lang w:val="en-US" w:eastAsia="zh-CN" w:bidi="ar-SA"/>
              </w:rPr>
              <w:t>水分烘干房</w:t>
            </w:r>
            <w:r>
              <w:rPr>
                <w:rFonts w:hint="default" w:ascii="Times New Roman" w:hAnsi="Times New Roman" w:eastAsia="宋体" w:cs="Times New Roman"/>
                <w:b w:val="0"/>
                <w:bCs/>
                <w:color w:val="auto"/>
                <w:kern w:val="2"/>
                <w:sz w:val="24"/>
                <w:szCs w:val="24"/>
                <w:highlight w:val="none"/>
                <w:lang w:val="en-US" w:eastAsia="zh-CN" w:bidi="ar-SA"/>
              </w:rPr>
              <w:t>，烘干采用天然气烘干</w:t>
            </w:r>
            <w:r>
              <w:rPr>
                <w:rFonts w:hint="eastAsia" w:ascii="Times New Roman" w:cs="Times New Roman"/>
                <w:b w:val="0"/>
                <w:bCs/>
                <w:color w:val="auto"/>
                <w:kern w:val="2"/>
                <w:sz w:val="24"/>
                <w:szCs w:val="24"/>
                <w:highlight w:val="none"/>
                <w:lang w:val="en-US" w:eastAsia="zh-CN" w:bidi="ar-SA"/>
              </w:rPr>
              <w:t>，天然气燃</w:t>
            </w:r>
            <w:r>
              <w:rPr>
                <w:rFonts w:hint="eastAsia" w:ascii="Times New Roman" w:hAnsi="Times New Roman" w:eastAsia="宋体" w:cs="Times New Roman"/>
                <w:b w:val="0"/>
                <w:bCs/>
                <w:color w:val="auto"/>
                <w:kern w:val="2"/>
                <w:sz w:val="24"/>
                <w:szCs w:val="24"/>
                <w:highlight w:val="none"/>
                <w:lang w:val="en-US" w:eastAsia="zh-CN" w:bidi="ar-SA"/>
              </w:rPr>
              <w:t>烧热量直接接触工件，使其工件表面水分快速烘干，</w:t>
            </w:r>
            <w:r>
              <w:rPr>
                <w:rFonts w:hint="default" w:ascii="Times New Roman" w:hAnsi="Times New Roman" w:eastAsia="宋体" w:cs="Times New Roman"/>
                <w:b w:val="0"/>
                <w:bCs/>
                <w:color w:val="auto"/>
                <w:kern w:val="2"/>
                <w:sz w:val="24"/>
                <w:szCs w:val="24"/>
                <w:highlight w:val="none"/>
                <w:lang w:val="en-US" w:eastAsia="zh-CN" w:bidi="ar-SA"/>
              </w:rPr>
              <w:t>烘干温度在120℃左右</w:t>
            </w:r>
            <w:r>
              <w:rPr>
                <w:rFonts w:hint="eastAsia" w:ascii="Times New Roman" w:hAnsi="Times New Roman" w:eastAsia="宋体" w:cs="Times New Roman"/>
                <w:b w:val="0"/>
                <w:bCs/>
                <w:color w:val="auto"/>
                <w:kern w:val="2"/>
                <w:sz w:val="24"/>
                <w:szCs w:val="24"/>
                <w:highlight w:val="none"/>
                <w:lang w:val="en-US" w:eastAsia="zh-CN" w:bidi="ar-SA"/>
              </w:rPr>
              <w:t>，烘干时间</w:t>
            </w:r>
            <w:r>
              <w:rPr>
                <w:rFonts w:hint="eastAsia" w:ascii="Times New Roman" w:cs="Times New Roman"/>
                <w:b w:val="0"/>
                <w:bCs/>
                <w:color w:val="auto"/>
                <w:kern w:val="2"/>
                <w:sz w:val="24"/>
                <w:szCs w:val="24"/>
                <w:highlight w:val="none"/>
                <w:lang w:val="en-US" w:eastAsia="zh-CN" w:bidi="ar-SA"/>
              </w:rPr>
              <w:t>约3h。</w:t>
            </w:r>
          </w:p>
          <w:p w14:paraId="02193442">
            <w:pPr>
              <w:pStyle w:val="59"/>
              <w:keepNext w:val="0"/>
              <w:keepLines w:val="0"/>
              <w:pageBreakBefore w:val="0"/>
              <w:widowControl w:val="0"/>
              <w:numPr>
                <w:ilvl w:val="0"/>
                <w:numId w:val="0"/>
              </w:numPr>
              <w:kinsoku/>
              <w:wordWrap/>
              <w:overflowPunct/>
              <w:topLinePunct w:val="0"/>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该工序产生的污染物主要为天然气燃烧废气G1-4。</w:t>
            </w:r>
          </w:p>
          <w:p w14:paraId="7AAB7DB4">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eastAsia" w:ascii="Times New Roman" w:hAnsi="Times New Roman" w:cs="Times New Roman"/>
                <w:b w:val="0"/>
                <w:bCs/>
                <w:color w:val="auto"/>
                <w:highlight w:val="none"/>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⑨</w:t>
            </w:r>
            <w:r>
              <w:rPr>
                <w:rFonts w:hint="default" w:ascii="Times New Roman" w:hAnsi="Times New Roman" w:cs="Times New Roman"/>
                <w:b w:val="0"/>
                <w:bCs/>
                <w:color w:val="auto"/>
                <w:highlight w:val="none"/>
                <w:lang w:eastAsia="zh-CN"/>
              </w:rPr>
              <w:t>喷漆：</w:t>
            </w:r>
            <w:r>
              <w:rPr>
                <w:rFonts w:hint="eastAsia" w:ascii="Times New Roman" w:hAnsi="Times New Roman" w:cs="Times New Roman"/>
                <w:b w:val="0"/>
                <w:bCs/>
                <w:color w:val="auto"/>
                <w:highlight w:val="none"/>
                <w:lang w:val="en-US" w:eastAsia="zh-CN"/>
              </w:rPr>
              <w:t>根据订单情况和企业以往生产经验，</w:t>
            </w:r>
            <w:r>
              <w:rPr>
                <w:rFonts w:hint="default" w:ascii="Times New Roman" w:hAnsi="Times New Roman" w:cs="Times New Roman"/>
                <w:b w:val="0"/>
                <w:bCs/>
                <w:color w:val="auto"/>
                <w:highlight w:val="none"/>
                <w:lang w:val="en-US" w:eastAsia="zh-CN"/>
              </w:rPr>
              <w:t>项目约15%的铝板需进行喷漆，喷漆</w:t>
            </w:r>
            <w:r>
              <w:rPr>
                <w:rFonts w:hint="default" w:ascii="Times New Roman" w:hAnsi="Times New Roman" w:cs="Times New Roman"/>
                <w:b w:val="0"/>
                <w:bCs/>
                <w:color w:val="auto"/>
                <w:highlight w:val="none"/>
                <w:lang w:eastAsia="zh-CN"/>
              </w:rPr>
              <w:t>采用</w:t>
            </w:r>
            <w:r>
              <w:rPr>
                <w:rFonts w:hint="default" w:ascii="Times New Roman" w:hAnsi="Times New Roman" w:cs="Times New Roman"/>
                <w:b w:val="0"/>
                <w:bCs/>
                <w:color w:val="auto"/>
                <w:highlight w:val="none"/>
                <w:lang w:val="en-US" w:eastAsia="zh-CN"/>
              </w:rPr>
              <w:t>人工手持</w:t>
            </w:r>
            <w:r>
              <w:rPr>
                <w:rFonts w:hint="default" w:ascii="Times New Roman" w:hAnsi="Times New Roman" w:cs="Times New Roman"/>
                <w:b w:val="0"/>
                <w:bCs/>
                <w:color w:val="auto"/>
                <w:highlight w:val="none"/>
                <w:lang w:eastAsia="zh-CN"/>
              </w:rPr>
              <w:t>喷枪对工件表面进行喷漆处理。</w:t>
            </w:r>
            <w:r>
              <w:rPr>
                <w:rFonts w:hint="default" w:ascii="Times New Roman" w:hAnsi="Times New Roman" w:cs="Times New Roman"/>
                <w:b w:val="0"/>
                <w:bCs/>
                <w:color w:val="auto"/>
                <w:highlight w:val="none"/>
                <w:lang w:val="en-US" w:eastAsia="zh-CN"/>
              </w:rPr>
              <w:t>喷漆</w:t>
            </w:r>
            <w:r>
              <w:rPr>
                <w:rFonts w:hint="default" w:ascii="Times New Roman" w:hAnsi="Times New Roman" w:cs="Times New Roman"/>
                <w:b w:val="0"/>
                <w:bCs/>
                <w:color w:val="auto"/>
                <w:highlight w:val="none"/>
                <w:lang w:eastAsia="zh-CN"/>
              </w:rPr>
              <w:t>在</w:t>
            </w:r>
            <w:r>
              <w:rPr>
                <w:rFonts w:hint="default" w:ascii="Times New Roman" w:hAnsi="Times New Roman" w:cs="Times New Roman"/>
                <w:b w:val="0"/>
                <w:bCs/>
                <w:color w:val="auto"/>
                <w:highlight w:val="none"/>
                <w:lang w:val="en-US" w:eastAsia="zh-CN"/>
              </w:rPr>
              <w:t>密闭的</w:t>
            </w:r>
            <w:r>
              <w:rPr>
                <w:rFonts w:hint="default" w:ascii="Times New Roman" w:hAnsi="Times New Roman" w:cs="Times New Roman"/>
                <w:b w:val="0"/>
                <w:bCs/>
                <w:color w:val="auto"/>
                <w:highlight w:val="none"/>
                <w:lang w:eastAsia="zh-CN"/>
              </w:rPr>
              <w:t>喷漆房内进行，</w:t>
            </w:r>
            <w:r>
              <w:rPr>
                <w:rFonts w:hint="default" w:ascii="Times New Roman" w:hAnsi="Times New Roman" w:cs="Times New Roman"/>
                <w:b w:val="0"/>
                <w:bCs/>
                <w:color w:val="auto"/>
                <w:highlight w:val="none"/>
                <w:lang w:val="en-US" w:eastAsia="zh-CN"/>
              </w:rPr>
              <w:t>不涉及调漆工序</w:t>
            </w:r>
            <w:r>
              <w:rPr>
                <w:rFonts w:hint="eastAsia" w:ascii="Times New Roman" w:hAnsi="Times New Roman" w:cs="Times New Roman"/>
                <w:b w:val="0"/>
                <w:bCs/>
                <w:color w:val="auto"/>
                <w:highlight w:val="none"/>
                <w:lang w:val="en-US" w:eastAsia="zh-CN"/>
              </w:rPr>
              <w:t>。</w:t>
            </w:r>
          </w:p>
          <w:p w14:paraId="46CE9393">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该</w:t>
            </w:r>
            <w:r>
              <w:rPr>
                <w:rFonts w:hint="default" w:ascii="Times New Roman" w:hAnsi="Times New Roman" w:cs="Times New Roman"/>
                <w:b w:val="0"/>
                <w:bCs/>
                <w:color w:val="auto"/>
                <w:highlight w:val="none"/>
                <w:lang w:eastAsia="zh-CN"/>
              </w:rPr>
              <w:t>工序产生的污染物为喷漆废气G</w:t>
            </w:r>
            <w:r>
              <w:rPr>
                <w:rFonts w:hint="default" w:ascii="Times New Roman" w:hAnsi="Times New Roman" w:cs="Times New Roman"/>
                <w:b w:val="0"/>
                <w:bCs/>
                <w:color w:val="auto"/>
                <w:highlight w:val="none"/>
                <w:lang w:val="en-US" w:eastAsia="zh-CN"/>
              </w:rPr>
              <w:t>1-5</w:t>
            </w:r>
            <w:r>
              <w:rPr>
                <w:rFonts w:hint="default" w:ascii="Times New Roman" w:hAnsi="Times New Roman" w:cs="Times New Roman"/>
                <w:b w:val="0"/>
                <w:bCs/>
                <w:color w:val="auto"/>
                <w:highlight w:val="none"/>
                <w:lang w:eastAsia="zh-CN"/>
              </w:rPr>
              <w:t>和</w:t>
            </w:r>
            <w:r>
              <w:rPr>
                <w:rFonts w:hint="default" w:ascii="Times New Roman" w:hAnsi="Times New Roman" w:cs="Times New Roman"/>
                <w:b w:val="0"/>
                <w:bCs/>
                <w:color w:val="auto"/>
                <w:highlight w:val="none"/>
                <w:lang w:val="en-US" w:eastAsia="zh-CN"/>
              </w:rPr>
              <w:t>漆渣S1-4；</w:t>
            </w:r>
          </w:p>
          <w:p w14:paraId="190249CC">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color w:val="auto"/>
                <w:highlight w:val="none"/>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⑩</w:t>
            </w:r>
            <w:r>
              <w:rPr>
                <w:rFonts w:hint="default" w:ascii="Times New Roman" w:hAnsi="Times New Roman" w:cs="Times New Roman"/>
                <w:b w:val="0"/>
                <w:bCs/>
                <w:color w:val="auto"/>
                <w:highlight w:val="none"/>
                <w:lang w:val="en-US" w:eastAsia="zh-CN"/>
              </w:rPr>
              <w:t>喷塑：85%的铝板产品需进行喷塑，采用喷枪对工件表面进行喷塑处理，再通过导轨进入固化室。</w:t>
            </w:r>
          </w:p>
          <w:p w14:paraId="21743E4A">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该工序产生的污染物为喷塑粉尘G1-5设备噪声N5。</w:t>
            </w:r>
          </w:p>
          <w:p w14:paraId="0405EA2A">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kern w:val="2"/>
                <w:sz w:val="24"/>
                <w:szCs w:val="24"/>
                <w:highlight w:val="none"/>
                <w:lang w:val="en-US" w:eastAsia="zh-CN" w:bidi="ar-SA"/>
              </w:rPr>
              <w:t>⑪</w:t>
            </w:r>
            <w:r>
              <w:rPr>
                <w:rFonts w:hint="default" w:ascii="Times New Roman" w:hAnsi="Times New Roman" w:cs="Times New Roman"/>
                <w:b w:val="0"/>
                <w:bCs/>
                <w:color w:val="auto"/>
                <w:highlight w:val="none"/>
                <w:lang w:val="en-US" w:eastAsia="zh-CN"/>
              </w:rPr>
              <w:t>固化/烘干：烘道采取天然气加热方式，热量直接接触工件表面，喷漆烘干工序与喷塑固化工序错开作业，</w:t>
            </w:r>
            <w:r>
              <w:rPr>
                <w:rFonts w:hint="eastAsia" w:ascii="Times New Roman" w:hAnsi="Times New Roman" w:cs="Times New Roman"/>
                <w:b w:val="0"/>
                <w:bCs/>
                <w:color w:val="auto"/>
                <w:highlight w:val="none"/>
                <w:lang w:val="en-US" w:eastAsia="zh-CN"/>
              </w:rPr>
              <w:t>工作时</w:t>
            </w:r>
            <w:r>
              <w:rPr>
                <w:rFonts w:hint="default" w:ascii="Times New Roman" w:hAnsi="Times New Roman" w:cs="Times New Roman"/>
                <w:b w:val="0"/>
                <w:bCs/>
                <w:color w:val="auto"/>
                <w:highlight w:val="none"/>
                <w:lang w:val="en-US" w:eastAsia="zh-CN"/>
              </w:rPr>
              <w:t>先进行喷塑，固化温度约在180℃左右，固化时间约3h，固化之后通过烘道内的余热对喷漆工件进行烘干，烘干温度一般在60℃，</w:t>
            </w:r>
            <w:r>
              <w:rPr>
                <w:rFonts w:hint="eastAsia" w:ascii="Times New Roman" w:hAnsi="Times New Roman" w:cs="Times New Roman"/>
                <w:b w:val="0"/>
                <w:bCs/>
                <w:color w:val="auto"/>
                <w:highlight w:val="none"/>
                <w:lang w:val="en-US" w:eastAsia="zh-CN"/>
              </w:rPr>
              <w:t>喷漆烘干时间约3h，项目喷塑固化和喷漆烘干总时间约6h，年固化/烘干时间约1800h。项目在</w:t>
            </w:r>
            <w:r>
              <w:rPr>
                <w:rFonts w:hint="default" w:ascii="Times New Roman" w:hAnsi="Times New Roman" w:cs="Times New Roman"/>
                <w:b w:val="0"/>
                <w:bCs/>
                <w:color w:val="auto"/>
                <w:highlight w:val="none"/>
                <w:lang w:val="en-US" w:eastAsia="zh-CN"/>
              </w:rPr>
              <w:t>喷漆或</w:t>
            </w:r>
            <w:r>
              <w:rPr>
                <w:rFonts w:hint="default" w:ascii="Times New Roman" w:hAnsi="Times New Roman" w:eastAsia="宋体" w:cs="Times New Roman"/>
                <w:b w:val="0"/>
                <w:bCs/>
                <w:color w:val="auto"/>
                <w:highlight w:val="none"/>
                <w:lang w:val="en-US" w:eastAsia="zh-CN"/>
              </w:rPr>
              <w:t>喷塑工序之后的工件</w:t>
            </w:r>
            <w:r>
              <w:rPr>
                <w:rFonts w:hint="default" w:ascii="Times New Roman" w:hAnsi="Times New Roman" w:cs="Times New Roman"/>
                <w:b w:val="0"/>
                <w:bCs/>
                <w:color w:val="auto"/>
                <w:highlight w:val="none"/>
                <w:lang w:val="en-US" w:eastAsia="zh-CN"/>
              </w:rPr>
              <w:t>均</w:t>
            </w:r>
            <w:r>
              <w:rPr>
                <w:rFonts w:hint="default" w:ascii="Times New Roman" w:hAnsi="Times New Roman" w:eastAsia="宋体" w:cs="Times New Roman"/>
                <w:b w:val="0"/>
                <w:bCs/>
                <w:color w:val="auto"/>
                <w:highlight w:val="none"/>
                <w:lang w:val="en-US" w:eastAsia="zh-CN"/>
              </w:rPr>
              <w:t>由导轨送入</w:t>
            </w:r>
            <w:r>
              <w:rPr>
                <w:rFonts w:hint="eastAsia" w:ascii="Times New Roman" w:hAnsi="Times New Roman" w:cs="Times New Roman"/>
                <w:b w:val="0"/>
                <w:bCs/>
                <w:color w:val="auto"/>
                <w:highlight w:val="none"/>
                <w:lang w:val="en-US" w:eastAsia="zh-CN"/>
              </w:rPr>
              <w:t>直行烘道内</w:t>
            </w:r>
            <w:r>
              <w:rPr>
                <w:rFonts w:hint="eastAsia"/>
                <w:b w:val="0"/>
                <w:bCs/>
                <w:color w:val="auto"/>
                <w:highlight w:val="none"/>
                <w:lang w:eastAsia="zh-CN"/>
              </w:rPr>
              <w:t>，</w:t>
            </w:r>
            <w:r>
              <w:rPr>
                <w:rFonts w:hint="eastAsia"/>
                <w:b w:val="0"/>
                <w:bCs/>
                <w:color w:val="auto"/>
                <w:highlight w:val="none"/>
                <w:lang w:val="en-US" w:eastAsia="zh-CN"/>
              </w:rPr>
              <w:t>当产品进入烘道时，该线停止运作，烘道进出口封闭，做到烘道密闭。在出口处设置集气罩收集产生的有机废气。</w:t>
            </w:r>
          </w:p>
          <w:p w14:paraId="50177525">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b w:val="0"/>
                <w:bCs/>
                <w:color w:val="auto"/>
                <w:highlight w:val="none"/>
                <w:lang w:val="en-US" w:eastAsia="zh-CN"/>
              </w:rPr>
              <w:t>该工序产生的污染物为固化废气G1-7和设备噪声N6。</w:t>
            </w:r>
          </w:p>
          <w:p w14:paraId="3E8201F7">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kern w:val="2"/>
                <w:sz w:val="24"/>
                <w:szCs w:val="24"/>
                <w:highlight w:val="none"/>
                <w:lang w:val="en-US" w:eastAsia="zh-CN" w:bidi="ar-SA"/>
              </w:rPr>
              <w:t>⑫</w:t>
            </w:r>
            <w:r>
              <w:rPr>
                <w:rFonts w:hint="default" w:ascii="Times New Roman" w:hAnsi="Times New Roman" w:cs="Times New Roman"/>
                <w:b w:val="0"/>
                <w:bCs w:val="0"/>
                <w:color w:val="auto"/>
                <w:highlight w:val="none"/>
                <w:lang w:eastAsia="zh-CN"/>
              </w:rPr>
              <w:t>装配调试、包装：产品晾干后进行装配调试，确认合格后包装入库。</w:t>
            </w:r>
          </w:p>
          <w:p w14:paraId="335208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auto"/>
                <w:sz w:val="24"/>
                <w:highlight w:val="none"/>
                <w:lang w:eastAsia="zh-CN"/>
              </w:rPr>
            </w:pPr>
            <w:r>
              <w:rPr>
                <w:rFonts w:hint="default" w:ascii="Times New Roman" w:hAnsi="Times New Roman" w:eastAsia="宋体" w:cs="Times New Roman"/>
                <w:color w:val="auto"/>
                <w:kern w:val="2"/>
                <w:sz w:val="24"/>
                <w:szCs w:val="24"/>
                <w:highlight w:val="none"/>
                <w:lang w:val="en-US" w:eastAsia="zh-CN" w:bidi="ar"/>
              </w:rPr>
              <w:t>（3）</w:t>
            </w:r>
            <w:r>
              <w:rPr>
                <w:rFonts w:hint="default" w:ascii="Times New Roman" w:hAnsi="Times New Roman" w:eastAsia="宋体" w:cs="Times New Roman"/>
                <w:color w:val="auto"/>
                <w:sz w:val="24"/>
                <w:highlight w:val="none"/>
                <w:lang w:val="en-US" w:eastAsia="zh-CN" w:bidi="ar"/>
              </w:rPr>
              <w:t>护栏</w:t>
            </w:r>
            <w:r>
              <w:rPr>
                <w:rFonts w:hint="default" w:ascii="Times New Roman" w:hAnsi="Times New Roman" w:eastAsia="宋体" w:cs="Times New Roman"/>
                <w:color w:val="auto"/>
                <w:sz w:val="24"/>
                <w:highlight w:val="none"/>
                <w:lang w:eastAsia="zh-CN" w:bidi="ar"/>
              </w:rPr>
              <w:t>生产工艺流程及产污节点简图如下图。</w:t>
            </w:r>
          </w:p>
          <w:p w14:paraId="159FDB88">
            <w:pPr>
              <w:kinsoku/>
              <w:rPr>
                <w:rFonts w:ascii="Times New Roman" w:hAnsi="Times New Roman" w:eastAsia="宋体" w:cs="Times New Roman"/>
                <w:b/>
                <w:bCs/>
                <w:color w:val="auto"/>
                <w:sz w:val="24"/>
                <w:highlight w:val="none"/>
                <w:lang w:eastAsia="zh-CN"/>
              </w:rPr>
            </w:pPr>
          </w:p>
          <w:p w14:paraId="32F840C8">
            <w:pPr>
              <w:rPr>
                <w:lang w:eastAsia="zh-CN"/>
              </w:rPr>
            </w:pPr>
          </w:p>
          <w:p w14:paraId="1E9CC5E5">
            <w:pPr>
              <w:kinsoku/>
              <w:rPr>
                <w:rFonts w:ascii="Times New Roman" w:hAnsi="Times New Roman" w:eastAsia="宋体" w:cs="Times New Roman"/>
                <w:b/>
                <w:bCs/>
                <w:color w:val="auto"/>
                <w:sz w:val="24"/>
                <w:highlight w:val="none"/>
                <w:lang w:eastAsia="zh-CN"/>
              </w:rPr>
            </w:pPr>
          </w:p>
          <w:p w14:paraId="693C83B2">
            <w:pPr>
              <w:kinsoku/>
              <w:rPr>
                <w:rFonts w:ascii="Times New Roman" w:hAnsi="Times New Roman" w:eastAsia="宋体" w:cs="Times New Roman"/>
                <w:b/>
                <w:bCs/>
                <w:color w:val="auto"/>
                <w:sz w:val="24"/>
                <w:highlight w:val="none"/>
                <w:lang w:eastAsia="zh-CN"/>
              </w:rPr>
            </w:pPr>
          </w:p>
          <w:p w14:paraId="6ACDFA84">
            <w:pPr>
              <w:kinsoku/>
              <w:rPr>
                <w:rFonts w:ascii="Times New Roman" w:hAnsi="Times New Roman" w:eastAsia="宋体" w:cs="Times New Roman"/>
                <w:b/>
                <w:bCs/>
                <w:color w:val="auto"/>
                <w:sz w:val="24"/>
                <w:highlight w:val="none"/>
                <w:lang w:eastAsia="zh-CN"/>
              </w:rPr>
            </w:pPr>
          </w:p>
          <w:p w14:paraId="751B9D19">
            <w:pPr>
              <w:kinsoku/>
              <w:rPr>
                <w:rFonts w:ascii="Times New Roman" w:hAnsi="Times New Roman" w:eastAsia="宋体" w:cs="Times New Roman"/>
                <w:b/>
                <w:bCs/>
                <w:color w:val="auto"/>
                <w:sz w:val="24"/>
                <w:highlight w:val="none"/>
                <w:lang w:eastAsia="zh-CN"/>
              </w:rPr>
            </w:pPr>
          </w:p>
          <w:p w14:paraId="64192EC0">
            <w:pPr>
              <w:kinsoku/>
              <w:rPr>
                <w:rFonts w:ascii="Times New Roman" w:hAnsi="Times New Roman" w:eastAsia="宋体" w:cs="Times New Roman"/>
                <w:b/>
                <w:bCs/>
                <w:color w:val="auto"/>
                <w:sz w:val="24"/>
                <w:highlight w:val="none"/>
                <w:lang w:eastAsia="zh-CN"/>
              </w:rPr>
            </w:pPr>
          </w:p>
          <w:p w14:paraId="029B486D">
            <w:pPr>
              <w:kinsoku/>
              <w:rPr>
                <w:rFonts w:ascii="Times New Roman" w:hAnsi="Times New Roman" w:eastAsia="宋体" w:cs="Times New Roman"/>
                <w:b/>
                <w:bCs/>
                <w:color w:val="auto"/>
                <w:sz w:val="24"/>
                <w:highlight w:val="none"/>
                <w:lang w:eastAsia="zh-CN"/>
              </w:rPr>
            </w:pPr>
          </w:p>
          <w:p w14:paraId="46D8273E">
            <w:pPr>
              <w:kinsoku/>
              <w:rPr>
                <w:rFonts w:ascii="Times New Roman" w:hAnsi="Times New Roman" w:eastAsia="宋体" w:cs="Times New Roman"/>
                <w:b/>
                <w:bCs/>
                <w:color w:val="auto"/>
                <w:sz w:val="24"/>
                <w:highlight w:val="none"/>
                <w:lang w:eastAsia="zh-CN"/>
              </w:rPr>
            </w:pPr>
          </w:p>
          <w:p w14:paraId="1179B426">
            <w:pPr>
              <w:kinsoku/>
              <w:rPr>
                <w:rFonts w:ascii="Times New Roman" w:hAnsi="Times New Roman" w:eastAsia="宋体" w:cs="Times New Roman"/>
                <w:b/>
                <w:bCs/>
                <w:color w:val="auto"/>
                <w:sz w:val="24"/>
                <w:highlight w:val="none"/>
                <w:lang w:eastAsia="zh-CN"/>
              </w:rPr>
            </w:pPr>
          </w:p>
          <w:p w14:paraId="18A1790F">
            <w:pPr>
              <w:kinsoku/>
              <w:rPr>
                <w:rFonts w:ascii="Times New Roman" w:hAnsi="Times New Roman" w:eastAsia="宋体" w:cs="Times New Roman"/>
                <w:b/>
                <w:bCs/>
                <w:color w:val="auto"/>
                <w:sz w:val="24"/>
                <w:highlight w:val="none"/>
                <w:lang w:eastAsia="zh-CN"/>
              </w:rPr>
            </w:pPr>
          </w:p>
          <w:p w14:paraId="4C36BB1D">
            <w:pPr>
              <w:kinsoku/>
              <w:rPr>
                <w:rFonts w:ascii="Times New Roman" w:hAnsi="Times New Roman" w:eastAsia="宋体" w:cs="Times New Roman"/>
                <w:b/>
                <w:bCs/>
                <w:color w:val="auto"/>
                <w:sz w:val="24"/>
                <w:highlight w:val="none"/>
                <w:lang w:eastAsia="zh-CN"/>
              </w:rPr>
            </w:pPr>
          </w:p>
          <w:p w14:paraId="348BEA3D">
            <w:pPr>
              <w:kinsoku/>
              <w:rPr>
                <w:rFonts w:ascii="Times New Roman" w:hAnsi="Times New Roman" w:eastAsia="宋体" w:cs="Times New Roman"/>
                <w:b/>
                <w:bCs/>
                <w:color w:val="auto"/>
                <w:sz w:val="24"/>
                <w:highlight w:val="none"/>
                <w:lang w:eastAsia="zh-CN"/>
              </w:rPr>
            </w:pPr>
          </w:p>
          <w:p w14:paraId="20715E45">
            <w:pPr>
              <w:kinsoku/>
              <w:rPr>
                <w:rFonts w:ascii="Times New Roman" w:hAnsi="Times New Roman" w:eastAsia="宋体" w:cs="Times New Roman"/>
                <w:b/>
                <w:bCs/>
                <w:color w:val="auto"/>
                <w:sz w:val="24"/>
                <w:highlight w:val="none"/>
                <w:lang w:eastAsia="zh-CN"/>
              </w:rPr>
            </w:pPr>
          </w:p>
          <w:p w14:paraId="4D107707">
            <w:pPr>
              <w:kinsoku/>
              <w:rPr>
                <w:rFonts w:ascii="Times New Roman" w:hAnsi="Times New Roman" w:eastAsia="宋体" w:cs="Times New Roman"/>
                <w:b/>
                <w:bCs/>
                <w:color w:val="auto"/>
                <w:sz w:val="24"/>
                <w:highlight w:val="none"/>
                <w:lang w:eastAsia="zh-CN"/>
              </w:rPr>
            </w:pPr>
          </w:p>
          <w:p w14:paraId="62B720D6">
            <w:pPr>
              <w:kinsoku/>
              <w:rPr>
                <w:rFonts w:ascii="Times New Roman" w:hAnsi="Times New Roman" w:eastAsia="宋体" w:cs="Times New Roman"/>
                <w:b/>
                <w:bCs/>
                <w:color w:val="auto"/>
                <w:sz w:val="24"/>
                <w:highlight w:val="none"/>
                <w:lang w:eastAsia="zh-CN"/>
              </w:rPr>
            </w:pPr>
          </w:p>
          <w:p w14:paraId="735ECD61">
            <w:pPr>
              <w:kinsoku/>
              <w:rPr>
                <w:rFonts w:ascii="Times New Roman" w:hAnsi="Times New Roman" w:eastAsia="宋体" w:cs="Times New Roman"/>
                <w:b/>
                <w:bCs/>
                <w:color w:val="auto"/>
                <w:sz w:val="24"/>
                <w:highlight w:val="none"/>
                <w:lang w:eastAsia="zh-CN"/>
              </w:rPr>
            </w:pPr>
          </w:p>
          <w:p w14:paraId="0D170AB2">
            <w:pPr>
              <w:kinsoku/>
              <w:rPr>
                <w:rFonts w:ascii="Times New Roman" w:hAnsi="Times New Roman" w:eastAsia="宋体" w:cs="Times New Roman"/>
                <w:b/>
                <w:bCs/>
                <w:color w:val="auto"/>
                <w:sz w:val="24"/>
                <w:highlight w:val="none"/>
                <w:lang w:eastAsia="zh-CN"/>
              </w:rPr>
            </w:pPr>
          </w:p>
          <w:p w14:paraId="6599A30B">
            <w:pPr>
              <w:kinsoku/>
              <w:rPr>
                <w:rFonts w:ascii="Times New Roman" w:hAnsi="Times New Roman" w:eastAsia="宋体" w:cs="Times New Roman"/>
                <w:b/>
                <w:bCs/>
                <w:color w:val="auto"/>
                <w:sz w:val="24"/>
                <w:highlight w:val="none"/>
                <w:lang w:eastAsia="zh-CN"/>
              </w:rPr>
            </w:pPr>
          </w:p>
          <w:p w14:paraId="7F1B7807">
            <w:pPr>
              <w:kinsoku/>
              <w:rPr>
                <w:rFonts w:ascii="Times New Roman" w:hAnsi="Times New Roman" w:eastAsia="宋体" w:cs="Times New Roman"/>
                <w:b/>
                <w:bCs/>
                <w:color w:val="auto"/>
                <w:sz w:val="24"/>
                <w:highlight w:val="none"/>
                <w:lang w:eastAsia="zh-CN"/>
              </w:rPr>
            </w:pPr>
          </w:p>
          <w:p w14:paraId="37B3B531">
            <w:pPr>
              <w:kinsoku/>
              <w:rPr>
                <w:rFonts w:ascii="Times New Roman" w:hAnsi="Times New Roman" w:eastAsia="宋体" w:cs="Times New Roman"/>
                <w:b/>
                <w:bCs/>
                <w:color w:val="auto"/>
                <w:sz w:val="24"/>
                <w:highlight w:val="none"/>
                <w:lang w:eastAsia="zh-CN"/>
              </w:rPr>
            </w:pPr>
            <w:r>
              <w:rPr>
                <w:color w:val="auto"/>
                <w:sz w:val="24"/>
                <w:highlight w:val="none"/>
              </w:rPr>
              <mc:AlternateContent>
                <mc:Choice Requires="wpg">
                  <w:drawing>
                    <wp:anchor distT="0" distB="0" distL="114300" distR="114300" simplePos="0" relativeHeight="251661312" behindDoc="0" locked="0" layoutInCell="1" allowOverlap="1">
                      <wp:simplePos x="0" y="0"/>
                      <wp:positionH relativeFrom="column">
                        <wp:posOffset>909955</wp:posOffset>
                      </wp:positionH>
                      <wp:positionV relativeFrom="paragraph">
                        <wp:posOffset>129540</wp:posOffset>
                      </wp:positionV>
                      <wp:extent cx="3213100" cy="4320540"/>
                      <wp:effectExtent l="0" t="0" r="0" b="7620"/>
                      <wp:wrapNone/>
                      <wp:docPr id="25" name="组合 25"/>
                      <wp:cNvGraphicFramePr/>
                      <a:graphic xmlns:a="http://schemas.openxmlformats.org/drawingml/2006/main">
                        <a:graphicData uri="http://schemas.microsoft.com/office/word/2010/wordprocessingGroup">
                          <wpg:wgp>
                            <wpg:cNvGrpSpPr/>
                            <wpg:grpSpPr>
                              <a:xfrm>
                                <a:off x="0" y="0"/>
                                <a:ext cx="3213100" cy="4320540"/>
                                <a:chOff x="3806" y="556056"/>
                                <a:chExt cx="5060" cy="6804"/>
                              </a:xfrm>
                            </wpg:grpSpPr>
                            <wps:wsp>
                              <wps:cNvPr id="141" name="文本框 141"/>
                              <wps:cNvSpPr txBox="1"/>
                              <wps:spPr>
                                <a:xfrm>
                                  <a:off x="5160" y="560238"/>
                                  <a:ext cx="1214"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94D4FD">
                                    <w:pPr>
                                      <w:jc w:val="center"/>
                                      <w:rPr>
                                        <w:rFonts w:hint="default" w:eastAsia="宋体"/>
                                        <w:sz w:val="21"/>
                                        <w:szCs w:val="21"/>
                                        <w:lang w:val="en-US" w:eastAsia="zh-CN"/>
                                      </w:rPr>
                                    </w:pPr>
                                    <w:r>
                                      <w:rPr>
                                        <w:rFonts w:hint="eastAsia" w:eastAsia="宋体"/>
                                        <w:sz w:val="21"/>
                                        <w:szCs w:val="21"/>
                                        <w:lang w:val="en-US" w:eastAsia="zh-CN"/>
                                      </w:rPr>
                                      <w:t>喷塑</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 name="组合 6"/>
                              <wpg:cNvGrpSpPr/>
                              <wpg:grpSpPr>
                                <a:xfrm>
                                  <a:off x="3806" y="556056"/>
                                  <a:ext cx="5060" cy="6804"/>
                                  <a:chOff x="7268" y="515372"/>
                                  <a:chExt cx="5060" cy="7056"/>
                                </a:xfrm>
                              </wpg:grpSpPr>
                              <wps:wsp>
                                <wps:cNvPr id="160" name="文本框 160"/>
                                <wps:cNvSpPr txBox="1"/>
                                <wps:spPr>
                                  <a:xfrm>
                                    <a:off x="7280" y="519783"/>
                                    <a:ext cx="900" cy="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F06D3CE">
                                      <w:pPr>
                                        <w:jc w:val="center"/>
                                        <w:rPr>
                                          <w:rFonts w:hint="default" w:eastAsia="宋体"/>
                                          <w:lang w:val="en-US" w:eastAsia="zh-CN"/>
                                        </w:rPr>
                                      </w:pPr>
                                      <w:r>
                                        <w:rPr>
                                          <w:rFonts w:hint="eastAsia" w:eastAsia="宋体"/>
                                          <w:lang w:val="en-US" w:eastAsia="zh-CN"/>
                                        </w:rPr>
                                        <w:t>塑粉</w:t>
                                      </w:r>
                                    </w:p>
                                  </w:txbxContent>
                                </wps:txbx>
                                <wps:bodyPr rot="0" spcFirstLastPara="0" vertOverflow="overflow" horzOverflow="overflow" vert="horz" wrap="square" lIns="36000" tIns="0" rIns="72000" bIns="0" numCol="1" spcCol="0" rtlCol="0" fromWordArt="0" anchor="t" anchorCtr="0" forceAA="0" compatLnSpc="1">
                                  <a:noAutofit/>
                                </wps:bodyPr>
                              </wps:wsp>
                              <wps:wsp>
                                <wps:cNvPr id="158" name="文本框 158"/>
                                <wps:cNvSpPr txBox="1"/>
                                <wps:spPr>
                                  <a:xfrm>
                                    <a:off x="7268" y="517635"/>
                                    <a:ext cx="900" cy="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DC4F346">
                                      <w:pPr>
                                        <w:jc w:val="center"/>
                                        <w:rPr>
                                          <w:rFonts w:hint="eastAsia" w:eastAsia="宋体"/>
                                          <w:lang w:val="en-US" w:eastAsia="zh-CN"/>
                                        </w:rPr>
                                      </w:pPr>
                                      <w:r>
                                        <w:rPr>
                                          <w:rFonts w:hint="eastAsia"/>
                                          <w:lang w:val="en-US" w:eastAsia="zh-CN"/>
                                        </w:rPr>
                                        <w:t>焊丝</w:t>
                                      </w:r>
                                    </w:p>
                                  </w:txbxContent>
                                </wps:txbx>
                                <wps:bodyPr rot="0" spcFirstLastPara="0" vertOverflow="overflow" horzOverflow="overflow" vert="horz" wrap="square" lIns="36000" tIns="0" rIns="72000" bIns="0" numCol="1" spcCol="0" rtlCol="0" fromWordArt="0" anchor="t" anchorCtr="0" forceAA="0" compatLnSpc="1">
                                  <a:noAutofit/>
                                </wps:bodyPr>
                              </wps:wsp>
                              <wps:wsp>
                                <wps:cNvPr id="133" name="文本框 133"/>
                                <wps:cNvSpPr txBox="1"/>
                                <wps:spPr>
                                  <a:xfrm>
                                    <a:off x="8359" y="515372"/>
                                    <a:ext cx="1789" cy="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E45E39D">
                                      <w:pPr>
                                        <w:jc w:val="center"/>
                                        <w:rPr>
                                          <w:rFonts w:hint="default" w:eastAsia="宋体"/>
                                          <w:sz w:val="21"/>
                                          <w:szCs w:val="21"/>
                                          <w:lang w:val="en-US" w:eastAsia="zh-CN"/>
                                        </w:rPr>
                                      </w:pPr>
                                      <w:r>
                                        <w:rPr>
                                          <w:rFonts w:hint="eastAsia"/>
                                          <w:sz w:val="21"/>
                                          <w:szCs w:val="21"/>
                                          <w:lang w:val="en-US" w:eastAsia="zh-CN"/>
                                        </w:rPr>
                                        <w:t>钢管、钢板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 name="直接箭头连接符 134"/>
                                <wps:cNvCnPr/>
                                <wps:spPr>
                                  <a:xfrm flipH="1">
                                    <a:off x="9271" y="515912"/>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35" name="文本框 135"/>
                                <wps:cNvSpPr txBox="1"/>
                                <wps:spPr>
                                  <a:xfrm>
                                    <a:off x="8646" y="516506"/>
                                    <a:ext cx="1214"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28CD74">
                                      <w:pPr>
                                        <w:jc w:val="center"/>
                                        <w:rPr>
                                          <w:rFonts w:hint="eastAsia" w:eastAsia="宋体"/>
                                          <w:sz w:val="21"/>
                                          <w:szCs w:val="21"/>
                                          <w:lang w:val="en-US" w:eastAsia="zh-CN"/>
                                        </w:rPr>
                                      </w:pPr>
                                      <w:r>
                                        <w:rPr>
                                          <w:rFonts w:hint="eastAsia"/>
                                          <w:sz w:val="21"/>
                                          <w:szCs w:val="21"/>
                                          <w:lang w:val="en-US" w:eastAsia="zh-CN"/>
                                        </w:rPr>
                                        <w:t>下料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直接箭头连接符 136"/>
                                <wps:cNvCnPr/>
                                <wps:spPr>
                                  <a:xfrm flipH="1">
                                    <a:off x="9283" y="517004"/>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37" name="文本框 137"/>
                                <wps:cNvSpPr txBox="1"/>
                                <wps:spPr>
                                  <a:xfrm>
                                    <a:off x="8670" y="517550"/>
                                    <a:ext cx="1214"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531A5A">
                                      <w:pPr>
                                        <w:jc w:val="center"/>
                                        <w:rPr>
                                          <w:rFonts w:hint="default" w:eastAsia="宋体"/>
                                          <w:sz w:val="21"/>
                                          <w:szCs w:val="21"/>
                                          <w:lang w:val="en-US" w:eastAsia="zh-CN"/>
                                        </w:rPr>
                                      </w:pPr>
                                      <w:r>
                                        <w:rPr>
                                          <w:rFonts w:hint="eastAsia" w:eastAsia="宋体"/>
                                          <w:sz w:val="21"/>
                                          <w:szCs w:val="21"/>
                                          <w:lang w:val="en-US" w:eastAsia="zh-CN"/>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直接箭头连接符 138"/>
                                <wps:cNvCnPr/>
                                <wps:spPr>
                                  <a:xfrm flipH="1">
                                    <a:off x="9259" y="518084"/>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39" name="文本框 139"/>
                                <wps:cNvSpPr txBox="1"/>
                                <wps:spPr>
                                  <a:xfrm>
                                    <a:off x="8670" y="518654"/>
                                    <a:ext cx="1214"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068A52">
                                      <w:pPr>
                                        <w:jc w:val="center"/>
                                        <w:rPr>
                                          <w:rFonts w:hint="default" w:eastAsia="宋体"/>
                                          <w:sz w:val="21"/>
                                          <w:szCs w:val="21"/>
                                          <w:lang w:val="en-US" w:eastAsia="zh-CN"/>
                                        </w:rPr>
                                      </w:pPr>
                                      <w:r>
                                        <w:rPr>
                                          <w:rFonts w:hint="eastAsia"/>
                                          <w:sz w:val="21"/>
                                          <w:szCs w:val="21"/>
                                          <w:lang w:val="en-US" w:eastAsia="zh-CN"/>
                                        </w:rPr>
                                        <w:t>打磨</w:t>
                                      </w:r>
                                      <w:r>
                                        <w:rPr>
                                          <w:rFonts w:hint="eastAsia" w:eastAsia="宋体"/>
                                          <w:sz w:val="21"/>
                                          <w:szCs w:val="21"/>
                                          <w:lang w:val="en-US" w:eastAsia="zh-CN"/>
                                        </w:rPr>
                                        <w:t>抛光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直接箭头连接符 140"/>
                                <wps:cNvCnPr/>
                                <wps:spPr>
                                  <a:xfrm flipH="1">
                                    <a:off x="9247" y="519176"/>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42" name="直接箭头连接符 142"/>
                                <wps:cNvCnPr/>
                                <wps:spPr>
                                  <a:xfrm flipH="1">
                                    <a:off x="9211" y="520268"/>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43" name="文本框 143"/>
                                <wps:cNvSpPr txBox="1"/>
                                <wps:spPr>
                                  <a:xfrm>
                                    <a:off x="8622" y="520826"/>
                                    <a:ext cx="1214"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9E0435">
                                      <w:pPr>
                                        <w:jc w:val="center"/>
                                        <w:rPr>
                                          <w:rFonts w:hint="default" w:eastAsia="宋体"/>
                                          <w:sz w:val="21"/>
                                          <w:szCs w:val="21"/>
                                          <w:lang w:val="en-US" w:eastAsia="zh-CN"/>
                                        </w:rPr>
                                      </w:pPr>
                                      <w:r>
                                        <w:rPr>
                                          <w:rFonts w:hint="eastAsia" w:eastAsia="宋体"/>
                                          <w:sz w:val="21"/>
                                          <w:szCs w:val="21"/>
                                          <w:lang w:val="en-US" w:eastAsia="zh-CN"/>
                                        </w:rPr>
                                        <w:t>固化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直接箭头连接符 144"/>
                                <wps:cNvCnPr/>
                                <wps:spPr>
                                  <a:xfrm flipH="1">
                                    <a:off x="9235" y="521360"/>
                                    <a:ext cx="1" cy="567"/>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45" name="文本框 145"/>
                                <wps:cNvSpPr txBox="1"/>
                                <wps:spPr>
                                  <a:xfrm>
                                    <a:off x="8634" y="521918"/>
                                    <a:ext cx="1214"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C88C06">
                                      <w:pPr>
                                        <w:jc w:val="center"/>
                                        <w:rPr>
                                          <w:rFonts w:hint="default" w:eastAsia="宋体"/>
                                          <w:sz w:val="21"/>
                                          <w:szCs w:val="21"/>
                                          <w:lang w:val="en-US" w:eastAsia="zh-CN"/>
                                        </w:rPr>
                                      </w:pPr>
                                      <w:r>
                                        <w:rPr>
                                          <w:rFonts w:hint="eastAsia" w:eastAsia="宋体"/>
                                          <w:sz w:val="21"/>
                                          <w:szCs w:val="21"/>
                                          <w:lang w:val="en-US" w:eastAsia="zh-CN"/>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直接箭头连接符 146"/>
                                <wps:cNvCnPr/>
                                <wps:spPr>
                                  <a:xfrm rot="16200000" flipH="1">
                                    <a:off x="10183" y="516476"/>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47" name="文本框 5"/>
                                <wps:cNvSpPr txBox="1"/>
                                <wps:spPr>
                                  <a:xfrm>
                                    <a:off x="10468" y="516518"/>
                                    <a:ext cx="1860"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2D3329">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-1</w:t>
                                      </w:r>
                                      <w:r>
                                        <w:rPr>
                                          <w:rFonts w:hint="eastAsia" w:ascii="Times New Roman" w:hAnsi="Times New Roman" w:cs="Times New Roman"/>
                                          <w:lang w:eastAsia="zh-CN"/>
                                        </w:rPr>
                                        <w:t>、</w:t>
                                      </w:r>
                                      <w:r>
                                        <w:rPr>
                                          <w:rFonts w:ascii="Times New Roman" w:hAnsi="Times New Roman" w:cs="Times New Roman"/>
                                          <w:lang w:eastAsia="zh-CN"/>
                                        </w:rPr>
                                        <w:t>S</w:t>
                                      </w:r>
                                      <w:r>
                                        <w:rPr>
                                          <w:rFonts w:hint="eastAsia" w:ascii="Times New Roman" w:hAnsi="Times New Roman" w:cs="Times New Roman"/>
                                          <w:lang w:val="en-US" w:eastAsia="zh-CN"/>
                                        </w:rPr>
                                        <w:t>2</w:t>
                                      </w:r>
                                      <w:r>
                                        <w:rPr>
                                          <w:rFonts w:hint="eastAsia" w:cs="Times New Roman"/>
                                          <w:lang w:val="en-US" w:eastAsia="zh-CN"/>
                                        </w:rPr>
                                        <w:t>-1</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直接箭头连接符 148"/>
                                <wps:cNvCnPr/>
                                <wps:spPr>
                                  <a:xfrm rot="16200000" flipH="1">
                                    <a:off x="10183" y="517508"/>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49" name="文本框 5"/>
                                <wps:cNvSpPr txBox="1"/>
                                <wps:spPr>
                                  <a:xfrm>
                                    <a:off x="10408" y="517574"/>
                                    <a:ext cx="1860"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863CA">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-2</w:t>
                                      </w:r>
                                      <w:r>
                                        <w:rPr>
                                          <w:rFonts w:hint="eastAsia" w:ascii="Times New Roman" w:hAnsi="Times New Roman" w:cs="Times New Roman"/>
                                          <w:lang w:eastAsia="zh-CN"/>
                                        </w:rPr>
                                        <w:t>、</w:t>
                                      </w:r>
                                      <w:r>
                                        <w:rPr>
                                          <w:rFonts w:ascii="Times New Roman" w:hAnsi="Times New Roman" w:cs="Times New Roman"/>
                                          <w:lang w:eastAsia="zh-CN"/>
                                        </w:rPr>
                                        <w:t>S</w:t>
                                      </w:r>
                                      <w:r>
                                        <w:rPr>
                                          <w:rFonts w:hint="eastAsia" w:ascii="Times New Roman" w:hAnsi="Times New Roman" w:cs="Times New Roman"/>
                                          <w:lang w:val="en-US" w:eastAsia="zh-CN"/>
                                        </w:rPr>
                                        <w:t>2</w:t>
                                      </w:r>
                                      <w:r>
                                        <w:rPr>
                                          <w:rFonts w:hint="eastAsia" w:cs="Times New Roman"/>
                                          <w:lang w:val="en-US" w:eastAsia="zh-CN"/>
                                        </w:rPr>
                                        <w:t>-2</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直接箭头连接符 150"/>
                                <wps:cNvCnPr/>
                                <wps:spPr>
                                  <a:xfrm rot="16200000" flipH="1">
                                    <a:off x="10183" y="518624"/>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51" name="文本框 5"/>
                                <wps:cNvSpPr txBox="1"/>
                                <wps:spPr>
                                  <a:xfrm>
                                    <a:off x="10288" y="518666"/>
                                    <a:ext cx="1548"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A181A">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-3</w:t>
                                      </w:r>
                                      <w:r>
                                        <w:rPr>
                                          <w:rFonts w:hint="eastAsia" w:ascii="Times New Roman" w:hAnsi="Times New Roman" w:cs="Times New Roman"/>
                                          <w:lang w:eastAsia="zh-CN"/>
                                        </w:rPr>
                                        <w:t>、</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直接箭头连接符 152"/>
                                <wps:cNvCnPr/>
                                <wps:spPr>
                                  <a:xfrm rot="16200000" flipH="1">
                                    <a:off x="10135" y="519716"/>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53" name="文本框 5"/>
                                <wps:cNvSpPr txBox="1"/>
                                <wps:spPr>
                                  <a:xfrm>
                                    <a:off x="10240" y="519782"/>
                                    <a:ext cx="1608"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DAF37">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-4</w:t>
                                      </w:r>
                                      <w:r>
                                        <w:rPr>
                                          <w:rFonts w:hint="eastAsia" w:ascii="Times New Roman" w:hAnsi="Times New Roman" w:cs="Times New Roman"/>
                                          <w:lang w:eastAsia="zh-CN"/>
                                        </w:rPr>
                                        <w:t>、</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直接箭头连接符 154"/>
                                <wps:cNvCnPr/>
                                <wps:spPr>
                                  <a:xfrm rot="16200000" flipH="1">
                                    <a:off x="10147" y="520808"/>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59" name="直接箭头连接符 159"/>
                                <wps:cNvCnPr/>
                                <wps:spPr>
                                  <a:xfrm rot="16200000" flipH="1">
                                    <a:off x="8335" y="519668"/>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55" name="文本框 5"/>
                                <wps:cNvSpPr txBox="1"/>
                                <wps:spPr>
                                  <a:xfrm>
                                    <a:off x="10120" y="520886"/>
                                    <a:ext cx="1860"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3818B">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-5</w:t>
                                      </w:r>
                                      <w:r>
                                        <w:rPr>
                                          <w:rFonts w:hint="eastAsia" w:ascii="Times New Roman" w:hAnsi="Times New Roman" w:cs="Times New Roman"/>
                                          <w:lang w:eastAsia="zh-CN"/>
                                        </w:rPr>
                                        <w:t>、</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直接箭头连接符 157"/>
                                <wps:cNvCnPr/>
                                <wps:spPr>
                                  <a:xfrm rot="16200000" flipH="1">
                                    <a:off x="8359" y="517532"/>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71.65pt;margin-top:10.2pt;height:340.2pt;width:253pt;z-index:251661312;mso-width-relative:page;mso-height-relative:page;" coordorigin="3806,556056" coordsize="5060,6804" o:gfxdata="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">
                      <o:lock v:ext="edit" aspectratio="f"/>
                      <v:shape id="_x0000_s1026" o:spid="_x0000_s1026" o:spt="202" type="#_x0000_t202" style="position:absolute;left:5160;top:560238;height:510;width:1214;" fillcolor="#FFFFFF [3201]" filled="t" stroked="t" coordsize="21600,21600" o:gfxdata="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YIKb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2094D4FD">
                              <w:pPr>
                                <w:jc w:val="center"/>
                                <w:rPr>
                                  <w:rFonts w:hint="default" w:eastAsia="宋体"/>
                                  <w:sz w:val="21"/>
                                  <w:szCs w:val="21"/>
                                  <w:lang w:val="en-US" w:eastAsia="zh-CN"/>
                                </w:rPr>
                              </w:pPr>
                              <w:r>
                                <w:rPr>
                                  <w:rFonts w:hint="eastAsia" w:eastAsia="宋体"/>
                                  <w:sz w:val="21"/>
                                  <w:szCs w:val="21"/>
                                  <w:lang w:val="en-US" w:eastAsia="zh-CN"/>
                                </w:rPr>
                                <w:t>喷塑</w:t>
                              </w:r>
                            </w:p>
                          </w:txbxContent>
                        </v:textbox>
                      </v:shape>
                      <v:group id="_x0000_s1026" o:spid="_x0000_s1026" o:spt="203" style="position:absolute;left:3806;top:556056;height:6804;width:5060;" coordorigin="7268,515372" coordsize="5060,7056"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7280;top:519783;height:330;width:900;" fillcolor="#FFFFFF [3201]" filled="t" stroked="f" coordsize="21600,21600" o:gfxdata="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ymS&#10;nsEAAADcAAAADwAAAAAAAAABACAAAAAiAAAAZHJzL2Rvd25yZXYueG1sUEsBAhQAFAAAAAgAh07i&#10;QDMvBZ47AAAAOQAAABAAAAAAAAAAAQAgAAAAEAEAAGRycy9zaGFwZXhtbC54bWxQSwUGAAAAAAYA&#10;BgBbAQAAugMAAAAA&#10;">
                          <v:fill on="t" focussize="0,0"/>
                          <v:stroke on="f" weight="0.5pt"/>
                          <v:imagedata o:title=""/>
                          <o:lock v:ext="edit" aspectratio="f"/>
                          <v:textbox inset="1mm,0mm,2mm,0mm">
                            <w:txbxContent>
                              <w:p w14:paraId="0F06D3CE">
                                <w:pPr>
                                  <w:jc w:val="center"/>
                                  <w:rPr>
                                    <w:rFonts w:hint="default" w:eastAsia="宋体"/>
                                    <w:lang w:val="en-US" w:eastAsia="zh-CN"/>
                                  </w:rPr>
                                </w:pPr>
                                <w:r>
                                  <w:rPr>
                                    <w:rFonts w:hint="eastAsia" w:eastAsia="宋体"/>
                                    <w:lang w:val="en-US" w:eastAsia="zh-CN"/>
                                  </w:rPr>
                                  <w:t>塑粉</w:t>
                                </w:r>
                              </w:p>
                            </w:txbxContent>
                          </v:textbox>
                        </v:shape>
                        <v:shape id="_x0000_s1026" o:spid="_x0000_s1026" o:spt="202" type="#_x0000_t202" style="position:absolute;left:7268;top:517635;height:330;width:900;" fillcolor="#FFFFFF [3201]" filled="t" stroked="f" coordsize="21600,21600" o:gfxdata="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Mz&#10;VCXCAAAA3AAAAA8AAAAAAAAAAQAgAAAAIgAAAGRycy9kb3ducmV2LnhtbFBLAQIUABQAAAAIAIdO&#10;4kAzLwWeOwAAADkAAAAQAAAAAAAAAAEAIAAAABEBAABkcnMvc2hhcGV4bWwueG1sUEsFBgAAAAAG&#10;AAYAWwEAALsDAAAAAA==&#10;">
                          <v:fill on="t" focussize="0,0"/>
                          <v:stroke on="f" weight="0.5pt"/>
                          <v:imagedata o:title=""/>
                          <o:lock v:ext="edit" aspectratio="f"/>
                          <v:textbox inset="1mm,0mm,2mm,0mm">
                            <w:txbxContent>
                              <w:p w14:paraId="0DC4F346">
                                <w:pPr>
                                  <w:jc w:val="center"/>
                                  <w:rPr>
                                    <w:rFonts w:hint="eastAsia" w:eastAsia="宋体"/>
                                    <w:lang w:val="en-US" w:eastAsia="zh-CN"/>
                                  </w:rPr>
                                </w:pPr>
                                <w:r>
                                  <w:rPr>
                                    <w:rFonts w:hint="eastAsia"/>
                                    <w:lang w:val="en-US" w:eastAsia="zh-CN"/>
                                  </w:rPr>
                                  <w:t>焊丝</w:t>
                                </w:r>
                              </w:p>
                            </w:txbxContent>
                          </v:textbox>
                        </v:shape>
                        <v:shape id="_x0000_s1026" o:spid="_x0000_s1026" o:spt="202" type="#_x0000_t202" style="position:absolute;left:8359;top:515372;height:510;width:1789;" fillcolor="#FFFFFF [3201]" filled="t" stroked="f" coordsize="21600,21600" o:gfxdata="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kDo+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1E45E39D">
                                <w:pPr>
                                  <w:jc w:val="center"/>
                                  <w:rPr>
                                    <w:rFonts w:hint="default" w:eastAsia="宋体"/>
                                    <w:sz w:val="21"/>
                                    <w:szCs w:val="21"/>
                                    <w:lang w:val="en-US" w:eastAsia="zh-CN"/>
                                  </w:rPr>
                                </w:pPr>
                                <w:r>
                                  <w:rPr>
                                    <w:rFonts w:hint="eastAsia"/>
                                    <w:sz w:val="21"/>
                                    <w:szCs w:val="21"/>
                                    <w:lang w:val="en-US" w:eastAsia="zh-CN"/>
                                  </w:rPr>
                                  <w:t>钢管、钢板</w:t>
                                </w:r>
                              </w:p>
                            </w:txbxContent>
                          </v:textbox>
                        </v:shape>
                        <v:shape id="_x0000_s1026" o:spid="_x0000_s1026" o:spt="32" type="#_x0000_t32" style="position:absolute;left:9271;top:515912;flip:x;height:567;width:1;" filled="f" stroked="t" coordsize="21600,21600" o:gfxdata="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b7Ru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202" type="#_x0000_t202" style="position:absolute;left:8646;top:516506;height:510;width:1214;" fillcolor="#FFFFFF [3201]" filled="t" stroked="t" coordsize="21600,21600" o:gfxdata="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r9/E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1A28CD74">
                                <w:pPr>
                                  <w:jc w:val="center"/>
                                  <w:rPr>
                                    <w:rFonts w:hint="eastAsia" w:eastAsia="宋体"/>
                                    <w:sz w:val="21"/>
                                    <w:szCs w:val="21"/>
                                    <w:lang w:val="en-US" w:eastAsia="zh-CN"/>
                                  </w:rPr>
                                </w:pPr>
                                <w:r>
                                  <w:rPr>
                                    <w:rFonts w:hint="eastAsia"/>
                                    <w:sz w:val="21"/>
                                    <w:szCs w:val="21"/>
                                    <w:lang w:val="en-US" w:eastAsia="zh-CN"/>
                                  </w:rPr>
                                  <w:t>下料</w:t>
                                </w:r>
                              </w:p>
                            </w:txbxContent>
                          </v:textbox>
                        </v:shape>
                        <v:shape id="_x0000_s1026" o:spid="_x0000_s1026" o:spt="32" type="#_x0000_t32" style="position:absolute;left:9283;top:517004;flip:x;height:567;width:1;" filled="f" stroked="t" coordsize="21600,21600" o:gfxdata="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XW97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202" type="#_x0000_t202" style="position:absolute;left:8670;top:517550;height:510;width:1214;" fillcolor="#FFFFFF [3201]" filled="t" stroked="t" coordsize="21600,21600" o:gfxdata="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SFE/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E531A5A">
                                <w:pPr>
                                  <w:jc w:val="center"/>
                                  <w:rPr>
                                    <w:rFonts w:hint="default" w:eastAsia="宋体"/>
                                    <w:sz w:val="21"/>
                                    <w:szCs w:val="21"/>
                                    <w:lang w:val="en-US" w:eastAsia="zh-CN"/>
                                  </w:rPr>
                                </w:pPr>
                                <w:r>
                                  <w:rPr>
                                    <w:rFonts w:hint="eastAsia" w:eastAsia="宋体"/>
                                    <w:sz w:val="21"/>
                                    <w:szCs w:val="21"/>
                                    <w:lang w:val="en-US" w:eastAsia="zh-CN"/>
                                  </w:rPr>
                                  <w:t>焊接</w:t>
                                </w:r>
                              </w:p>
                            </w:txbxContent>
                          </v:textbox>
                        </v:shape>
                        <v:shape id="_x0000_s1026" o:spid="_x0000_s1026" o:spt="32" type="#_x0000_t32" style="position:absolute;left:9259;top:518084;flip:x;height:567;width:1;" filled="f" stroked="t" coordsize="21600,21600" o:gfxdata="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bnH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202" type="#_x0000_t202" style="position:absolute;left:8670;top:518654;height:510;width:1214;" fillcolor="#FFFFFF [3201]" filled="t" stroked="t" coordsize="21600,21600" o:gfxdata="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J1F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F068A52">
                                <w:pPr>
                                  <w:jc w:val="center"/>
                                  <w:rPr>
                                    <w:rFonts w:hint="default" w:eastAsia="宋体"/>
                                    <w:sz w:val="21"/>
                                    <w:szCs w:val="21"/>
                                    <w:lang w:val="en-US" w:eastAsia="zh-CN"/>
                                  </w:rPr>
                                </w:pPr>
                                <w:r>
                                  <w:rPr>
                                    <w:rFonts w:hint="eastAsia"/>
                                    <w:sz w:val="21"/>
                                    <w:szCs w:val="21"/>
                                    <w:lang w:val="en-US" w:eastAsia="zh-CN"/>
                                  </w:rPr>
                                  <w:t>打磨</w:t>
                                </w:r>
                                <w:r>
                                  <w:rPr>
                                    <w:rFonts w:hint="eastAsia" w:eastAsia="宋体"/>
                                    <w:sz w:val="21"/>
                                    <w:szCs w:val="21"/>
                                    <w:lang w:val="en-US" w:eastAsia="zh-CN"/>
                                  </w:rPr>
                                  <w:t>抛光</w:t>
                                </w:r>
                              </w:p>
                            </w:txbxContent>
                          </v:textbox>
                        </v:shape>
                        <v:shape id="_x0000_s1026" o:spid="_x0000_s1026" o:spt="32" type="#_x0000_t32" style="position:absolute;left:9247;top:519176;flip:x;height:567;width:1;" filled="f" stroked="t" coordsize="21600,21600" o:gfxdata="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aYZ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9211;top:520268;flip:x;height:567;width:1;" filled="f" stroked="t" coordsize="21600,21600" o:gfxdata="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jib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202" type="#_x0000_t202" style="position:absolute;left:8622;top:520826;height:510;width:1214;" fillcolor="#FFFFFF [3201]" filled="t" stroked="t" coordsize="21600,21600" o:gfxdata="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hwxg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619E0435">
                                <w:pPr>
                                  <w:jc w:val="center"/>
                                  <w:rPr>
                                    <w:rFonts w:hint="default" w:eastAsia="宋体"/>
                                    <w:sz w:val="21"/>
                                    <w:szCs w:val="21"/>
                                    <w:lang w:val="en-US" w:eastAsia="zh-CN"/>
                                  </w:rPr>
                                </w:pPr>
                                <w:r>
                                  <w:rPr>
                                    <w:rFonts w:hint="eastAsia" w:eastAsia="宋体"/>
                                    <w:sz w:val="21"/>
                                    <w:szCs w:val="21"/>
                                    <w:lang w:val="en-US" w:eastAsia="zh-CN"/>
                                  </w:rPr>
                                  <w:t>固化</w:t>
                                </w:r>
                              </w:p>
                            </w:txbxContent>
                          </v:textbox>
                        </v:shape>
                        <v:shape id="_x0000_s1026" o:spid="_x0000_s1026" o:spt="32" type="#_x0000_t32" style="position:absolute;left:9235;top:521360;flip:x;height:567;width:1;" filled="f" stroked="t" coordsize="21600,21600" o:gfxdata="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12eZr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202" type="#_x0000_t202" style="position:absolute;left:8634;top:521918;height:510;width:1214;" fillcolor="#FFFFFF [3201]" filled="t" stroked="t" coordsize="21600,21600" o:gfxdata="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rkMb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4C88C06">
                                <w:pPr>
                                  <w:jc w:val="center"/>
                                  <w:rPr>
                                    <w:rFonts w:hint="default" w:eastAsia="宋体"/>
                                    <w:sz w:val="21"/>
                                    <w:szCs w:val="21"/>
                                    <w:lang w:val="en-US" w:eastAsia="zh-CN"/>
                                  </w:rPr>
                                </w:pPr>
                                <w:r>
                                  <w:rPr>
                                    <w:rFonts w:hint="eastAsia" w:eastAsia="宋体"/>
                                    <w:sz w:val="21"/>
                                    <w:szCs w:val="21"/>
                                    <w:lang w:val="en-US" w:eastAsia="zh-CN"/>
                                  </w:rPr>
                                  <w:t>包装</w:t>
                                </w:r>
                              </w:p>
                            </w:txbxContent>
                          </v:textbox>
                        </v:shape>
                        <v:shape id="_x0000_s1026" o:spid="_x0000_s1026" o:spt="32" type="#_x0000_t32" style="position:absolute;left:10183;top:516476;flip:x;height:567;width:1;rotation:5898240f;" filled="f" stroked="t" coordsize="21600,21600" o:gfxdata="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dYSX&#10;wAAAANwAAAAPAAAAAAAAAAEAIAAAACIAAABkcnMvZG93bnJldi54bWxQSwECFAAUAAAACACHTuJA&#10;My8FnjsAAAA5AAAAEAAAAAAAAAABACAAAAAPAQAAZHJzL3NoYXBleG1sLnhtbFBLBQYAAAAABgAG&#10;AFsBAAC5AwAAAAA=&#10;">
                          <v:fill on="f" focussize="0,0"/>
                          <v:stroke weight="1pt" color="#000000 [3213]" miterlimit="8" joinstyle="miter" dashstyle="dashDot" endarrow="block"/>
                          <v:imagedata o:title=""/>
                          <o:lock v:ext="edit" aspectratio="f"/>
                        </v:shape>
                        <v:shape id="文本框 5" o:spid="_x0000_s1026" o:spt="202" type="#_x0000_t202" style="position:absolute;left:10468;top:516518;height:404;width:1860;" filled="f" stroked="f" coordsize="21600,21600" o:gfxdata="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SSw6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C2D3329">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-1</w:t>
                                </w:r>
                                <w:r>
                                  <w:rPr>
                                    <w:rFonts w:hint="eastAsia" w:ascii="Times New Roman" w:hAnsi="Times New Roman" w:cs="Times New Roman"/>
                                    <w:lang w:eastAsia="zh-CN"/>
                                  </w:rPr>
                                  <w:t>、</w:t>
                                </w:r>
                                <w:r>
                                  <w:rPr>
                                    <w:rFonts w:ascii="Times New Roman" w:hAnsi="Times New Roman" w:cs="Times New Roman"/>
                                    <w:lang w:eastAsia="zh-CN"/>
                                  </w:rPr>
                                  <w:t>S</w:t>
                                </w:r>
                                <w:r>
                                  <w:rPr>
                                    <w:rFonts w:hint="eastAsia" w:ascii="Times New Roman" w:hAnsi="Times New Roman" w:cs="Times New Roman"/>
                                    <w:lang w:val="en-US" w:eastAsia="zh-CN"/>
                                  </w:rPr>
                                  <w:t>2</w:t>
                                </w:r>
                                <w:r>
                                  <w:rPr>
                                    <w:rFonts w:hint="eastAsia" w:cs="Times New Roman"/>
                                    <w:lang w:val="en-US" w:eastAsia="zh-CN"/>
                                  </w:rPr>
                                  <w:t>-1</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-1</w:t>
                                </w:r>
                              </w:p>
                            </w:txbxContent>
                          </v:textbox>
                        </v:shape>
                        <v:shape id="_x0000_s1026" o:spid="_x0000_s1026" o:spt="32" type="#_x0000_t32" style="position:absolute;left:10183;top:517508;flip:x;height:567;width:1;rotation:5898240f;" filled="f" stroked="t" coordsize="21600,21600" o:gfxdata="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mtX6/&#10;AAAA3AAAAA8AAAAAAAAAAQAgAAAAIgAAAGRycy9kb3ducmV2LnhtbFBLAQIUABQAAAAIAIdO4kAz&#10;LwWeOwAAADkAAAAQAAAAAAAAAAEAIAAAAA4BAABkcnMvc2hhcGV4bWwueG1sUEsFBgAAAAAGAAYA&#10;WwEAALgDAAAAAA==&#10;">
                          <v:fill on="f" focussize="0,0"/>
                          <v:stroke weight="1pt" color="#000000 [3213]" miterlimit="8" joinstyle="miter" dashstyle="dashDot" endarrow="block"/>
                          <v:imagedata o:title=""/>
                          <o:lock v:ext="edit" aspectratio="f"/>
                        </v:shape>
                        <v:shape id="文本框 5" o:spid="_x0000_s1026" o:spt="202" type="#_x0000_t202" style="position:absolute;left:10408;top:517574;height:404;width:1860;" filled="f" stroked="f" coordsize="21600,21600" o:gfxdata="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od0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63863CA">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-2</w:t>
                                </w:r>
                                <w:r>
                                  <w:rPr>
                                    <w:rFonts w:hint="eastAsia" w:ascii="Times New Roman" w:hAnsi="Times New Roman" w:cs="Times New Roman"/>
                                    <w:lang w:eastAsia="zh-CN"/>
                                  </w:rPr>
                                  <w:t>、</w:t>
                                </w:r>
                                <w:r>
                                  <w:rPr>
                                    <w:rFonts w:ascii="Times New Roman" w:hAnsi="Times New Roman" w:cs="Times New Roman"/>
                                    <w:lang w:eastAsia="zh-CN"/>
                                  </w:rPr>
                                  <w:t>S</w:t>
                                </w:r>
                                <w:r>
                                  <w:rPr>
                                    <w:rFonts w:hint="eastAsia" w:ascii="Times New Roman" w:hAnsi="Times New Roman" w:cs="Times New Roman"/>
                                    <w:lang w:val="en-US" w:eastAsia="zh-CN"/>
                                  </w:rPr>
                                  <w:t>2</w:t>
                                </w:r>
                                <w:r>
                                  <w:rPr>
                                    <w:rFonts w:hint="eastAsia" w:cs="Times New Roman"/>
                                    <w:lang w:val="en-US" w:eastAsia="zh-CN"/>
                                  </w:rPr>
                                  <w:t>-2</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-2</w:t>
                                </w:r>
                              </w:p>
                            </w:txbxContent>
                          </v:textbox>
                        </v:shape>
                        <v:shape id="_x0000_s1026" o:spid="_x0000_s1026" o:spt="32" type="#_x0000_t32" style="position:absolute;left:10183;top:518624;flip:x;height:567;width:1;rotation:5898240f;" filled="f" stroked="t" coordsize="21600,21600" o:gfxdata="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JL6W/&#10;AAAA3AAAAA8AAAAAAAAAAQAgAAAAIgAAAGRycy9kb3ducmV2LnhtbFBLAQIUABQAAAAIAIdO4kAz&#10;LwWeOwAAADkAAAAQAAAAAAAAAAEAIAAAAA4BAABkcnMvc2hhcGV4bWwueG1sUEsFBgAAAAAGAAYA&#10;WwEAALgDAAAAAA==&#10;">
                          <v:fill on="f" focussize="0,0"/>
                          <v:stroke weight="1pt" color="#000000 [3213]" miterlimit="8" joinstyle="miter" dashstyle="dashDot" endarrow="block"/>
                          <v:imagedata o:title=""/>
                          <o:lock v:ext="edit" aspectratio="f"/>
                        </v:shape>
                        <v:shape id="文本框 5" o:spid="_x0000_s1026" o:spt="202" type="#_x0000_t202" style="position:absolute;left:10288;top:518666;height:404;width:1548;" filled="f" stroked="f" coordsize="21600,21600" o:gfxdata="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WHC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052A181A">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-3</w:t>
                                </w:r>
                                <w:r>
                                  <w:rPr>
                                    <w:rFonts w:hint="eastAsia" w:ascii="Times New Roman" w:hAnsi="Times New Roman" w:cs="Times New Roman"/>
                                    <w:lang w:eastAsia="zh-CN"/>
                                  </w:rPr>
                                  <w:t>、</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-3</w:t>
                                </w:r>
                              </w:p>
                            </w:txbxContent>
                          </v:textbox>
                        </v:shape>
                        <v:shape id="_x0000_s1026" o:spid="_x0000_s1026" o:spt="32" type="#_x0000_t32" style="position:absolute;left:10135;top:519716;flip:x;height:567;width:1;rotation:5898240f;" filled="f" stroked="t" coordsize="21600,21600" o:gfxdata="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RJ&#10;wAAAANwAAAAPAAAAAAAAAAEAIAAAACIAAABkcnMvZG93bnJldi54bWxQSwECFAAUAAAACACHTuJA&#10;My8FnjsAAAA5AAAAEAAAAAAAAAABACAAAAAPAQAAZHJzL3NoYXBleG1sLnhtbFBLBQYAAAAABgAG&#10;AFsBAAC5AwAAAAA=&#10;">
                          <v:fill on="f" focussize="0,0"/>
                          <v:stroke weight="1pt" color="#000000 [3213]" miterlimit="8" joinstyle="miter" dashstyle="dashDot" endarrow="block"/>
                          <v:imagedata o:title=""/>
                          <o:lock v:ext="edit" aspectratio="f"/>
                        </v:shape>
                        <v:shape id="文本框 5" o:spid="_x0000_s1026" o:spt="202" type="#_x0000_t202" style="position:absolute;left:10240;top:519782;height:404;width:1608;" filled="f" stroked="f" coordsize="21600,21600" o:gfxdata="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rvO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111DAF37">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-4</w:t>
                                </w:r>
                                <w:r>
                                  <w:rPr>
                                    <w:rFonts w:hint="eastAsia" w:ascii="Times New Roman" w:hAnsi="Times New Roman" w:cs="Times New Roman"/>
                                    <w:lang w:eastAsia="zh-CN"/>
                                  </w:rPr>
                                  <w:t>、</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-4</w:t>
                                </w:r>
                              </w:p>
                            </w:txbxContent>
                          </v:textbox>
                        </v:shape>
                        <v:shape id="_x0000_s1026" o:spid="_x0000_s1026" o:spt="32" type="#_x0000_t32" style="position:absolute;left:10147;top:520808;flip:x;height:567;width:1;rotation:5898240f;" filled="f" stroked="t" coordsize="21600,21600" o:gfxdata="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Mimm&#10;wAAAANwAAAAPAAAAAAAAAAEAIAAAACIAAABkcnMvZG93bnJldi54bWxQSwECFAAUAAAACACHTuJA&#10;My8FnjsAAAA5AAAAEAAAAAAAAAABACAAAAAPAQAAZHJzL3NoYXBleG1sLnhtbFBLBQYAAAAABgAG&#10;AFsBAAC5AwAAAAA=&#10;">
                          <v:fill on="f" focussize="0,0"/>
                          <v:stroke weight="1pt" color="#000000 [3213]" miterlimit="8" joinstyle="miter" dashstyle="dashDot" endarrow="block"/>
                          <v:imagedata o:title=""/>
                          <o:lock v:ext="edit" aspectratio="f"/>
                        </v:shape>
                        <v:shape id="_x0000_s1026" o:spid="_x0000_s1026" o:spt="32" type="#_x0000_t32" style="position:absolute;left:8335;top:519668;flip:x;height:567;width:1;rotation:5898240f;" filled="f" stroked="t" coordsize="21600,21600" o:gfxdata="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u2g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文本框 5" o:spid="_x0000_s1026" o:spt="202" type="#_x0000_t202" style="position:absolute;left:10120;top:520886;height:404;width:1860;" filled="f" stroked="f" coordsize="21600,21600" o:gfxdata="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oEL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1873818B">
                                <w:pPr>
                                  <w:jc w:val="center"/>
                                  <w:rPr>
                                    <w:rFonts w:hint="default" w:ascii="Times New Roman" w:hAnsi="Times New Roman" w:cs="Times New Roman" w:eastAsiaTheme="minorEastAsia"/>
                                    <w:lang w:val="en-US" w:eastAsia="zh-CN"/>
                                  </w:rPr>
                                </w:pPr>
                                <w:r>
                                  <w:rPr>
                                    <w:rFonts w:hint="eastAsia" w:ascii="Times New Roman" w:hAnsi="Times New Roman" w:cs="Times New Roman"/>
                                    <w:lang w:eastAsia="zh-CN"/>
                                  </w:rPr>
                                  <w:t>G</w:t>
                                </w:r>
                                <w:r>
                                  <w:rPr>
                                    <w:rFonts w:hint="eastAsia" w:ascii="Times New Roman" w:hAnsi="Times New Roman" w:cs="Times New Roman"/>
                                    <w:lang w:val="en-US" w:eastAsia="zh-CN"/>
                                  </w:rPr>
                                  <w:t>2</w:t>
                                </w:r>
                                <w:r>
                                  <w:rPr>
                                    <w:rFonts w:hint="eastAsia" w:cs="Times New Roman"/>
                                    <w:lang w:val="en-US" w:eastAsia="zh-CN"/>
                                  </w:rPr>
                                  <w:t>-5</w:t>
                                </w:r>
                                <w:r>
                                  <w:rPr>
                                    <w:rFonts w:hint="eastAsia" w:ascii="Times New Roman" w:hAnsi="Times New Roman" w:cs="Times New Roman"/>
                                    <w:lang w:eastAsia="zh-CN"/>
                                  </w:rPr>
                                  <w:t>、</w:t>
                                </w:r>
                                <w:r>
                                  <w:rPr>
                                    <w:rFonts w:ascii="Times New Roman" w:hAnsi="Times New Roman" w:cs="Times New Roman"/>
                                    <w:lang w:eastAsia="zh-CN"/>
                                  </w:rPr>
                                  <w:t>N</w:t>
                                </w:r>
                                <w:r>
                                  <w:rPr>
                                    <w:rFonts w:hint="eastAsia" w:ascii="Times New Roman" w:hAnsi="Times New Roman" w:cs="Times New Roman"/>
                                    <w:lang w:val="en-US" w:eastAsia="zh-CN"/>
                                  </w:rPr>
                                  <w:t>2</w:t>
                                </w:r>
                                <w:r>
                                  <w:rPr>
                                    <w:rFonts w:hint="eastAsia" w:cs="Times New Roman"/>
                                    <w:lang w:val="en-US" w:eastAsia="zh-CN"/>
                                  </w:rPr>
                                  <w:t>-5</w:t>
                                </w:r>
                              </w:p>
                            </w:txbxContent>
                          </v:textbox>
                        </v:shape>
                        <v:shape id="_x0000_s1026" o:spid="_x0000_s1026" o:spt="32" type="#_x0000_t32" style="position:absolute;left:8359;top:517532;flip:x;height:567;width:1;rotation:5898240f;" filled="f" stroked="t" coordsize="21600,21600" o:gfxdata="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iHa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v:group>
                  </w:pict>
                </mc:Fallback>
              </mc:AlternateContent>
            </w:r>
          </w:p>
          <w:p w14:paraId="5855CE12">
            <w:pPr>
              <w:kinsoku/>
              <w:rPr>
                <w:rFonts w:ascii="Times New Roman" w:hAnsi="Times New Roman" w:eastAsia="宋体" w:cs="Times New Roman"/>
                <w:b/>
                <w:bCs/>
                <w:color w:val="auto"/>
                <w:sz w:val="24"/>
                <w:highlight w:val="none"/>
                <w:lang w:eastAsia="zh-CN"/>
              </w:rPr>
            </w:pPr>
          </w:p>
          <w:p w14:paraId="1C109BCF">
            <w:pPr>
              <w:kinsoku/>
              <w:rPr>
                <w:rFonts w:ascii="Times New Roman" w:hAnsi="Times New Roman" w:eastAsia="宋体" w:cs="Times New Roman"/>
                <w:b/>
                <w:bCs/>
                <w:color w:val="auto"/>
                <w:sz w:val="24"/>
                <w:highlight w:val="none"/>
                <w:lang w:eastAsia="zh-CN"/>
              </w:rPr>
            </w:pPr>
          </w:p>
          <w:p w14:paraId="4299A0C8">
            <w:pPr>
              <w:kinsoku/>
              <w:rPr>
                <w:rFonts w:ascii="Times New Roman" w:hAnsi="Times New Roman" w:eastAsia="宋体" w:cs="Times New Roman"/>
                <w:b/>
                <w:bCs/>
                <w:color w:val="auto"/>
                <w:sz w:val="24"/>
                <w:highlight w:val="none"/>
                <w:lang w:eastAsia="zh-CN"/>
              </w:rPr>
            </w:pPr>
          </w:p>
          <w:p w14:paraId="36B4DDCD">
            <w:pPr>
              <w:pStyle w:val="14"/>
              <w:rPr>
                <w:rFonts w:ascii="Times New Roman" w:hAnsi="Times New Roman" w:eastAsia="宋体" w:cs="Times New Roman"/>
                <w:b/>
                <w:bCs/>
                <w:color w:val="auto"/>
                <w:sz w:val="24"/>
                <w:highlight w:val="none"/>
                <w:lang w:eastAsia="zh-CN"/>
              </w:rPr>
            </w:pPr>
          </w:p>
          <w:p w14:paraId="159B55F5">
            <w:pPr>
              <w:rPr>
                <w:rFonts w:ascii="Times New Roman" w:hAnsi="Times New Roman" w:eastAsia="宋体" w:cs="Times New Roman"/>
                <w:b/>
                <w:bCs/>
                <w:color w:val="auto"/>
                <w:sz w:val="24"/>
                <w:highlight w:val="none"/>
                <w:lang w:eastAsia="zh-CN"/>
              </w:rPr>
            </w:pPr>
          </w:p>
          <w:p w14:paraId="1C2D747D">
            <w:pPr>
              <w:pStyle w:val="14"/>
              <w:rPr>
                <w:rFonts w:ascii="Times New Roman" w:hAnsi="Times New Roman" w:eastAsia="宋体" w:cs="Times New Roman"/>
                <w:b/>
                <w:bCs/>
                <w:color w:val="auto"/>
                <w:sz w:val="24"/>
                <w:highlight w:val="none"/>
                <w:lang w:eastAsia="zh-CN"/>
              </w:rPr>
            </w:pPr>
          </w:p>
          <w:p w14:paraId="42945A2C">
            <w:pPr>
              <w:rPr>
                <w:rFonts w:ascii="Times New Roman" w:hAnsi="Times New Roman" w:eastAsia="宋体" w:cs="Times New Roman"/>
                <w:b/>
                <w:bCs/>
                <w:color w:val="auto"/>
                <w:sz w:val="24"/>
                <w:highlight w:val="none"/>
                <w:lang w:eastAsia="zh-CN"/>
              </w:rPr>
            </w:pPr>
          </w:p>
          <w:p w14:paraId="52C4BA87">
            <w:pPr>
              <w:pStyle w:val="14"/>
              <w:rPr>
                <w:rFonts w:ascii="Times New Roman" w:hAnsi="Times New Roman" w:eastAsia="宋体" w:cs="Times New Roman"/>
                <w:b/>
                <w:bCs/>
                <w:color w:val="auto"/>
                <w:sz w:val="24"/>
                <w:highlight w:val="none"/>
                <w:lang w:eastAsia="zh-CN"/>
              </w:rPr>
            </w:pPr>
          </w:p>
          <w:p w14:paraId="4DEE2BDA">
            <w:pPr>
              <w:rPr>
                <w:rFonts w:ascii="Times New Roman" w:hAnsi="Times New Roman" w:eastAsia="宋体" w:cs="Times New Roman"/>
                <w:b/>
                <w:bCs/>
                <w:color w:val="auto"/>
                <w:sz w:val="24"/>
                <w:highlight w:val="none"/>
                <w:lang w:eastAsia="zh-CN"/>
              </w:rPr>
            </w:pPr>
          </w:p>
          <w:p w14:paraId="68BE079D">
            <w:pPr>
              <w:pStyle w:val="14"/>
              <w:rPr>
                <w:rFonts w:ascii="Times New Roman" w:hAnsi="Times New Roman" w:eastAsia="宋体" w:cs="Times New Roman"/>
                <w:b/>
                <w:bCs/>
                <w:color w:val="auto"/>
                <w:sz w:val="24"/>
                <w:highlight w:val="none"/>
                <w:lang w:eastAsia="zh-CN"/>
              </w:rPr>
            </w:pPr>
          </w:p>
          <w:p w14:paraId="19B61EA3">
            <w:pPr>
              <w:rPr>
                <w:rFonts w:ascii="Times New Roman" w:hAnsi="Times New Roman" w:eastAsia="宋体" w:cs="Times New Roman"/>
                <w:b/>
                <w:bCs/>
                <w:color w:val="auto"/>
                <w:sz w:val="24"/>
                <w:highlight w:val="none"/>
                <w:lang w:eastAsia="zh-CN"/>
              </w:rPr>
            </w:pPr>
          </w:p>
          <w:p w14:paraId="03462280">
            <w:pPr>
              <w:pStyle w:val="14"/>
              <w:rPr>
                <w:rFonts w:ascii="Times New Roman" w:hAnsi="Times New Roman" w:eastAsia="宋体" w:cs="Times New Roman"/>
                <w:b/>
                <w:bCs/>
                <w:color w:val="auto"/>
                <w:sz w:val="24"/>
                <w:highlight w:val="none"/>
                <w:lang w:eastAsia="zh-CN"/>
              </w:rPr>
            </w:pPr>
          </w:p>
          <w:p w14:paraId="5D14A2D8">
            <w:pPr>
              <w:rPr>
                <w:rFonts w:ascii="Times New Roman" w:hAnsi="Times New Roman" w:eastAsia="宋体" w:cs="Times New Roman"/>
                <w:b/>
                <w:bCs/>
                <w:color w:val="auto"/>
                <w:sz w:val="24"/>
                <w:highlight w:val="none"/>
                <w:lang w:eastAsia="zh-CN"/>
              </w:rPr>
            </w:pPr>
          </w:p>
          <w:p w14:paraId="50916726">
            <w:pPr>
              <w:pStyle w:val="14"/>
              <w:rPr>
                <w:rFonts w:ascii="Times New Roman" w:hAnsi="Times New Roman" w:eastAsia="宋体" w:cs="Times New Roman"/>
                <w:b/>
                <w:bCs/>
                <w:color w:val="auto"/>
                <w:sz w:val="24"/>
                <w:highlight w:val="none"/>
                <w:lang w:eastAsia="zh-CN"/>
              </w:rPr>
            </w:pPr>
          </w:p>
          <w:p w14:paraId="0C7D49D4">
            <w:pPr>
              <w:rPr>
                <w:rFonts w:ascii="Times New Roman" w:hAnsi="Times New Roman" w:eastAsia="宋体" w:cs="Times New Roman"/>
                <w:b/>
                <w:bCs/>
                <w:color w:val="auto"/>
                <w:sz w:val="24"/>
                <w:highlight w:val="none"/>
                <w:lang w:eastAsia="zh-CN"/>
              </w:rPr>
            </w:pPr>
          </w:p>
          <w:p w14:paraId="4FF06F4F">
            <w:pPr>
              <w:pStyle w:val="14"/>
              <w:rPr>
                <w:rFonts w:ascii="Times New Roman" w:hAnsi="Times New Roman" w:eastAsia="宋体" w:cs="Times New Roman"/>
                <w:b/>
                <w:bCs/>
                <w:color w:val="auto"/>
                <w:sz w:val="24"/>
                <w:highlight w:val="none"/>
                <w:lang w:eastAsia="zh-CN"/>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3150870</wp:posOffset>
                      </wp:positionH>
                      <wp:positionV relativeFrom="paragraph">
                        <wp:posOffset>255270</wp:posOffset>
                      </wp:positionV>
                      <wp:extent cx="800100" cy="713740"/>
                      <wp:effectExtent l="4445" t="4445" r="18415" b="13335"/>
                      <wp:wrapNone/>
                      <wp:docPr id="22" name="文本框 22"/>
                      <wp:cNvGraphicFramePr/>
                      <a:graphic xmlns:a="http://schemas.openxmlformats.org/drawingml/2006/main">
                        <a:graphicData uri="http://schemas.microsoft.com/office/word/2010/wordprocessingShape">
                          <wps:wsp>
                            <wps:cNvSpPr txBox="1"/>
                            <wps:spPr>
                              <a:xfrm>
                                <a:off x="0" y="0"/>
                                <a:ext cx="800100" cy="713740"/>
                              </a:xfrm>
                              <a:prstGeom prst="rect">
                                <a:avLst/>
                              </a:prstGeom>
                              <a:solidFill>
                                <a:srgbClr val="000000">
                                  <a:alpha val="0"/>
                                </a:srgb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4B094C">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G：废气</w:t>
                                  </w:r>
                                </w:p>
                                <w:p w14:paraId="1B68BF6F">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N：噪声</w:t>
                                  </w:r>
                                </w:p>
                                <w:p w14:paraId="48E77CD8">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S：固废</w:t>
                                  </w:r>
                                </w:p>
                                <w:p w14:paraId="46158DA5">
                                  <w:pPr>
                                    <w:jc w:val="both"/>
                                    <w:rPr>
                                      <w:rFonts w:ascii="Times New Roman" w:hAnsi="Times New Roman" w:eastAsia="宋体" w:cs="Times New Roman"/>
                                      <w:sz w:val="24"/>
                                      <w:szCs w:val="24"/>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1pt;margin-top:20.1pt;height:56.2pt;width:63pt;z-index:251662336;mso-width-relative:page;mso-height-relative:page;" fillcolor="#000000" filled="t" stroked="t" coordsize="21600,21600" o:gfxdata="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Min0dcAAAAKAQAADwAAAAAAAAABACAAAAAiAAAAZHJzL2Rvd25yZXYueG1sUEsBAhQA&#10;FAAAAAgAh07iQOoIfqVlAgAA1QQAAA4AAAAAAAAAAQAgAAAAJgEAAGRycy9lMm9Eb2MueG1sUEsF&#10;BgAAAAAGAAYAWQEAAP0FAAAAAA==&#10;">
                      <v:fill on="t" opacity="0f" focussize="0,0"/>
                      <v:stroke weight="0.5pt" color="#000000 [3204]" joinstyle="round"/>
                      <v:imagedata o:title=""/>
                      <o:lock v:ext="edit" aspectratio="f"/>
                      <v:textbox>
                        <w:txbxContent>
                          <w:p w14:paraId="4E4B094C">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G：废气</w:t>
                            </w:r>
                          </w:p>
                          <w:p w14:paraId="1B68BF6F">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N：噪声</w:t>
                            </w:r>
                          </w:p>
                          <w:p w14:paraId="48E77CD8">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S：固废</w:t>
                            </w:r>
                          </w:p>
                          <w:p w14:paraId="46158DA5">
                            <w:pPr>
                              <w:jc w:val="both"/>
                              <w:rPr>
                                <w:rFonts w:ascii="Times New Roman" w:hAnsi="Times New Roman" w:eastAsia="宋体" w:cs="Times New Roman"/>
                                <w:sz w:val="24"/>
                                <w:szCs w:val="24"/>
                                <w:lang w:eastAsia="zh-CN"/>
                              </w:rPr>
                            </w:pPr>
                          </w:p>
                        </w:txbxContent>
                      </v:textbox>
                    </v:shape>
                  </w:pict>
                </mc:Fallback>
              </mc:AlternateContent>
            </w:r>
          </w:p>
          <w:p w14:paraId="637109F3">
            <w:pPr>
              <w:rPr>
                <w:rFonts w:ascii="Times New Roman" w:hAnsi="Times New Roman" w:eastAsia="宋体" w:cs="Times New Roman"/>
                <w:b/>
                <w:bCs/>
                <w:color w:val="auto"/>
                <w:sz w:val="24"/>
                <w:highlight w:val="none"/>
                <w:lang w:eastAsia="zh-CN"/>
              </w:rPr>
            </w:pPr>
          </w:p>
          <w:p w14:paraId="68BB127C">
            <w:pPr>
              <w:pStyle w:val="14"/>
              <w:rPr>
                <w:rFonts w:ascii="Times New Roman" w:hAnsi="Times New Roman" w:eastAsia="宋体" w:cs="Times New Roman"/>
                <w:b/>
                <w:bCs/>
                <w:color w:val="auto"/>
                <w:sz w:val="24"/>
                <w:highlight w:val="none"/>
                <w:lang w:eastAsia="zh-CN"/>
              </w:rPr>
            </w:pPr>
          </w:p>
          <w:p w14:paraId="554D8776">
            <w:pPr>
              <w:rPr>
                <w:lang w:eastAsia="zh-CN"/>
              </w:rPr>
            </w:pPr>
          </w:p>
          <w:p w14:paraId="4F94307A">
            <w:pPr>
              <w:rPr>
                <w:lang w:eastAsia="zh-CN"/>
              </w:rPr>
            </w:pPr>
          </w:p>
          <w:p w14:paraId="20EB803E">
            <w:pPr>
              <w:kinsoku/>
              <w:spacing w:line="360" w:lineRule="auto"/>
              <w:jc w:val="center"/>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szCs w:val="24"/>
                <w:highlight w:val="none"/>
                <w:lang w:eastAsia="zh-CN"/>
              </w:rPr>
              <w:t>图2-</w:t>
            </w:r>
            <w:r>
              <w:rPr>
                <w:rFonts w:hint="eastAsia" w:ascii="Times New Roman" w:hAnsi="Times New Roman"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eastAsia="zh-CN"/>
              </w:rPr>
              <w:t xml:space="preserve"> </w:t>
            </w:r>
            <w:r>
              <w:rPr>
                <w:rFonts w:ascii="Times New Roman" w:hAnsi="Times New Roman" w:eastAsia="宋体" w:cs="Times New Roman"/>
                <w:b/>
                <w:bCs/>
                <w:color w:val="auto"/>
                <w:sz w:val="24"/>
                <w:szCs w:val="24"/>
                <w:highlight w:val="none"/>
                <w:lang w:eastAsia="zh-CN"/>
              </w:rPr>
              <w:t>生产工艺流程及产污节点图</w:t>
            </w:r>
          </w:p>
          <w:p w14:paraId="39527138">
            <w:pPr>
              <w:kinsoku/>
              <w:ind w:firstLine="480" w:firstLineChars="200"/>
              <w:rPr>
                <w:rFonts w:ascii="Times New Roman" w:hAnsi="Times New Roman" w:eastAsia="宋体" w:cs="Times New Roman"/>
                <w:b/>
                <w:bCs/>
                <w:color w:val="auto"/>
                <w:sz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4）</w:t>
            </w:r>
            <w:r>
              <w:rPr>
                <w:rFonts w:ascii="Times New Roman" w:hAnsi="Times New Roman" w:eastAsia="宋体" w:cs="Times New Roman"/>
                <w:color w:val="auto"/>
                <w:sz w:val="24"/>
                <w:szCs w:val="24"/>
                <w:highlight w:val="none"/>
                <w:lang w:eastAsia="zh-CN"/>
              </w:rPr>
              <w:t>工艺流程简述：</w:t>
            </w:r>
          </w:p>
          <w:p w14:paraId="7EF14E89">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ascii="Times New Roman" w:hAnsi="Times New Roman" w:cs="Times New Roman"/>
                <w:b w:val="0"/>
                <w:bCs/>
                <w:color w:val="auto"/>
                <w:highlight w:val="none"/>
                <w:lang w:eastAsia="zh-CN"/>
              </w:rPr>
            </w:pPr>
            <w:r>
              <w:rPr>
                <w:rFonts w:hint="eastAsia" w:ascii="Times New Roman" w:hAnsi="Times New Roman" w:cs="Times New Roman"/>
                <w:b w:val="0"/>
                <w:bCs/>
                <w:color w:val="auto"/>
                <w:highlight w:val="none"/>
                <w:lang w:val="en-US" w:eastAsia="zh-CN"/>
              </w:rPr>
              <w:t>①</w:t>
            </w:r>
            <w:r>
              <w:rPr>
                <w:rFonts w:ascii="Times New Roman" w:hAnsi="Times New Roman" w:cs="Times New Roman"/>
                <w:b w:val="0"/>
                <w:bCs/>
                <w:color w:val="auto"/>
                <w:highlight w:val="none"/>
                <w:lang w:eastAsia="zh-CN"/>
              </w:rPr>
              <w:t>切割下料：外购的</w:t>
            </w:r>
            <w:r>
              <w:rPr>
                <w:rFonts w:hint="eastAsia" w:ascii="Times New Roman" w:hAnsi="Times New Roman" w:cs="Times New Roman"/>
                <w:b w:val="0"/>
                <w:bCs/>
                <w:color w:val="auto"/>
                <w:highlight w:val="none"/>
                <w:lang w:val="en-US" w:eastAsia="zh-CN"/>
              </w:rPr>
              <w:t>钢管、钢板</w:t>
            </w:r>
            <w:r>
              <w:rPr>
                <w:rFonts w:hint="eastAsia" w:ascii="Times New Roman" w:hAnsi="Times New Roman" w:cs="Times New Roman"/>
                <w:b w:val="0"/>
                <w:bCs/>
                <w:color w:val="auto"/>
                <w:highlight w:val="none"/>
                <w:lang w:eastAsia="zh-CN"/>
              </w:rPr>
              <w:t>等原料</w:t>
            </w:r>
            <w:r>
              <w:rPr>
                <w:rFonts w:ascii="Times New Roman" w:hAnsi="Times New Roman" w:cs="Times New Roman"/>
                <w:b w:val="0"/>
                <w:bCs/>
                <w:color w:val="auto"/>
                <w:highlight w:val="none"/>
                <w:lang w:eastAsia="zh-CN"/>
              </w:rPr>
              <w:t>入厂，根据设计图纸，采用</w:t>
            </w:r>
            <w:r>
              <w:rPr>
                <w:rFonts w:hint="eastAsia" w:ascii="Times New Roman" w:hAnsi="Times New Roman" w:cs="Times New Roman"/>
                <w:b w:val="0"/>
                <w:bCs/>
                <w:color w:val="auto"/>
                <w:highlight w:val="none"/>
                <w:lang w:val="en-US" w:eastAsia="zh-CN"/>
              </w:rPr>
              <w:t>激光下料</w:t>
            </w:r>
            <w:r>
              <w:rPr>
                <w:rFonts w:ascii="Times New Roman" w:hAnsi="Times New Roman" w:cs="Times New Roman"/>
                <w:b w:val="0"/>
                <w:bCs/>
                <w:color w:val="auto"/>
                <w:highlight w:val="none"/>
                <w:lang w:eastAsia="zh-CN"/>
              </w:rPr>
              <w:t>将金属材料切割成需要的规格。该过程中有少量金属边角料产生。该工序产生的污染物主要为</w:t>
            </w:r>
            <w:r>
              <w:rPr>
                <w:rFonts w:hint="eastAsia" w:ascii="Times New Roman" w:hAnsi="Times New Roman" w:cs="Times New Roman"/>
                <w:b w:val="0"/>
                <w:bCs/>
                <w:color w:val="auto"/>
                <w:highlight w:val="none"/>
                <w:lang w:eastAsia="zh-CN"/>
              </w:rPr>
              <w:t>切割烟尘G</w:t>
            </w:r>
            <w:r>
              <w:rPr>
                <w:rFonts w:hint="eastAsia" w:ascii="Times New Roman" w:hAnsi="Times New Roman" w:cs="Times New Roman"/>
                <w:b w:val="0"/>
                <w:bCs/>
                <w:color w:val="auto"/>
                <w:highlight w:val="none"/>
                <w:lang w:val="en-US" w:eastAsia="zh-CN"/>
              </w:rPr>
              <w:t>2-</w:t>
            </w:r>
            <w:r>
              <w:rPr>
                <w:rFonts w:hint="eastAsia" w:ascii="Times New Roman" w:hAnsi="Times New Roman" w:cs="Times New Roman"/>
                <w:b w:val="0"/>
                <w:bCs/>
                <w:color w:val="auto"/>
                <w:highlight w:val="none"/>
                <w:lang w:eastAsia="zh-CN"/>
              </w:rPr>
              <w:t>1、</w:t>
            </w:r>
            <w:r>
              <w:rPr>
                <w:rFonts w:ascii="Times New Roman" w:hAnsi="Times New Roman" w:cs="Times New Roman"/>
                <w:b w:val="0"/>
                <w:bCs/>
                <w:color w:val="auto"/>
                <w:highlight w:val="none"/>
                <w:lang w:eastAsia="zh-CN"/>
              </w:rPr>
              <w:t>金属边角料S</w:t>
            </w:r>
            <w:r>
              <w:rPr>
                <w:rFonts w:hint="eastAsia" w:ascii="Times New Roman" w:hAnsi="Times New Roman" w:cs="Times New Roman"/>
                <w:b w:val="0"/>
                <w:bCs/>
                <w:color w:val="auto"/>
                <w:highlight w:val="none"/>
                <w:lang w:val="en-US" w:eastAsia="zh-CN"/>
              </w:rPr>
              <w:t>2-</w:t>
            </w:r>
            <w:r>
              <w:rPr>
                <w:rFonts w:ascii="Times New Roman" w:hAnsi="Times New Roman" w:cs="Times New Roman"/>
                <w:b w:val="0"/>
                <w:bCs/>
                <w:color w:val="auto"/>
                <w:highlight w:val="none"/>
                <w:lang w:eastAsia="zh-CN"/>
              </w:rPr>
              <w:t>1和设备运行噪声N</w:t>
            </w:r>
            <w:r>
              <w:rPr>
                <w:rFonts w:hint="eastAsia" w:ascii="Times New Roman" w:hAnsi="Times New Roman" w:cs="Times New Roman"/>
                <w:b w:val="0"/>
                <w:bCs/>
                <w:color w:val="auto"/>
                <w:highlight w:val="none"/>
                <w:lang w:val="en-US" w:eastAsia="zh-CN"/>
              </w:rPr>
              <w:t>2-</w:t>
            </w:r>
            <w:r>
              <w:rPr>
                <w:rFonts w:ascii="Times New Roman" w:hAnsi="Times New Roman" w:cs="Times New Roman"/>
                <w:b w:val="0"/>
                <w:bCs/>
                <w:color w:val="auto"/>
                <w:highlight w:val="none"/>
                <w:lang w:eastAsia="zh-CN"/>
              </w:rPr>
              <w:t>1。</w:t>
            </w:r>
          </w:p>
          <w:p w14:paraId="21ABFA5D">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ascii="Times New Roman" w:hAnsi="Times New Roman" w:cs="Times New Roman"/>
                <w:b w:val="0"/>
                <w:bCs/>
                <w:color w:val="auto"/>
                <w:highlight w:val="none"/>
                <w:lang w:eastAsia="zh-CN"/>
              </w:rPr>
            </w:pPr>
            <w:r>
              <w:rPr>
                <w:rFonts w:hint="eastAsia" w:ascii="Times New Roman" w:hAnsi="Times New Roman" w:cs="Times New Roman"/>
                <w:b w:val="0"/>
                <w:bCs/>
                <w:color w:val="auto"/>
                <w:highlight w:val="none"/>
                <w:lang w:val="en-US" w:eastAsia="zh-CN"/>
              </w:rPr>
              <w:t>②</w:t>
            </w:r>
            <w:r>
              <w:rPr>
                <w:rFonts w:ascii="Times New Roman" w:hAnsi="Times New Roman" w:cs="Times New Roman"/>
                <w:b w:val="0"/>
                <w:bCs/>
                <w:color w:val="auto"/>
                <w:highlight w:val="none"/>
                <w:lang w:eastAsia="zh-CN"/>
              </w:rPr>
              <w:t>焊接：根据设计图纸，</w:t>
            </w:r>
            <w:r>
              <w:rPr>
                <w:rFonts w:hint="eastAsia" w:ascii="Times New Roman" w:hAnsi="Times New Roman" w:cs="Times New Roman"/>
                <w:b w:val="0"/>
                <w:bCs/>
                <w:color w:val="auto"/>
                <w:highlight w:val="none"/>
                <w:lang w:val="en-US" w:eastAsia="zh-CN"/>
              </w:rPr>
              <w:t>在固定式的焊接工位上</w:t>
            </w:r>
            <w:r>
              <w:rPr>
                <w:rFonts w:ascii="Times New Roman" w:hAnsi="Times New Roman" w:cs="Times New Roman"/>
                <w:b w:val="0"/>
                <w:bCs/>
                <w:color w:val="auto"/>
                <w:highlight w:val="none"/>
                <w:lang w:eastAsia="zh-CN"/>
              </w:rPr>
              <w:t>通过电焊机将</w:t>
            </w:r>
            <w:r>
              <w:rPr>
                <w:rFonts w:hint="eastAsia" w:ascii="Times New Roman" w:hAnsi="Times New Roman" w:cs="Times New Roman"/>
                <w:b w:val="0"/>
                <w:bCs/>
                <w:color w:val="auto"/>
                <w:highlight w:val="none"/>
                <w:lang w:val="en-US" w:eastAsia="zh-CN"/>
              </w:rPr>
              <w:t>构件进行焊接成型</w:t>
            </w:r>
            <w:r>
              <w:rPr>
                <w:rFonts w:ascii="Times New Roman" w:hAnsi="Times New Roman" w:cs="Times New Roman"/>
                <w:b w:val="0"/>
                <w:bCs/>
                <w:color w:val="auto"/>
                <w:highlight w:val="none"/>
                <w:lang w:eastAsia="zh-CN"/>
              </w:rPr>
              <w:t>。</w:t>
            </w:r>
          </w:p>
          <w:p w14:paraId="7D24D875">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ascii="Times New Roman" w:hAnsi="Times New Roman" w:cs="Times New Roman"/>
                <w:b w:val="0"/>
                <w:bCs/>
                <w:color w:val="auto"/>
                <w:highlight w:val="none"/>
                <w:lang w:eastAsia="zh-CN"/>
              </w:rPr>
            </w:pPr>
            <w:r>
              <w:rPr>
                <w:rFonts w:ascii="Times New Roman" w:hAnsi="Times New Roman" w:cs="Times New Roman"/>
                <w:b w:val="0"/>
                <w:bCs/>
                <w:color w:val="auto"/>
                <w:highlight w:val="none"/>
                <w:lang w:eastAsia="zh-CN"/>
              </w:rPr>
              <w:t>该工序产生的污染物为焊接烟尘G</w:t>
            </w:r>
            <w:r>
              <w:rPr>
                <w:rFonts w:hint="eastAsia" w:ascii="Times New Roman" w:hAnsi="Times New Roman" w:cs="Times New Roman"/>
                <w:b w:val="0"/>
                <w:bCs/>
                <w:color w:val="auto"/>
                <w:highlight w:val="none"/>
                <w:lang w:val="en-US" w:eastAsia="zh-CN"/>
              </w:rPr>
              <w:t>2-</w:t>
            </w:r>
            <w:r>
              <w:rPr>
                <w:rFonts w:ascii="Times New Roman" w:hAnsi="Times New Roman" w:cs="Times New Roman"/>
                <w:b w:val="0"/>
                <w:bCs/>
                <w:color w:val="auto"/>
                <w:highlight w:val="none"/>
                <w:lang w:eastAsia="zh-CN"/>
              </w:rPr>
              <w:t>1、焊渣S</w:t>
            </w:r>
            <w:r>
              <w:rPr>
                <w:rFonts w:hint="eastAsia" w:ascii="Times New Roman" w:hAnsi="Times New Roman" w:cs="Times New Roman"/>
                <w:b w:val="0"/>
                <w:bCs/>
                <w:color w:val="auto"/>
                <w:highlight w:val="none"/>
                <w:lang w:val="en-US" w:eastAsia="zh-CN"/>
              </w:rPr>
              <w:t>2-2</w:t>
            </w:r>
            <w:r>
              <w:rPr>
                <w:rFonts w:ascii="Times New Roman" w:hAnsi="Times New Roman" w:cs="Times New Roman"/>
                <w:b w:val="0"/>
                <w:bCs/>
                <w:color w:val="auto"/>
                <w:highlight w:val="none"/>
                <w:lang w:eastAsia="zh-CN"/>
              </w:rPr>
              <w:t>和设备噪声N</w:t>
            </w:r>
            <w:r>
              <w:rPr>
                <w:rFonts w:hint="eastAsia" w:ascii="Times New Roman" w:hAnsi="Times New Roman" w:cs="Times New Roman"/>
                <w:b w:val="0"/>
                <w:bCs/>
                <w:color w:val="auto"/>
                <w:highlight w:val="none"/>
                <w:lang w:val="en-US" w:eastAsia="zh-CN"/>
              </w:rPr>
              <w:t>2-2</w:t>
            </w:r>
            <w:r>
              <w:rPr>
                <w:rFonts w:ascii="Times New Roman" w:hAnsi="Times New Roman" w:cs="Times New Roman"/>
                <w:b w:val="0"/>
                <w:bCs/>
                <w:color w:val="auto"/>
                <w:highlight w:val="none"/>
                <w:lang w:eastAsia="zh-CN"/>
              </w:rPr>
              <w:t>。</w:t>
            </w:r>
          </w:p>
          <w:p w14:paraId="570A8029">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60" w:leftChars="0" w:right="0" w:rightChars="0" w:firstLine="480" w:firstLineChars="0"/>
              <w:jc w:val="left"/>
              <w:textAlignment w:val="auto"/>
              <w:outlineLvl w:val="9"/>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③</w:t>
            </w:r>
            <w:r>
              <w:rPr>
                <w:rFonts w:hint="eastAsia" w:ascii="Times New Roman" w:hAnsi="Times New Roman" w:cs="Times New Roman"/>
                <w:b w:val="0"/>
                <w:bCs/>
                <w:color w:val="auto"/>
                <w:highlight w:val="none"/>
                <w:lang w:val="en-US" w:eastAsia="zh-CN"/>
              </w:rPr>
              <w:t>打磨</w:t>
            </w:r>
            <w:r>
              <w:rPr>
                <w:rFonts w:hint="eastAsia" w:ascii="Times New Roman" w:hAnsi="Times New Roman" w:eastAsia="宋体" w:cs="Times New Roman"/>
                <w:b w:val="0"/>
                <w:bCs/>
                <w:color w:val="auto"/>
                <w:highlight w:val="none"/>
                <w:lang w:val="en-US" w:eastAsia="zh-CN"/>
              </w:rPr>
              <w:t>抛光：</w:t>
            </w:r>
            <w:r>
              <w:rPr>
                <w:rFonts w:hint="eastAsia" w:ascii="Times New Roman" w:hAnsi="Times New Roman" w:cs="Times New Roman"/>
                <w:b w:val="0"/>
                <w:bCs/>
                <w:color w:val="auto"/>
                <w:highlight w:val="none"/>
                <w:lang w:val="en-US" w:eastAsia="zh-CN"/>
              </w:rPr>
              <w:t>项目打磨为定点打磨抛光，人工手持抛光机利用固定的焊接工位</w:t>
            </w:r>
            <w:r>
              <w:rPr>
                <w:rFonts w:hint="eastAsia" w:ascii="Times New Roman" w:hAnsi="Times New Roman" w:eastAsia="宋体" w:cs="Times New Roman"/>
                <w:b w:val="0"/>
                <w:bCs/>
                <w:color w:val="auto"/>
                <w:highlight w:val="none"/>
                <w:lang w:val="en-US" w:eastAsia="zh-CN"/>
              </w:rPr>
              <w:t>对焊接后的部件进行抛光处理。使其表面更加光洁、平整</w:t>
            </w:r>
            <w:r>
              <w:rPr>
                <w:rFonts w:hint="default" w:ascii="Times New Roman" w:hAnsi="Times New Roman" w:eastAsia="宋体" w:cs="Times New Roman"/>
                <w:b w:val="0"/>
                <w:bCs/>
                <w:color w:val="auto"/>
                <w:highlight w:val="none"/>
                <w:lang w:val="en-US" w:eastAsia="zh-CN"/>
              </w:rPr>
              <w:t>该工序产生的污染物主要为</w:t>
            </w:r>
            <w:r>
              <w:rPr>
                <w:rFonts w:hint="eastAsia" w:ascii="Times New Roman" w:hAnsi="Times New Roman" w:eastAsia="宋体" w:cs="Times New Roman"/>
                <w:b w:val="0"/>
                <w:bCs/>
                <w:color w:val="auto"/>
                <w:highlight w:val="none"/>
                <w:lang w:val="en-US" w:eastAsia="zh-CN"/>
              </w:rPr>
              <w:t>抛</w:t>
            </w:r>
            <w:r>
              <w:rPr>
                <w:rFonts w:hint="eastAsia" w:ascii="Times New Roman" w:hAnsi="Times New Roman" w:cs="Times New Roman"/>
                <w:b w:val="0"/>
                <w:bCs/>
                <w:color w:val="auto"/>
                <w:highlight w:val="none"/>
                <w:lang w:val="en-US" w:eastAsia="zh-CN"/>
              </w:rPr>
              <w:t>光</w:t>
            </w:r>
            <w:r>
              <w:rPr>
                <w:rFonts w:hint="eastAsia" w:ascii="Times New Roman" w:hAnsi="Times New Roman" w:eastAsia="宋体" w:cs="Times New Roman"/>
                <w:b w:val="0"/>
                <w:bCs/>
                <w:color w:val="auto"/>
                <w:highlight w:val="none"/>
                <w:lang w:val="en-US" w:eastAsia="zh-CN"/>
              </w:rPr>
              <w:t>粉尘G2-3</w:t>
            </w:r>
            <w:r>
              <w:rPr>
                <w:rFonts w:hint="default" w:ascii="Times New Roman" w:hAnsi="Times New Roman" w:eastAsia="宋体" w:cs="Times New Roman"/>
                <w:b w:val="0"/>
                <w:bCs/>
                <w:color w:val="auto"/>
                <w:highlight w:val="none"/>
                <w:lang w:val="en-US" w:eastAsia="zh-CN"/>
              </w:rPr>
              <w:t>和设备运行噪声N</w:t>
            </w:r>
            <w:r>
              <w:rPr>
                <w:rFonts w:hint="eastAsia" w:ascii="Times New Roman" w:hAnsi="Times New Roman" w:eastAsia="宋体" w:cs="Times New Roman"/>
                <w:b w:val="0"/>
                <w:bCs/>
                <w:color w:val="auto"/>
                <w:highlight w:val="none"/>
                <w:lang w:val="en-US" w:eastAsia="zh-CN"/>
              </w:rPr>
              <w:t>2-3</w:t>
            </w:r>
            <w:r>
              <w:rPr>
                <w:rFonts w:hint="default" w:ascii="Times New Roman" w:hAnsi="Times New Roman" w:eastAsia="宋体" w:cs="Times New Roman"/>
                <w:b w:val="0"/>
                <w:bCs/>
                <w:color w:val="auto"/>
                <w:highlight w:val="none"/>
                <w:lang w:val="en-US" w:eastAsia="zh-CN"/>
              </w:rPr>
              <w:t>。</w:t>
            </w:r>
          </w:p>
          <w:p w14:paraId="40289A6F">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60" w:leftChars="0" w:right="0" w:rightChars="0" w:firstLine="480" w:firstLineChars="0"/>
              <w:jc w:val="left"/>
              <w:textAlignment w:val="auto"/>
              <w:outlineLvl w:val="9"/>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④喷塑、固化</w:t>
            </w:r>
            <w:r>
              <w:rPr>
                <w:rFonts w:hint="eastAsia" w:ascii="Times New Roman" w:hAnsi="Times New Roman" w:cs="Times New Roman"/>
                <w:b w:val="0"/>
                <w:bCs/>
                <w:color w:val="auto"/>
                <w:highlight w:val="none"/>
                <w:lang w:val="en-US" w:eastAsia="zh-CN"/>
              </w:rPr>
              <w:t>：</w:t>
            </w:r>
            <w:r>
              <w:rPr>
                <w:rFonts w:hint="eastAsia" w:ascii="Times New Roman" w:hAnsi="Times New Roman" w:eastAsia="宋体" w:cs="Times New Roman"/>
                <w:b w:val="0"/>
                <w:bCs/>
                <w:color w:val="auto"/>
                <w:highlight w:val="none"/>
                <w:lang w:val="en-US" w:eastAsia="zh-CN"/>
              </w:rPr>
              <w:t>采用</w:t>
            </w:r>
            <w:r>
              <w:rPr>
                <w:rFonts w:hint="eastAsia" w:ascii="Times New Roman" w:hAnsi="Times New Roman" w:cs="Times New Roman"/>
                <w:b w:val="0"/>
                <w:bCs/>
                <w:color w:val="auto"/>
                <w:highlight w:val="none"/>
                <w:lang w:val="en-US" w:eastAsia="zh-CN"/>
              </w:rPr>
              <w:t>人工手持</w:t>
            </w:r>
            <w:r>
              <w:rPr>
                <w:rFonts w:hint="eastAsia" w:ascii="Times New Roman" w:hAnsi="Times New Roman" w:eastAsia="宋体" w:cs="Times New Roman"/>
                <w:b w:val="0"/>
                <w:bCs/>
                <w:color w:val="auto"/>
                <w:highlight w:val="none"/>
                <w:lang w:val="en-US" w:eastAsia="zh-CN"/>
              </w:rPr>
              <w:t>喷枪对工件表面进行喷塑处理，然后工件</w:t>
            </w:r>
            <w:r>
              <w:rPr>
                <w:rFonts w:hint="eastAsia" w:ascii="Times New Roman" w:hAnsi="Times New Roman" w:cs="Times New Roman"/>
                <w:b w:val="0"/>
                <w:bCs/>
                <w:color w:val="auto"/>
                <w:highlight w:val="none"/>
                <w:lang w:val="en-US" w:eastAsia="zh-CN"/>
              </w:rPr>
              <w:t>通过轨道</w:t>
            </w:r>
            <w:r>
              <w:rPr>
                <w:rFonts w:hint="eastAsia" w:ascii="Times New Roman" w:hAnsi="Times New Roman" w:eastAsia="宋体" w:cs="Times New Roman"/>
                <w:b w:val="0"/>
                <w:bCs/>
                <w:color w:val="auto"/>
                <w:highlight w:val="none"/>
                <w:lang w:val="en-US" w:eastAsia="zh-CN"/>
              </w:rPr>
              <w:t>进入</w:t>
            </w:r>
            <w:r>
              <w:rPr>
                <w:rFonts w:hint="eastAsia" w:ascii="Times New Roman" w:hAnsi="Times New Roman" w:cs="Times New Roman"/>
                <w:b w:val="0"/>
                <w:bCs/>
                <w:color w:val="auto"/>
                <w:highlight w:val="none"/>
                <w:lang w:val="en-US" w:eastAsia="zh-CN"/>
              </w:rPr>
              <w:t>直形固化烘道内，</w:t>
            </w:r>
            <w:r>
              <w:rPr>
                <w:rFonts w:hint="eastAsia"/>
                <w:b w:val="0"/>
                <w:bCs/>
                <w:color w:val="auto"/>
                <w:highlight w:val="none"/>
                <w:lang w:val="en-US" w:eastAsia="zh-CN"/>
              </w:rPr>
              <w:t>当产品进入</w:t>
            </w:r>
            <w:r>
              <w:rPr>
                <w:rFonts w:hint="eastAsia" w:ascii="Times New Roman" w:hAnsi="Times New Roman" w:cs="Times New Roman"/>
                <w:b w:val="0"/>
                <w:bCs/>
                <w:color w:val="auto"/>
                <w:highlight w:val="none"/>
                <w:lang w:val="en-US" w:eastAsia="zh-CN"/>
              </w:rPr>
              <w:t>直形固化烘道内</w:t>
            </w:r>
            <w:r>
              <w:rPr>
                <w:rFonts w:hint="eastAsia"/>
                <w:b w:val="0"/>
                <w:bCs/>
                <w:color w:val="auto"/>
                <w:highlight w:val="none"/>
                <w:lang w:val="en-US" w:eastAsia="zh-CN"/>
              </w:rPr>
              <w:t>，该线停止运作，烘道大门封闭，做到车间密闭，在出口处设置集气罩收集产生的有机废气</w:t>
            </w:r>
            <w:r>
              <w:rPr>
                <w:rFonts w:hint="eastAsia" w:ascii="Times New Roman" w:hAnsi="Times New Roman" w:eastAsia="宋体" w:cs="Times New Roman"/>
                <w:b w:val="0"/>
                <w:bCs/>
                <w:color w:val="auto"/>
                <w:highlight w:val="none"/>
                <w:lang w:val="en-US" w:eastAsia="zh-CN"/>
              </w:rPr>
              <w:t>。本项目采取天然气加热</w:t>
            </w:r>
            <w:r>
              <w:rPr>
                <w:rFonts w:hint="eastAsia" w:ascii="Times New Roman" w:hAnsi="Times New Roman" w:cs="Times New Roman"/>
                <w:b w:val="0"/>
                <w:bCs/>
                <w:color w:val="auto"/>
                <w:highlight w:val="none"/>
                <w:lang w:val="en-US" w:eastAsia="zh-CN"/>
              </w:rPr>
              <w:t>，热量直接接触工件</w:t>
            </w:r>
            <w:r>
              <w:rPr>
                <w:rFonts w:hint="eastAsia" w:ascii="Times New Roman" w:hAnsi="Times New Roman" w:eastAsia="宋体" w:cs="Times New Roman"/>
                <w:b w:val="0"/>
                <w:bCs/>
                <w:color w:val="auto"/>
                <w:highlight w:val="none"/>
                <w:lang w:val="en-US" w:eastAsia="zh-CN"/>
              </w:rPr>
              <w:t>。</w:t>
            </w:r>
            <w:r>
              <w:rPr>
                <w:rFonts w:hint="eastAsia" w:ascii="Times New Roman" w:hAnsi="Times New Roman" w:cs="Times New Roman"/>
                <w:b w:val="0"/>
                <w:bCs/>
                <w:color w:val="auto"/>
                <w:highlight w:val="none"/>
                <w:lang w:val="en-US" w:eastAsia="zh-CN"/>
              </w:rPr>
              <w:t>固化时间约3h，</w:t>
            </w:r>
            <w:r>
              <w:rPr>
                <w:rFonts w:hint="eastAsia" w:ascii="Times New Roman" w:hAnsi="Times New Roman" w:eastAsia="宋体" w:cs="Times New Roman"/>
                <w:b w:val="0"/>
                <w:bCs/>
                <w:color w:val="auto"/>
                <w:highlight w:val="none"/>
                <w:lang w:val="en-US" w:eastAsia="zh-CN"/>
              </w:rPr>
              <w:t>固化温度控制</w:t>
            </w:r>
            <w:r>
              <w:rPr>
                <w:rFonts w:hint="default" w:ascii="Times New Roman" w:hAnsi="Times New Roman" w:eastAsia="宋体" w:cs="Times New Roman"/>
                <w:b w:val="0"/>
                <w:bCs/>
                <w:color w:val="auto"/>
                <w:highlight w:val="none"/>
                <w:lang w:val="en-US" w:eastAsia="zh-CN"/>
              </w:rPr>
              <w:t>在180℃</w:t>
            </w:r>
            <w:r>
              <w:rPr>
                <w:rFonts w:hint="eastAsia" w:ascii="Times New Roman" w:hAnsi="Times New Roman" w:eastAsia="宋体" w:cs="Times New Roman"/>
                <w:b w:val="0"/>
                <w:bCs/>
                <w:color w:val="auto"/>
                <w:highlight w:val="none"/>
                <w:lang w:val="en-US" w:eastAsia="zh-CN"/>
              </w:rPr>
              <w:t>，通过设备本身的恒温系统对固化房</w:t>
            </w:r>
            <w:r>
              <w:rPr>
                <w:rFonts w:hint="eastAsia" w:ascii="Times New Roman" w:hAnsi="Times New Roman" w:cs="Times New Roman"/>
                <w:b w:val="0"/>
                <w:bCs/>
                <w:color w:val="auto"/>
                <w:highlight w:val="none"/>
                <w:lang w:val="en-US" w:eastAsia="zh-CN"/>
              </w:rPr>
              <w:t>进行</w:t>
            </w:r>
            <w:r>
              <w:rPr>
                <w:rFonts w:hint="eastAsia" w:ascii="Times New Roman" w:hAnsi="Times New Roman" w:eastAsia="宋体" w:cs="Times New Roman"/>
                <w:b w:val="0"/>
                <w:bCs/>
                <w:color w:val="auto"/>
                <w:highlight w:val="none"/>
                <w:lang w:val="en-US" w:eastAsia="zh-CN"/>
              </w:rPr>
              <w:t>温度控制</w:t>
            </w:r>
            <w:r>
              <w:rPr>
                <w:rFonts w:hint="eastAsia" w:ascii="Times New Roman" w:hAnsi="Times New Roman" w:cs="Times New Roman"/>
                <w:b w:val="0"/>
                <w:bCs/>
                <w:color w:val="auto"/>
                <w:highlight w:val="none"/>
                <w:lang w:val="en-US" w:eastAsia="zh-CN"/>
              </w:rPr>
              <w:t>。</w:t>
            </w:r>
          </w:p>
          <w:p w14:paraId="3D358698">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60" w:leftChars="0" w:right="0" w:rightChars="0" w:firstLine="480" w:firstLineChars="0"/>
              <w:jc w:val="left"/>
              <w:textAlignment w:val="auto"/>
              <w:outlineLvl w:val="9"/>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该工序产生的污染物为喷塑粉尘G2-4、烘干废气G2-5和设备噪声N2-5。</w:t>
            </w:r>
          </w:p>
          <w:p w14:paraId="4B04E9F2">
            <w:pPr>
              <w:pStyle w:val="59"/>
              <w:rPr>
                <w:rFonts w:hint="default"/>
                <w:color w:val="auto"/>
                <w:highlight w:val="none"/>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⑤包装发货：将固化好</w:t>
            </w:r>
            <w:r>
              <w:rPr>
                <w:rFonts w:hint="eastAsia" w:ascii="Times New Roman" w:cs="Times New Roman"/>
                <w:b w:val="0"/>
                <w:bCs/>
                <w:color w:val="auto"/>
                <w:kern w:val="2"/>
                <w:sz w:val="24"/>
                <w:szCs w:val="24"/>
                <w:highlight w:val="none"/>
                <w:lang w:val="en-US" w:eastAsia="zh-CN" w:bidi="ar-SA"/>
              </w:rPr>
              <w:t>的</w:t>
            </w:r>
            <w:r>
              <w:rPr>
                <w:rFonts w:hint="eastAsia" w:ascii="Times New Roman" w:hAnsi="Times New Roman" w:eastAsia="宋体" w:cs="Times New Roman"/>
                <w:b w:val="0"/>
                <w:bCs/>
                <w:color w:val="auto"/>
                <w:kern w:val="2"/>
                <w:sz w:val="24"/>
                <w:szCs w:val="24"/>
                <w:highlight w:val="none"/>
                <w:lang w:val="en-US" w:eastAsia="zh-CN" w:bidi="ar-SA"/>
              </w:rPr>
              <w:t>产品进行打包后发货。</w:t>
            </w:r>
          </w:p>
          <w:p w14:paraId="207DA373">
            <w:pPr>
              <w:numPr>
                <w:ilvl w:val="0"/>
                <w:numId w:val="0"/>
              </w:numPr>
              <w:kinsoku/>
              <w:spacing w:line="360" w:lineRule="auto"/>
              <w:ind w:firstLine="480" w:firstLineChars="200"/>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val="0"/>
                <w:bCs w:val="0"/>
                <w:color w:val="auto"/>
                <w:kern w:val="2"/>
                <w:sz w:val="24"/>
                <w:szCs w:val="24"/>
                <w:lang w:val="en-US" w:eastAsia="zh-CN" w:bidi="ar-SA"/>
              </w:rPr>
              <w:t>（5）</w:t>
            </w:r>
            <w:r>
              <w:rPr>
                <w:rFonts w:hint="eastAsia" w:ascii="Times New Roman" w:hAnsi="Times New Roman" w:eastAsia="宋体" w:cs="Times New Roman"/>
                <w:color w:val="auto"/>
                <w:kern w:val="2"/>
                <w:sz w:val="24"/>
                <w:szCs w:val="24"/>
                <w:highlight w:val="none"/>
                <w:lang w:val="en-US" w:eastAsia="zh-CN" w:bidi="ar"/>
              </w:rPr>
              <w:t>桥架</w:t>
            </w:r>
            <w:r>
              <w:rPr>
                <w:rFonts w:ascii="Times New Roman" w:hAnsi="Times New Roman" w:eastAsia="宋体" w:cs="Times New Roman"/>
                <w:color w:val="auto"/>
                <w:sz w:val="24"/>
                <w:highlight w:val="none"/>
                <w:lang w:eastAsia="zh-CN" w:bidi="ar"/>
              </w:rPr>
              <w:t>生产工艺流程及产污节点简图如下图。</w:t>
            </w:r>
          </w:p>
          <w:p w14:paraId="527A3C7B">
            <w:pPr>
              <w:numPr>
                <w:ilvl w:val="0"/>
                <w:numId w:val="0"/>
              </w:numPr>
              <w:kinsoku/>
              <w:spacing w:line="360" w:lineRule="auto"/>
              <w:rPr>
                <w:rFonts w:ascii="Times New Roman" w:hAnsi="Times New Roman" w:eastAsia="宋体" w:cs="Times New Roman"/>
                <w:b/>
                <w:bCs/>
                <w:color w:val="auto"/>
                <w:sz w:val="24"/>
                <w:szCs w:val="24"/>
                <w:highlight w:val="none"/>
                <w:lang w:eastAsia="zh-CN"/>
              </w:rPr>
            </w:pPr>
            <w:r>
              <w:rPr>
                <w:color w:val="auto"/>
                <w:sz w:val="24"/>
                <w:highlight w:val="none"/>
              </w:rPr>
              <mc:AlternateContent>
                <mc:Choice Requires="wpg">
                  <w:drawing>
                    <wp:anchor distT="0" distB="0" distL="114300" distR="114300" simplePos="0" relativeHeight="251660288" behindDoc="0" locked="0" layoutInCell="1" allowOverlap="1">
                      <wp:simplePos x="0" y="0"/>
                      <wp:positionH relativeFrom="column">
                        <wp:posOffset>939800</wp:posOffset>
                      </wp:positionH>
                      <wp:positionV relativeFrom="paragraph">
                        <wp:posOffset>184150</wp:posOffset>
                      </wp:positionV>
                      <wp:extent cx="3117850" cy="4957445"/>
                      <wp:effectExtent l="0" t="0" r="6350" b="10795"/>
                      <wp:wrapNone/>
                      <wp:docPr id="7" name="组合 7"/>
                      <wp:cNvGraphicFramePr/>
                      <a:graphic xmlns:a="http://schemas.openxmlformats.org/drawingml/2006/main">
                        <a:graphicData uri="http://schemas.microsoft.com/office/word/2010/wordprocessingGroup">
                          <wpg:wgp>
                            <wpg:cNvGrpSpPr/>
                            <wpg:grpSpPr>
                              <a:xfrm>
                                <a:off x="0" y="0"/>
                                <a:ext cx="3117850" cy="4957445"/>
                                <a:chOff x="7303" y="533759"/>
                                <a:chExt cx="4910" cy="8190"/>
                              </a:xfrm>
                            </wpg:grpSpPr>
                            <wps:wsp>
                              <wps:cNvPr id="177" name="文本框 177"/>
                              <wps:cNvSpPr txBox="1"/>
                              <wps:spPr>
                                <a:xfrm>
                                  <a:off x="8671" y="541439"/>
                                  <a:ext cx="1502"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AD73F2">
                                    <w:pPr>
                                      <w:jc w:val="center"/>
                                      <w:rPr>
                                        <w:rFonts w:hint="default" w:eastAsia="宋体"/>
                                        <w:sz w:val="21"/>
                                        <w:szCs w:val="21"/>
                                        <w:lang w:val="en-US" w:eastAsia="zh-CN"/>
                                      </w:rPr>
                                    </w:pPr>
                                    <w:r>
                                      <w:rPr>
                                        <w:rFonts w:hint="eastAsia" w:eastAsia="宋体"/>
                                        <w:sz w:val="21"/>
                                        <w:szCs w:val="21"/>
                                        <w:lang w:val="en-US" w:eastAsia="zh-CN"/>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5" name="文本框 175"/>
                              <wps:cNvSpPr txBox="1"/>
                              <wps:spPr>
                                <a:xfrm>
                                  <a:off x="8659" y="540371"/>
                                  <a:ext cx="1502"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34818E">
                                    <w:pPr>
                                      <w:jc w:val="center"/>
                                      <w:rPr>
                                        <w:rFonts w:hint="default" w:eastAsia="宋体"/>
                                        <w:sz w:val="21"/>
                                        <w:szCs w:val="21"/>
                                        <w:lang w:val="en-US" w:eastAsia="zh-CN"/>
                                      </w:rPr>
                                    </w:pPr>
                                    <w:r>
                                      <w:rPr>
                                        <w:rFonts w:hint="eastAsia" w:eastAsia="宋体"/>
                                        <w:sz w:val="21"/>
                                        <w:szCs w:val="21"/>
                                        <w:lang w:val="en-US" w:eastAsia="zh-CN"/>
                                      </w:rPr>
                                      <w:t>固化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6" name="直接箭头连接符 176"/>
                              <wps:cNvCnPr/>
                              <wps:spPr>
                                <a:xfrm flipH="1">
                                  <a:off x="9439" y="540890"/>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73" name="文本框 173"/>
                              <wps:cNvSpPr txBox="1"/>
                              <wps:spPr>
                                <a:xfrm>
                                  <a:off x="8635" y="539279"/>
                                  <a:ext cx="1502"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34C3DB">
                                    <w:pPr>
                                      <w:jc w:val="center"/>
                                      <w:rPr>
                                        <w:rFonts w:hint="default" w:eastAsia="宋体"/>
                                        <w:sz w:val="21"/>
                                        <w:szCs w:val="21"/>
                                        <w:lang w:val="en-US" w:eastAsia="zh-CN"/>
                                      </w:rPr>
                                    </w:pPr>
                                    <w:r>
                                      <w:rPr>
                                        <w:rFonts w:hint="eastAsia" w:eastAsia="宋体"/>
                                        <w:sz w:val="21"/>
                                        <w:szCs w:val="21"/>
                                        <w:lang w:val="en-US" w:eastAsia="zh-CN"/>
                                      </w:rPr>
                                      <w:t>喷塑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直接箭头连接符 174"/>
                              <wps:cNvCnPr/>
                              <wps:spPr>
                                <a:xfrm flipH="1">
                                  <a:off x="9439" y="539810"/>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96" name="文本框 196"/>
                              <wps:cNvSpPr txBox="1"/>
                              <wps:spPr>
                                <a:xfrm>
                                  <a:off x="7303" y="540395"/>
                                  <a:ext cx="962" cy="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B8DC6E4">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天然气</w:t>
                                    </w:r>
                                  </w:p>
                                  <w:p w14:paraId="77FD1D97">
                                    <w:pPr>
                                      <w:jc w:val="center"/>
                                      <w:rPr>
                                        <w:rFonts w:hint="default" w:eastAsia="宋体"/>
                                        <w:sz w:val="21"/>
                                        <w:szCs w:val="21"/>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192" name="文本框 192"/>
                              <wps:cNvSpPr txBox="1"/>
                              <wps:spPr>
                                <a:xfrm>
                                  <a:off x="10411" y="540407"/>
                                  <a:ext cx="1502" cy="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9E7ED60">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G3-5</w:t>
                                    </w:r>
                                  </w:p>
                                  <w:p w14:paraId="742E7AE8">
                                    <w:pPr>
                                      <w:jc w:val="center"/>
                                      <w:rPr>
                                        <w:rFonts w:hint="default" w:eastAsia="宋体"/>
                                        <w:sz w:val="21"/>
                                        <w:szCs w:val="21"/>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194" name="文本框 194"/>
                              <wps:cNvSpPr txBox="1"/>
                              <wps:spPr>
                                <a:xfrm>
                                  <a:off x="7375" y="539291"/>
                                  <a:ext cx="890" cy="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6F1E594">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塑粉</w:t>
                                    </w:r>
                                  </w:p>
                                  <w:p w14:paraId="2248046C">
                                    <w:pPr>
                                      <w:jc w:val="center"/>
                                      <w:rPr>
                                        <w:rFonts w:hint="default" w:eastAsia="宋体"/>
                                        <w:sz w:val="21"/>
                                        <w:szCs w:val="21"/>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171" name="文本框 171"/>
                              <wps:cNvSpPr txBox="1"/>
                              <wps:spPr>
                                <a:xfrm>
                                  <a:off x="8623" y="538151"/>
                                  <a:ext cx="1502"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7B9969">
                                    <w:pPr>
                                      <w:jc w:val="center"/>
                                      <w:rPr>
                                        <w:rFonts w:hint="default" w:eastAsia="宋体"/>
                                        <w:sz w:val="21"/>
                                        <w:szCs w:val="21"/>
                                        <w:lang w:val="en-US" w:eastAsia="zh-CN"/>
                                      </w:rPr>
                                    </w:pPr>
                                    <w:r>
                                      <w:rPr>
                                        <w:rFonts w:hint="eastAsia" w:eastAsia="宋体"/>
                                        <w:sz w:val="21"/>
                                        <w:szCs w:val="21"/>
                                        <w:lang w:val="en-US" w:eastAsia="zh-CN"/>
                                      </w:rPr>
                                      <w:t>打磨抛光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2" name="直接箭头连接符 172"/>
                              <wps:cNvCnPr/>
                              <wps:spPr>
                                <a:xfrm flipH="1">
                                  <a:off x="9391" y="538682"/>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90" name="文本框 190"/>
                              <wps:cNvSpPr txBox="1"/>
                              <wps:spPr>
                                <a:xfrm>
                                  <a:off x="10339" y="539279"/>
                                  <a:ext cx="1502" cy="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C71665A">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G3-4</w:t>
                                    </w:r>
                                  </w:p>
                                  <w:p w14:paraId="3AC3FCA2">
                                    <w:pPr>
                                      <w:jc w:val="center"/>
                                      <w:rPr>
                                        <w:rFonts w:hint="default" w:eastAsia="宋体"/>
                                        <w:sz w:val="21"/>
                                        <w:szCs w:val="21"/>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187" name="文本框 187"/>
                              <wps:cNvSpPr txBox="1"/>
                              <wps:spPr>
                                <a:xfrm>
                                  <a:off x="10579" y="538163"/>
                                  <a:ext cx="1502" cy="510"/>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07E8F557">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G3-3、</w:t>
                                    </w:r>
                                    <w:r>
                                      <w:rPr>
                                        <w:rFonts w:ascii="Times New Roman" w:hAnsi="Times New Roman" w:cs="Times New Roman"/>
                                        <w:lang w:eastAsia="zh-CN"/>
                                      </w:rPr>
                                      <w:t>N</w:t>
                                    </w:r>
                                    <w:r>
                                      <w:rPr>
                                        <w:rFonts w:hint="eastAsia" w:ascii="Times New Roman" w:hAnsi="Times New Roman" w:cs="Times New Roman"/>
                                        <w:lang w:val="en-US" w:eastAsia="zh-CN"/>
                                      </w:rPr>
                                      <w:t>3</w:t>
                                    </w:r>
                                    <w:r>
                                      <w:rPr>
                                        <w:rFonts w:hint="eastAsia" w:cs="Times New Roman"/>
                                        <w:lang w:val="en-US" w:eastAsia="zh-CN"/>
                                      </w:rPr>
                                      <w:t>-5</w:t>
                                    </w:r>
                                  </w:p>
                                  <w:p w14:paraId="309D1A10">
                                    <w:pPr>
                                      <w:jc w:val="center"/>
                                      <w:rPr>
                                        <w:rFonts w:hint="default" w:ascii="Times New Roman" w:hAnsi="Times New Roman" w:cs="Times New Roman" w:eastAsiaTheme="minorEastAsia"/>
                                        <w:lang w:val="en-US" w:eastAsia="zh-CN"/>
                                      </w:rPr>
                                    </w:pPr>
                                  </w:p>
                                  <w:p w14:paraId="0F3FEC44">
                                    <w:pPr>
                                      <w:jc w:val="center"/>
                                      <w:rPr>
                                        <w:rFonts w:hint="default" w:eastAsia="宋体"/>
                                        <w:sz w:val="21"/>
                                        <w:szCs w:val="21"/>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169" name="文本框 169"/>
                              <wps:cNvSpPr txBox="1"/>
                              <wps:spPr>
                                <a:xfrm>
                                  <a:off x="8623" y="537059"/>
                                  <a:ext cx="1502"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0F7607">
                                    <w:pPr>
                                      <w:jc w:val="center"/>
                                      <w:rPr>
                                        <w:rFonts w:hint="default" w:eastAsia="宋体"/>
                                        <w:sz w:val="21"/>
                                        <w:szCs w:val="21"/>
                                        <w:lang w:val="en-US" w:eastAsia="zh-CN"/>
                                      </w:rPr>
                                    </w:pPr>
                                    <w:r>
                                      <w:rPr>
                                        <w:rFonts w:hint="eastAsia" w:eastAsia="宋体"/>
                                        <w:sz w:val="21"/>
                                        <w:szCs w:val="21"/>
                                        <w:lang w:val="en-US" w:eastAsia="zh-CN"/>
                                      </w:rPr>
                                      <w:t>折弯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直接箭头连接符 170"/>
                              <wps:cNvCnPr/>
                              <wps:spPr>
                                <a:xfrm flipH="1">
                                  <a:off x="9403" y="537578"/>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85" name="文本框 185"/>
                              <wps:cNvSpPr txBox="1"/>
                              <wps:spPr>
                                <a:xfrm>
                                  <a:off x="10339" y="537059"/>
                                  <a:ext cx="1502" cy="510"/>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6A6FEE35">
                                    <w:pPr>
                                      <w:jc w:val="center"/>
                                      <w:rPr>
                                        <w:rFonts w:hint="default" w:ascii="Times New Roman" w:hAnsi="Times New Roman" w:cs="Times New Roman" w:eastAsiaTheme="minorEastAsia"/>
                                        <w:lang w:val="en-US" w:eastAsia="zh-CN"/>
                                      </w:rPr>
                                    </w:pPr>
                                    <w:r>
                                      <w:rPr>
                                        <w:rFonts w:ascii="Times New Roman" w:hAnsi="Times New Roman" w:cs="Times New Roman"/>
                                        <w:lang w:eastAsia="zh-CN"/>
                                      </w:rPr>
                                      <w:t>N</w:t>
                                    </w:r>
                                    <w:r>
                                      <w:rPr>
                                        <w:rFonts w:hint="eastAsia" w:ascii="Times New Roman" w:hAnsi="Times New Roman" w:cs="Times New Roman"/>
                                        <w:lang w:val="en-US" w:eastAsia="zh-CN"/>
                                      </w:rPr>
                                      <w:t>3</w:t>
                                    </w:r>
                                    <w:r>
                                      <w:rPr>
                                        <w:rFonts w:hint="eastAsia" w:cs="Times New Roman"/>
                                        <w:lang w:val="en-US" w:eastAsia="zh-CN"/>
                                      </w:rPr>
                                      <w:t>-4</w:t>
                                    </w:r>
                                  </w:p>
                                  <w:p w14:paraId="68127F8F">
                                    <w:pPr>
                                      <w:jc w:val="center"/>
                                      <w:rPr>
                                        <w:rFonts w:hint="default" w:eastAsia="宋体"/>
                                        <w:sz w:val="21"/>
                                        <w:szCs w:val="21"/>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191" name="直接箭头连接符 191"/>
                              <wps:cNvCnPr/>
                              <wps:spPr>
                                <a:xfrm rot="16200000" flipH="1">
                                  <a:off x="10459" y="540374"/>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83" name="文本框 183"/>
                              <wps:cNvSpPr txBox="1"/>
                              <wps:spPr>
                                <a:xfrm>
                                  <a:off x="10711" y="535967"/>
                                  <a:ext cx="1502" cy="510"/>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4F95F79C">
                                    <w:pPr>
                                      <w:jc w:val="center"/>
                                      <w:rPr>
                                        <w:rFonts w:hint="default" w:ascii="Times New Roman" w:hAnsi="Times New Roman" w:cs="Times New Roman" w:eastAsiaTheme="minorEastAsia"/>
                                        <w:lang w:val="en-US" w:eastAsia="zh-CN"/>
                                      </w:rPr>
                                    </w:pPr>
                                    <w:r>
                                      <w:rPr>
                                        <w:rFonts w:hint="eastAsia" w:eastAsia="宋体"/>
                                        <w:sz w:val="21"/>
                                        <w:szCs w:val="21"/>
                                        <w:lang w:val="en-US" w:eastAsia="zh-CN"/>
                                      </w:rPr>
                                      <w:t>G3-2、</w:t>
                                    </w:r>
                                    <w:r>
                                      <w:rPr>
                                        <w:rFonts w:ascii="Times New Roman" w:hAnsi="Times New Roman" w:cs="Times New Roman"/>
                                        <w:lang w:eastAsia="zh-CN"/>
                                      </w:rPr>
                                      <w:t>S</w:t>
                                    </w:r>
                                    <w:r>
                                      <w:rPr>
                                        <w:rFonts w:hint="eastAsia" w:ascii="Times New Roman" w:hAnsi="Times New Roman" w:cs="Times New Roman"/>
                                        <w:lang w:val="en-US" w:eastAsia="zh-CN"/>
                                      </w:rPr>
                                      <w:t>3</w:t>
                                    </w:r>
                                    <w:r>
                                      <w:rPr>
                                        <w:rFonts w:hint="eastAsia" w:cs="Times New Roman"/>
                                        <w:lang w:val="en-US" w:eastAsia="zh-CN"/>
                                      </w:rPr>
                                      <w:t>-2</w:t>
                                    </w:r>
                                    <w:r>
                                      <w:rPr>
                                        <w:rFonts w:ascii="Times New Roman" w:hAnsi="Times New Roman" w:cs="Times New Roman"/>
                                        <w:lang w:eastAsia="zh-CN"/>
                                      </w:rPr>
                                      <w:t>、N</w:t>
                                    </w:r>
                                    <w:r>
                                      <w:rPr>
                                        <w:rFonts w:hint="eastAsia" w:ascii="Times New Roman" w:hAnsi="Times New Roman" w:cs="Times New Roman"/>
                                        <w:lang w:val="en-US" w:eastAsia="zh-CN"/>
                                      </w:rPr>
                                      <w:t>3</w:t>
                                    </w:r>
                                    <w:r>
                                      <w:rPr>
                                        <w:rFonts w:hint="eastAsia" w:cs="Times New Roman"/>
                                        <w:lang w:val="en-US" w:eastAsia="zh-CN"/>
                                      </w:rPr>
                                      <w:t>-3</w:t>
                                    </w:r>
                                  </w:p>
                                  <w:p w14:paraId="1B555F95">
                                    <w:pPr>
                                      <w:jc w:val="center"/>
                                      <w:rPr>
                                        <w:rFonts w:hint="default" w:eastAsia="宋体"/>
                                        <w:sz w:val="21"/>
                                        <w:szCs w:val="21"/>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167" name="文本框 167"/>
                              <wps:cNvSpPr txBox="1"/>
                              <wps:spPr>
                                <a:xfrm>
                                  <a:off x="8623" y="535955"/>
                                  <a:ext cx="1502"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EB71F9">
                                    <w:pPr>
                                      <w:jc w:val="center"/>
                                      <w:rPr>
                                        <w:rFonts w:hint="eastAsia" w:eastAsia="宋体"/>
                                        <w:sz w:val="21"/>
                                        <w:szCs w:val="21"/>
                                        <w:lang w:val="en-US" w:eastAsia="zh-CN"/>
                                      </w:rPr>
                                    </w:pPr>
                                    <w:r>
                                      <w:rPr>
                                        <w:rFonts w:hint="eastAsia"/>
                                        <w:sz w:val="21"/>
                                        <w:szCs w:val="21"/>
                                        <w:lang w:val="en-US" w:eastAsia="zh-CN"/>
                                      </w:rPr>
                                      <w:t>抛丸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直接箭头连接符 168"/>
                              <wps:cNvCnPr/>
                              <wps:spPr>
                                <a:xfrm flipH="1">
                                  <a:off x="9379" y="536474"/>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89" name="直接箭头连接符 189"/>
                              <wps:cNvCnPr/>
                              <wps:spPr>
                                <a:xfrm rot="16200000" flipH="1">
                                  <a:off x="10423" y="539246"/>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81" name="文本框 181"/>
                              <wps:cNvSpPr txBox="1"/>
                              <wps:spPr>
                                <a:xfrm>
                                  <a:off x="10711" y="534863"/>
                                  <a:ext cx="1502" cy="510"/>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1BF98D9E">
                                    <w:pPr>
                                      <w:jc w:val="center"/>
                                      <w:rPr>
                                        <w:rFonts w:hint="default" w:ascii="Times New Roman" w:hAnsi="Times New Roman" w:cs="Times New Roman" w:eastAsiaTheme="minorEastAsia"/>
                                        <w:lang w:val="en-US" w:eastAsia="zh-CN"/>
                                      </w:rPr>
                                    </w:pPr>
                                    <w:r>
                                      <w:rPr>
                                        <w:rFonts w:hint="eastAsia" w:eastAsia="宋体"/>
                                        <w:sz w:val="21"/>
                                        <w:szCs w:val="21"/>
                                        <w:lang w:val="en-US" w:eastAsia="zh-CN"/>
                                      </w:rPr>
                                      <w:t>G3-1、</w:t>
                                    </w:r>
                                    <w:r>
                                      <w:rPr>
                                        <w:rFonts w:ascii="Times New Roman" w:hAnsi="Times New Roman" w:cs="Times New Roman"/>
                                        <w:lang w:eastAsia="zh-CN"/>
                                      </w:rPr>
                                      <w:t>S</w:t>
                                    </w:r>
                                    <w:r>
                                      <w:rPr>
                                        <w:rFonts w:hint="eastAsia" w:ascii="Times New Roman" w:hAnsi="Times New Roman" w:cs="Times New Roman"/>
                                        <w:lang w:val="en-US" w:eastAsia="zh-CN"/>
                                      </w:rPr>
                                      <w:t>3</w:t>
                                    </w:r>
                                    <w:r>
                                      <w:rPr>
                                        <w:rFonts w:hint="eastAsia" w:cs="Times New Roman"/>
                                        <w:lang w:val="en-US" w:eastAsia="zh-CN"/>
                                      </w:rPr>
                                      <w:t>-1</w:t>
                                    </w:r>
                                    <w:r>
                                      <w:rPr>
                                        <w:rFonts w:ascii="Times New Roman" w:hAnsi="Times New Roman" w:cs="Times New Roman"/>
                                        <w:lang w:eastAsia="zh-CN"/>
                                      </w:rPr>
                                      <w:t>、N</w:t>
                                    </w:r>
                                    <w:r>
                                      <w:rPr>
                                        <w:rFonts w:hint="eastAsia" w:ascii="Times New Roman" w:hAnsi="Times New Roman" w:cs="Times New Roman"/>
                                        <w:lang w:val="en-US" w:eastAsia="zh-CN"/>
                                      </w:rPr>
                                      <w:t>3</w:t>
                                    </w:r>
                                    <w:r>
                                      <w:rPr>
                                        <w:rFonts w:hint="eastAsia" w:cs="Times New Roman"/>
                                        <w:lang w:val="en-US" w:eastAsia="zh-CN"/>
                                      </w:rPr>
                                      <w:t>-1</w:t>
                                    </w:r>
                                  </w:p>
                                  <w:p w14:paraId="5587AA89">
                                    <w:pPr>
                                      <w:jc w:val="center"/>
                                      <w:rPr>
                                        <w:rFonts w:hint="default" w:eastAsia="宋体"/>
                                        <w:sz w:val="21"/>
                                        <w:szCs w:val="21"/>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186" name="直接箭头连接符 186"/>
                              <wps:cNvCnPr/>
                              <wps:spPr>
                                <a:xfrm rot="16200000" flipH="1">
                                  <a:off x="10435" y="538118"/>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65" name="文本框 165"/>
                              <wps:cNvSpPr txBox="1"/>
                              <wps:spPr>
                                <a:xfrm>
                                  <a:off x="8599" y="534863"/>
                                  <a:ext cx="1502"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A37E89">
                                    <w:pPr>
                                      <w:jc w:val="center"/>
                                      <w:rPr>
                                        <w:rFonts w:hint="default" w:eastAsia="宋体"/>
                                        <w:sz w:val="21"/>
                                        <w:szCs w:val="21"/>
                                        <w:lang w:val="en-US" w:eastAsia="zh-CN"/>
                                      </w:rPr>
                                    </w:pPr>
                                    <w:r>
                                      <w:rPr>
                                        <w:rFonts w:hint="eastAsia"/>
                                        <w:sz w:val="21"/>
                                        <w:szCs w:val="21"/>
                                        <w:lang w:val="en-US" w:eastAsia="zh-CN"/>
                                      </w:rPr>
                                      <w:t>下料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直接箭头连接符 166"/>
                              <wps:cNvCnPr/>
                              <wps:spPr>
                                <a:xfrm flipH="1">
                                  <a:off x="9379" y="535382"/>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95" name="直接箭头连接符 195"/>
                              <wps:cNvCnPr/>
                              <wps:spPr>
                                <a:xfrm rot="16200000" flipH="1">
                                  <a:off x="8395" y="540350"/>
                                  <a:ext cx="1" cy="567"/>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84" name="直接箭头连接符 184"/>
                              <wps:cNvCnPr/>
                              <wps:spPr>
                                <a:xfrm rot="16200000" flipH="1">
                                  <a:off x="10411" y="537026"/>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93" name="直接箭头连接符 193"/>
                              <wps:cNvCnPr/>
                              <wps:spPr>
                                <a:xfrm rot="16200000" flipH="1">
                                  <a:off x="8371" y="539258"/>
                                  <a:ext cx="1" cy="567"/>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82" name="直接箭头连接符 182"/>
                              <wps:cNvCnPr/>
                              <wps:spPr>
                                <a:xfrm rot="16200000" flipH="1">
                                  <a:off x="10423" y="535922"/>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s:wsp>
                              <wps:cNvPr id="163" name="文本框 163"/>
                              <wps:cNvSpPr txBox="1"/>
                              <wps:spPr>
                                <a:xfrm>
                                  <a:off x="8407" y="533759"/>
                                  <a:ext cx="1967" cy="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DE9DA4">
                                    <w:pPr>
                                      <w:jc w:val="center"/>
                                      <w:rPr>
                                        <w:rFonts w:hint="eastAsia" w:eastAsia="宋体"/>
                                        <w:sz w:val="21"/>
                                        <w:szCs w:val="21"/>
                                        <w:lang w:val="en-US" w:eastAsia="zh-CN"/>
                                      </w:rPr>
                                    </w:pPr>
                                    <w:r>
                                      <w:rPr>
                                        <w:rFonts w:hint="eastAsia"/>
                                        <w:sz w:val="21"/>
                                        <w:szCs w:val="21"/>
                                        <w:lang w:val="en-US" w:eastAsia="zh-CN"/>
                                      </w:rPr>
                                      <w:t>钢带、钢板等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 name="直接箭头连接符 164"/>
                              <wps:cNvCnPr/>
                              <wps:spPr>
                                <a:xfrm flipH="1">
                                  <a:off x="9343" y="534290"/>
                                  <a:ext cx="1" cy="567"/>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80" name="直接箭头连接符 180"/>
                              <wps:cNvCnPr/>
                              <wps:spPr>
                                <a:xfrm rot="16200000" flipH="1">
                                  <a:off x="10399" y="534830"/>
                                  <a:ext cx="1" cy="567"/>
                                </a:xfrm>
                                <a:prstGeom prst="straightConnector1">
                                  <a:avLst/>
                                </a:prstGeom>
                                <a:ln w="12700" cmpd="sng">
                                  <a:solidFill>
                                    <a:schemeClr val="tx1"/>
                                  </a:solidFill>
                                  <a:prstDash val="dashDot"/>
                                  <a:tailEnd type="triangle"/>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74pt;margin-top:14.5pt;height:390.35pt;width:245.5pt;z-index:251660288;mso-width-relative:page;mso-height-relative:page;" coordorigin="7303,533759" coordsize="4910,8190" o:gfxdata="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">
                      <o:lock v:ext="edit" aspectratio="f"/>
                      <v:shape id="_x0000_s1026" o:spid="_x0000_s1026" o:spt="202" type="#_x0000_t202" style="position:absolute;left:8671;top:541439;height:510;width:1502;" fillcolor="#FFFFFF [3201]" filled="t" stroked="t" coordsize="21600,21600" o:gfxdata="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dL/T+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63AD73F2">
                              <w:pPr>
                                <w:jc w:val="center"/>
                                <w:rPr>
                                  <w:rFonts w:hint="default" w:eastAsia="宋体"/>
                                  <w:sz w:val="21"/>
                                  <w:szCs w:val="21"/>
                                  <w:lang w:val="en-US" w:eastAsia="zh-CN"/>
                                </w:rPr>
                              </w:pPr>
                              <w:r>
                                <w:rPr>
                                  <w:rFonts w:hint="eastAsia" w:eastAsia="宋体"/>
                                  <w:sz w:val="21"/>
                                  <w:szCs w:val="21"/>
                                  <w:lang w:val="en-US" w:eastAsia="zh-CN"/>
                                </w:rPr>
                                <w:t>包装</w:t>
                              </w:r>
                            </w:p>
                          </w:txbxContent>
                        </v:textbox>
                      </v:shape>
                      <v:shape id="_x0000_s1026" o:spid="_x0000_s1026" o:spt="202" type="#_x0000_t202" style="position:absolute;left:8659;top:540371;height:510;width:1502;" fillcolor="#FFFFFF [3201]" filled="t" stroked="t" coordsize="21600,21600" o:gfxdata="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jVxtO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0734818E">
                              <w:pPr>
                                <w:jc w:val="center"/>
                                <w:rPr>
                                  <w:rFonts w:hint="default" w:eastAsia="宋体"/>
                                  <w:sz w:val="21"/>
                                  <w:szCs w:val="21"/>
                                  <w:lang w:val="en-US" w:eastAsia="zh-CN"/>
                                </w:rPr>
                              </w:pPr>
                              <w:r>
                                <w:rPr>
                                  <w:rFonts w:hint="eastAsia" w:eastAsia="宋体"/>
                                  <w:sz w:val="21"/>
                                  <w:szCs w:val="21"/>
                                  <w:lang w:val="en-US" w:eastAsia="zh-CN"/>
                                </w:rPr>
                                <w:t>固化</w:t>
                              </w:r>
                            </w:p>
                          </w:txbxContent>
                        </v:textbox>
                      </v:shape>
                      <v:shape id="_x0000_s1026" o:spid="_x0000_s1026" o:spt="32" type="#_x0000_t32" style="position:absolute;left:9439;top:540890;flip:x;height:567;width:1;" filled="f" stroked="t" coordsize="21600,21600" o:gfxdata="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9vN7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202" type="#_x0000_t202" style="position:absolute;left:8635;top:539279;height:510;width:1502;" fillcolor="#FFFFFF [3201]" filled="t" stroked="t" coordsize="21600,21600" o:gfxdata="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HD7P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3A34C3DB">
                              <w:pPr>
                                <w:jc w:val="center"/>
                                <w:rPr>
                                  <w:rFonts w:hint="default" w:eastAsia="宋体"/>
                                  <w:sz w:val="21"/>
                                  <w:szCs w:val="21"/>
                                  <w:lang w:val="en-US" w:eastAsia="zh-CN"/>
                                </w:rPr>
                              </w:pPr>
                              <w:r>
                                <w:rPr>
                                  <w:rFonts w:hint="eastAsia" w:eastAsia="宋体"/>
                                  <w:sz w:val="21"/>
                                  <w:szCs w:val="21"/>
                                  <w:lang w:val="en-US" w:eastAsia="zh-CN"/>
                                </w:rPr>
                                <w:t>喷塑</w:t>
                              </w:r>
                            </w:p>
                          </w:txbxContent>
                        </v:textbox>
                      </v:shape>
                      <v:shape id="_x0000_s1026" o:spid="_x0000_s1026" o:spt="32" type="#_x0000_t32" style="position:absolute;left:9439;top:539810;flip:x;height:567;width:1;" filled="f" stroked="t" coordsize="21600,21600" o:gfxdata="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xVNu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202" type="#_x0000_t202" style="position:absolute;left:7303;top:540395;height:510;width:962;" fillcolor="#FFFFFF [3201]" filled="t" stroked="f" coordsize="21600,21600" o:gfxdata="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6fL+Q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1.27mm,0mm,1.27mm">
                          <w:txbxContent>
                            <w:p w14:paraId="4B8DC6E4">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天然气</w:t>
                              </w:r>
                            </w:p>
                            <w:p w14:paraId="77FD1D97">
                              <w:pPr>
                                <w:jc w:val="center"/>
                                <w:rPr>
                                  <w:rFonts w:hint="default" w:eastAsia="宋体"/>
                                  <w:sz w:val="21"/>
                                  <w:szCs w:val="21"/>
                                  <w:lang w:val="en-US" w:eastAsia="zh-CN"/>
                                </w:rPr>
                              </w:pPr>
                            </w:p>
                          </w:txbxContent>
                        </v:textbox>
                      </v:shape>
                      <v:shape id="_x0000_s1026" o:spid="_x0000_s1026" o:spt="202" type="#_x0000_t202" style="position:absolute;left:10411;top:540407;height:510;width:1502;" fillcolor="#FFFFFF [3201]" filled="t" stroked="f" coordsize="21600,21600" o:gfxdata="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R7mT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1.27mm,0mm,1.27mm">
                          <w:txbxContent>
                            <w:p w14:paraId="69E7ED60">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G3-5</w:t>
                              </w:r>
                            </w:p>
                            <w:p w14:paraId="742E7AE8">
                              <w:pPr>
                                <w:jc w:val="center"/>
                                <w:rPr>
                                  <w:rFonts w:hint="default" w:eastAsia="宋体"/>
                                  <w:sz w:val="21"/>
                                  <w:szCs w:val="21"/>
                                  <w:lang w:val="en-US" w:eastAsia="zh-CN"/>
                                </w:rPr>
                              </w:pPr>
                            </w:p>
                          </w:txbxContent>
                        </v:textbox>
                      </v:shape>
                      <v:shape id="_x0000_s1026" o:spid="_x0000_s1026" o:spt="202" type="#_x0000_t202" style="position:absolute;left:7375;top:539291;height:510;width:890;" fillcolor="#FFFFFF [3201]" filled="t" stroked="f" coordsize="21600,21600" o:gfxdata="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l4oR8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1.27mm,0mm,1.27mm">
                          <w:txbxContent>
                            <w:p w14:paraId="06F1E594">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塑粉</w:t>
                              </w:r>
                            </w:p>
                            <w:p w14:paraId="2248046C">
                              <w:pPr>
                                <w:jc w:val="center"/>
                                <w:rPr>
                                  <w:rFonts w:hint="default" w:eastAsia="宋体"/>
                                  <w:sz w:val="21"/>
                                  <w:szCs w:val="21"/>
                                  <w:lang w:val="en-US" w:eastAsia="zh-CN"/>
                                </w:rPr>
                              </w:pPr>
                            </w:p>
                          </w:txbxContent>
                        </v:textbox>
                      </v:shape>
                      <v:shape id="_x0000_s1026" o:spid="_x0000_s1026" o:spt="202" type="#_x0000_t202" style="position:absolute;left:8623;top:538151;height:510;width:1502;" fillcolor="#FFFFFF [3201]" filled="t" stroked="t" coordsize="21600,21600" o:gfxdata="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7A0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17B9969">
                              <w:pPr>
                                <w:jc w:val="center"/>
                                <w:rPr>
                                  <w:rFonts w:hint="default" w:eastAsia="宋体"/>
                                  <w:sz w:val="21"/>
                                  <w:szCs w:val="21"/>
                                  <w:lang w:val="en-US" w:eastAsia="zh-CN"/>
                                </w:rPr>
                              </w:pPr>
                              <w:r>
                                <w:rPr>
                                  <w:rFonts w:hint="eastAsia" w:eastAsia="宋体"/>
                                  <w:sz w:val="21"/>
                                  <w:szCs w:val="21"/>
                                  <w:lang w:val="en-US" w:eastAsia="zh-CN"/>
                                </w:rPr>
                                <w:t>打磨抛光</w:t>
                              </w:r>
                            </w:p>
                          </w:txbxContent>
                        </v:textbox>
                      </v:shape>
                      <v:shape id="_x0000_s1026" o:spid="_x0000_s1026" o:spt="32" type="#_x0000_t32" style="position:absolute;left:9391;top:538682;flip:x;height:567;width:1;" filled="f" stroked="t" coordsize="21600,21600" o:gfxdata="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RpNL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202" type="#_x0000_t202" style="position:absolute;left:10339;top:539279;height:510;width:1502;" fillcolor="#FFFFFF [3201]" filled="t" stroked="f" coordsize="21600,21600" o:gfxdata="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2YJ/vQAA&#10;ANwAAAAPAAAAAAAAAAEAIAAAACIAAABkcnMvZG93bnJldi54bWxQSwECFAAUAAAACACHTuJAMy8F&#10;njsAAAA5AAAAEAAAAAAAAAABACAAAAAMAQAAZHJzL3NoYXBleG1sLnhtbFBLBQYAAAAABgAGAFsB&#10;AAC2AwAAAAA=&#10;">
                        <v:fill on="t" focussize="0,0"/>
                        <v:stroke on="f" weight="0.5pt"/>
                        <v:imagedata o:title=""/>
                        <o:lock v:ext="edit" aspectratio="f"/>
                        <v:textbox inset="0mm,1.27mm,0mm,1.27mm">
                          <w:txbxContent>
                            <w:p w14:paraId="4C71665A">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G3-4</w:t>
                              </w:r>
                            </w:p>
                            <w:p w14:paraId="3AC3FCA2">
                              <w:pPr>
                                <w:jc w:val="center"/>
                                <w:rPr>
                                  <w:rFonts w:hint="default" w:eastAsia="宋体"/>
                                  <w:sz w:val="21"/>
                                  <w:szCs w:val="21"/>
                                  <w:lang w:val="en-US" w:eastAsia="zh-CN"/>
                                </w:rPr>
                              </w:pPr>
                            </w:p>
                          </w:txbxContent>
                        </v:textbox>
                      </v:shape>
                      <v:shape id="_x0000_s1026" o:spid="_x0000_s1026" o:spt="202" type="#_x0000_t202" style="position:absolute;left:10579;top:538163;height:510;width:1502;" fillcolor="#FFFFFF [3201]" filled="t" stroked="t" coordsize="21600,21600" o:gfxdata="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UPPugAAANwA&#10;AAAPAAAAAAAAAAEAIAAAACIAAABkcnMvZG93bnJldi54bWxQSwECFAAUAAAACACHTuJAMy8FnjsA&#10;AAA5AAAAEAAAAAAAAAABACAAAAAJAQAAZHJzL3NoYXBleG1sLnhtbFBLBQYAAAAABgAGAFsBAACz&#10;AwAAAAA=&#10;">
                        <v:fill on="t" focussize="0,0"/>
                        <v:stroke weight="0.5pt" color="#000000 [3204]" opacity="0f" joinstyle="round"/>
                        <v:imagedata o:title=""/>
                        <o:lock v:ext="edit" aspectratio="f"/>
                        <v:textbox inset="0mm,1.27mm,0mm,1.27mm">
                          <w:txbxContent>
                            <w:p w14:paraId="07E8F557">
                              <w:pPr>
                                <w:jc w:val="cente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G3-3、</w:t>
                              </w:r>
                              <w:r>
                                <w:rPr>
                                  <w:rFonts w:ascii="Times New Roman" w:hAnsi="Times New Roman" w:cs="Times New Roman"/>
                                  <w:lang w:eastAsia="zh-CN"/>
                                </w:rPr>
                                <w:t>N</w:t>
                              </w:r>
                              <w:r>
                                <w:rPr>
                                  <w:rFonts w:hint="eastAsia" w:ascii="Times New Roman" w:hAnsi="Times New Roman" w:cs="Times New Roman"/>
                                  <w:lang w:val="en-US" w:eastAsia="zh-CN"/>
                                </w:rPr>
                                <w:t>3</w:t>
                              </w:r>
                              <w:r>
                                <w:rPr>
                                  <w:rFonts w:hint="eastAsia" w:cs="Times New Roman"/>
                                  <w:lang w:val="en-US" w:eastAsia="zh-CN"/>
                                </w:rPr>
                                <w:t>-5</w:t>
                              </w:r>
                            </w:p>
                            <w:p w14:paraId="309D1A10">
                              <w:pPr>
                                <w:jc w:val="center"/>
                                <w:rPr>
                                  <w:rFonts w:hint="default" w:ascii="Times New Roman" w:hAnsi="Times New Roman" w:cs="Times New Roman" w:eastAsiaTheme="minorEastAsia"/>
                                  <w:lang w:val="en-US" w:eastAsia="zh-CN"/>
                                </w:rPr>
                              </w:pPr>
                            </w:p>
                            <w:p w14:paraId="0F3FEC44">
                              <w:pPr>
                                <w:jc w:val="center"/>
                                <w:rPr>
                                  <w:rFonts w:hint="default" w:eastAsia="宋体"/>
                                  <w:sz w:val="21"/>
                                  <w:szCs w:val="21"/>
                                  <w:lang w:val="en-US" w:eastAsia="zh-CN"/>
                                </w:rPr>
                              </w:pPr>
                            </w:p>
                          </w:txbxContent>
                        </v:textbox>
                      </v:shape>
                      <v:shape id="_x0000_s1026" o:spid="_x0000_s1026" o:spt="202" type="#_x0000_t202" style="position:absolute;left:8623;top:537059;height:510;width:1502;" fillcolor="#FFFFFF [3201]" filled="t" stroked="t" coordsize="21600,21600" o:gfxdata="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EFaC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A0F7607">
                              <w:pPr>
                                <w:jc w:val="center"/>
                                <w:rPr>
                                  <w:rFonts w:hint="default" w:eastAsia="宋体"/>
                                  <w:sz w:val="21"/>
                                  <w:szCs w:val="21"/>
                                  <w:lang w:val="en-US" w:eastAsia="zh-CN"/>
                                </w:rPr>
                              </w:pPr>
                              <w:r>
                                <w:rPr>
                                  <w:rFonts w:hint="eastAsia" w:eastAsia="宋体"/>
                                  <w:sz w:val="21"/>
                                  <w:szCs w:val="21"/>
                                  <w:lang w:val="en-US" w:eastAsia="zh-CN"/>
                                </w:rPr>
                                <w:t>折弯</w:t>
                              </w:r>
                            </w:p>
                          </w:txbxContent>
                        </v:textbox>
                      </v:shape>
                      <v:shape id="_x0000_s1026" o:spid="_x0000_s1026" o:spt="32" type="#_x0000_t32" style="position:absolute;left:9403;top:537578;flip:x;height:567;width:1;" filled="f" stroked="t" coordsize="21600,21600" o:gfxdata="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pS2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202" type="#_x0000_t202" style="position:absolute;left:10339;top:537059;height:510;width:1502;" fillcolor="#FFFFFF [3201]" filled="t" stroked="t" coordsize="21600,21600" o:gfxdata="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beCO8AAAA&#10;3AAAAA8AAAAAAAAAAQAgAAAAIgAAAGRycy9kb3ducmV2LnhtbFBLAQIUABQAAAAIAIdO4kAzLwWe&#10;OwAAADkAAAAQAAAAAAAAAAEAIAAAAAsBAABkcnMvc2hhcGV4bWwueG1sUEsFBgAAAAAGAAYAWwEA&#10;ALUDAAAAAA==&#10;">
                        <v:fill on="t" focussize="0,0"/>
                        <v:stroke weight="0.5pt" color="#000000 [3204]" opacity="0f" joinstyle="round"/>
                        <v:imagedata o:title=""/>
                        <o:lock v:ext="edit" aspectratio="f"/>
                        <v:textbox inset="0mm,1.27mm,0mm,1.27mm">
                          <w:txbxContent>
                            <w:p w14:paraId="6A6FEE35">
                              <w:pPr>
                                <w:jc w:val="center"/>
                                <w:rPr>
                                  <w:rFonts w:hint="default" w:ascii="Times New Roman" w:hAnsi="Times New Roman" w:cs="Times New Roman" w:eastAsiaTheme="minorEastAsia"/>
                                  <w:lang w:val="en-US" w:eastAsia="zh-CN"/>
                                </w:rPr>
                              </w:pPr>
                              <w:r>
                                <w:rPr>
                                  <w:rFonts w:ascii="Times New Roman" w:hAnsi="Times New Roman" w:cs="Times New Roman"/>
                                  <w:lang w:eastAsia="zh-CN"/>
                                </w:rPr>
                                <w:t>N</w:t>
                              </w:r>
                              <w:r>
                                <w:rPr>
                                  <w:rFonts w:hint="eastAsia" w:ascii="Times New Roman" w:hAnsi="Times New Roman" w:cs="Times New Roman"/>
                                  <w:lang w:val="en-US" w:eastAsia="zh-CN"/>
                                </w:rPr>
                                <w:t>3</w:t>
                              </w:r>
                              <w:r>
                                <w:rPr>
                                  <w:rFonts w:hint="eastAsia" w:cs="Times New Roman"/>
                                  <w:lang w:val="en-US" w:eastAsia="zh-CN"/>
                                </w:rPr>
                                <w:t>-4</w:t>
                              </w:r>
                            </w:p>
                            <w:p w14:paraId="68127F8F">
                              <w:pPr>
                                <w:jc w:val="center"/>
                                <w:rPr>
                                  <w:rFonts w:hint="default" w:eastAsia="宋体"/>
                                  <w:sz w:val="21"/>
                                  <w:szCs w:val="21"/>
                                  <w:lang w:val="en-US" w:eastAsia="zh-CN"/>
                                </w:rPr>
                              </w:pPr>
                            </w:p>
                          </w:txbxContent>
                        </v:textbox>
                      </v:shape>
                      <v:shape id="_x0000_s1026" o:spid="_x0000_s1026" o:spt="32" type="#_x0000_t32" style="position:absolute;left:10459;top:540374;flip:x;height:567;width:1;rotation:5898240f;" filled="f" stroked="t" coordsize="21600,21600" o:gfxdata="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DCk&#10;wAAAANwAAAAPAAAAAAAAAAEAIAAAACIAAABkcnMvZG93bnJldi54bWxQSwECFAAUAAAACACHTuJA&#10;My8FnjsAAAA5AAAAEAAAAAAAAAABACAAAAAPAQAAZHJzL3NoYXBleG1sLnhtbFBLBQYAAAAABgAG&#10;AFsBAAC5AwAAAAA=&#10;">
                        <v:fill on="f" focussize="0,0"/>
                        <v:stroke weight="1pt" color="#000000 [3213]" miterlimit="8" joinstyle="miter" dashstyle="dashDot" endarrow="block"/>
                        <v:imagedata o:title=""/>
                        <o:lock v:ext="edit" aspectratio="f"/>
                      </v:shape>
                      <v:shape id="_x0000_s1026" o:spid="_x0000_s1026" o:spt="202" type="#_x0000_t202" style="position:absolute;left:10711;top:535967;height:510;width:1502;" fillcolor="#FFFFFF [3201]" filled="t" stroked="t" coordsize="21600,21600" o:gfxdata="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Rcy8AAAA&#10;3AAAAA8AAAAAAAAAAQAgAAAAIgAAAGRycy9kb3ducmV2LnhtbFBLAQIUABQAAAAIAIdO4kAzLwWe&#10;OwAAADkAAAAQAAAAAAAAAAEAIAAAAAsBAABkcnMvc2hhcGV4bWwueG1sUEsFBgAAAAAGAAYAWwEA&#10;ALUDAAAAAA==&#10;">
                        <v:fill on="t" focussize="0,0"/>
                        <v:stroke weight="0.5pt" color="#000000 [3204]" opacity="0f" joinstyle="round"/>
                        <v:imagedata o:title=""/>
                        <o:lock v:ext="edit" aspectratio="f"/>
                        <v:textbox inset="0mm,1.27mm,0mm,1.27mm">
                          <w:txbxContent>
                            <w:p w14:paraId="4F95F79C">
                              <w:pPr>
                                <w:jc w:val="center"/>
                                <w:rPr>
                                  <w:rFonts w:hint="default" w:ascii="Times New Roman" w:hAnsi="Times New Roman" w:cs="Times New Roman" w:eastAsiaTheme="minorEastAsia"/>
                                  <w:lang w:val="en-US" w:eastAsia="zh-CN"/>
                                </w:rPr>
                              </w:pPr>
                              <w:r>
                                <w:rPr>
                                  <w:rFonts w:hint="eastAsia" w:eastAsia="宋体"/>
                                  <w:sz w:val="21"/>
                                  <w:szCs w:val="21"/>
                                  <w:lang w:val="en-US" w:eastAsia="zh-CN"/>
                                </w:rPr>
                                <w:t>G3-2、</w:t>
                              </w:r>
                              <w:r>
                                <w:rPr>
                                  <w:rFonts w:ascii="Times New Roman" w:hAnsi="Times New Roman" w:cs="Times New Roman"/>
                                  <w:lang w:eastAsia="zh-CN"/>
                                </w:rPr>
                                <w:t>S</w:t>
                              </w:r>
                              <w:r>
                                <w:rPr>
                                  <w:rFonts w:hint="eastAsia" w:ascii="Times New Roman" w:hAnsi="Times New Roman" w:cs="Times New Roman"/>
                                  <w:lang w:val="en-US" w:eastAsia="zh-CN"/>
                                </w:rPr>
                                <w:t>3</w:t>
                              </w:r>
                              <w:r>
                                <w:rPr>
                                  <w:rFonts w:hint="eastAsia" w:cs="Times New Roman"/>
                                  <w:lang w:val="en-US" w:eastAsia="zh-CN"/>
                                </w:rPr>
                                <w:t>-2</w:t>
                              </w:r>
                              <w:r>
                                <w:rPr>
                                  <w:rFonts w:ascii="Times New Roman" w:hAnsi="Times New Roman" w:cs="Times New Roman"/>
                                  <w:lang w:eastAsia="zh-CN"/>
                                </w:rPr>
                                <w:t>、N</w:t>
                              </w:r>
                              <w:r>
                                <w:rPr>
                                  <w:rFonts w:hint="eastAsia" w:ascii="Times New Roman" w:hAnsi="Times New Roman" w:cs="Times New Roman"/>
                                  <w:lang w:val="en-US" w:eastAsia="zh-CN"/>
                                </w:rPr>
                                <w:t>3</w:t>
                              </w:r>
                              <w:r>
                                <w:rPr>
                                  <w:rFonts w:hint="eastAsia" w:cs="Times New Roman"/>
                                  <w:lang w:val="en-US" w:eastAsia="zh-CN"/>
                                </w:rPr>
                                <w:t>-3</w:t>
                              </w:r>
                            </w:p>
                            <w:p w14:paraId="1B555F95">
                              <w:pPr>
                                <w:jc w:val="center"/>
                                <w:rPr>
                                  <w:rFonts w:hint="default" w:eastAsia="宋体"/>
                                  <w:sz w:val="21"/>
                                  <w:szCs w:val="21"/>
                                  <w:lang w:val="en-US" w:eastAsia="zh-CN"/>
                                </w:rPr>
                              </w:pPr>
                            </w:p>
                          </w:txbxContent>
                        </v:textbox>
                      </v:shape>
                      <v:shape id="_x0000_s1026" o:spid="_x0000_s1026" o:spt="202" type="#_x0000_t202" style="position:absolute;left:8623;top:535955;height:510;width:1502;" fillcolor="#FFFFFF [3201]" filled="t" stroked="t" coordsize="21600,21600" o:gfxdata="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pJr4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76EB71F9">
                              <w:pPr>
                                <w:jc w:val="center"/>
                                <w:rPr>
                                  <w:rFonts w:hint="eastAsia" w:eastAsia="宋体"/>
                                  <w:sz w:val="21"/>
                                  <w:szCs w:val="21"/>
                                  <w:lang w:val="en-US" w:eastAsia="zh-CN"/>
                                </w:rPr>
                              </w:pPr>
                              <w:r>
                                <w:rPr>
                                  <w:rFonts w:hint="eastAsia"/>
                                  <w:sz w:val="21"/>
                                  <w:szCs w:val="21"/>
                                  <w:lang w:val="en-US" w:eastAsia="zh-CN"/>
                                </w:rPr>
                                <w:t>抛丸</w:t>
                              </w:r>
                            </w:p>
                          </w:txbxContent>
                        </v:textbox>
                      </v:shape>
                      <v:shape id="_x0000_s1026" o:spid="_x0000_s1026" o:spt="32" type="#_x0000_t32" style="position:absolute;left:9379;top:536474;flip:x;height:567;width:1;" filled="f" stroked="t" coordsize="21600,21600" o:gfxdata="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XIA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10423;top:539246;flip:x;height:567;width:1;rotation:5898240f;" filled="f" stroked="t" coordsize="21600,21600" o:gfxdata="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U6p/&#10;wAAAANwAAAAPAAAAAAAAAAEAIAAAACIAAABkcnMvZG93bnJldi54bWxQSwECFAAUAAAACACHTuJA&#10;My8FnjsAAAA5AAAAEAAAAAAAAAABACAAAAAPAQAAZHJzL3NoYXBleG1sLnhtbFBLBQYAAAAABgAG&#10;AFsBAAC5AwAAAAA=&#10;">
                        <v:fill on="f" focussize="0,0"/>
                        <v:stroke weight="1pt" color="#000000 [3213]" miterlimit="8" joinstyle="miter" dashstyle="dashDot" endarrow="block"/>
                        <v:imagedata o:title=""/>
                        <o:lock v:ext="edit" aspectratio="f"/>
                      </v:shape>
                      <v:shape id="_x0000_s1026" o:spid="_x0000_s1026" o:spt="202" type="#_x0000_t202" style="position:absolute;left:10711;top:534863;height:510;width:1502;" fillcolor="#FFFFFF [3201]" filled="t" stroked="t" coordsize="21600,21600" o:gfxdata="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4gfiC5AAAA3AAA&#10;AA8AAAAAAAAAAQAgAAAAIgAAAGRycy9kb3ducmV2LnhtbFBLAQIUABQAAAAIAIdO4kAzLwWeOwAA&#10;ADkAAAAQAAAAAAAAAAEAIAAAAAgBAABkcnMvc2hhcGV4bWwueG1sUEsFBgAAAAAGAAYAWwEAALID&#10;AAAAAA==&#10;">
                        <v:fill on="t" focussize="0,0"/>
                        <v:stroke weight="0.5pt" color="#000000 [3204]" opacity="0f" joinstyle="round"/>
                        <v:imagedata o:title=""/>
                        <o:lock v:ext="edit" aspectratio="f"/>
                        <v:textbox inset="0mm,1.27mm,0mm,1.27mm">
                          <w:txbxContent>
                            <w:p w14:paraId="1BF98D9E">
                              <w:pPr>
                                <w:jc w:val="center"/>
                                <w:rPr>
                                  <w:rFonts w:hint="default" w:ascii="Times New Roman" w:hAnsi="Times New Roman" w:cs="Times New Roman" w:eastAsiaTheme="minorEastAsia"/>
                                  <w:lang w:val="en-US" w:eastAsia="zh-CN"/>
                                </w:rPr>
                              </w:pPr>
                              <w:r>
                                <w:rPr>
                                  <w:rFonts w:hint="eastAsia" w:eastAsia="宋体"/>
                                  <w:sz w:val="21"/>
                                  <w:szCs w:val="21"/>
                                  <w:lang w:val="en-US" w:eastAsia="zh-CN"/>
                                </w:rPr>
                                <w:t>G3-1、</w:t>
                              </w:r>
                              <w:r>
                                <w:rPr>
                                  <w:rFonts w:ascii="Times New Roman" w:hAnsi="Times New Roman" w:cs="Times New Roman"/>
                                  <w:lang w:eastAsia="zh-CN"/>
                                </w:rPr>
                                <w:t>S</w:t>
                              </w:r>
                              <w:r>
                                <w:rPr>
                                  <w:rFonts w:hint="eastAsia" w:ascii="Times New Roman" w:hAnsi="Times New Roman" w:cs="Times New Roman"/>
                                  <w:lang w:val="en-US" w:eastAsia="zh-CN"/>
                                </w:rPr>
                                <w:t>3</w:t>
                              </w:r>
                              <w:r>
                                <w:rPr>
                                  <w:rFonts w:hint="eastAsia" w:cs="Times New Roman"/>
                                  <w:lang w:val="en-US" w:eastAsia="zh-CN"/>
                                </w:rPr>
                                <w:t>-1</w:t>
                              </w:r>
                              <w:r>
                                <w:rPr>
                                  <w:rFonts w:ascii="Times New Roman" w:hAnsi="Times New Roman" w:cs="Times New Roman"/>
                                  <w:lang w:eastAsia="zh-CN"/>
                                </w:rPr>
                                <w:t>、N</w:t>
                              </w:r>
                              <w:r>
                                <w:rPr>
                                  <w:rFonts w:hint="eastAsia" w:ascii="Times New Roman" w:hAnsi="Times New Roman" w:cs="Times New Roman"/>
                                  <w:lang w:val="en-US" w:eastAsia="zh-CN"/>
                                </w:rPr>
                                <w:t>3</w:t>
                              </w:r>
                              <w:r>
                                <w:rPr>
                                  <w:rFonts w:hint="eastAsia" w:cs="Times New Roman"/>
                                  <w:lang w:val="en-US" w:eastAsia="zh-CN"/>
                                </w:rPr>
                                <w:t>-1</w:t>
                              </w:r>
                            </w:p>
                            <w:p w14:paraId="5587AA89">
                              <w:pPr>
                                <w:jc w:val="center"/>
                                <w:rPr>
                                  <w:rFonts w:hint="default" w:eastAsia="宋体"/>
                                  <w:sz w:val="21"/>
                                  <w:szCs w:val="21"/>
                                  <w:lang w:val="en-US" w:eastAsia="zh-CN"/>
                                </w:rPr>
                              </w:pPr>
                            </w:p>
                          </w:txbxContent>
                        </v:textbox>
                      </v:shape>
                      <v:shape id="_x0000_s1026" o:spid="_x0000_s1026" o:spt="32" type="#_x0000_t32" style="position:absolute;left:10435;top:538118;flip:x;height:567;width:1;rotation:5898240f;" filled="f" stroked="t" coordsize="21600,21600" o:gfxdata="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zD4N&#10;wAAAANwAAAAPAAAAAAAAAAEAIAAAACIAAABkcnMvZG93bnJldi54bWxQSwECFAAUAAAACACHTuJA&#10;My8FnjsAAAA5AAAAEAAAAAAAAAABACAAAAAPAQAAZHJzL3NoYXBleG1sLnhtbFBLBQYAAAAABgAG&#10;AFsBAAC5AwAAAAA=&#10;">
                        <v:fill on="f" focussize="0,0"/>
                        <v:stroke weight="1pt" color="#000000 [3213]" miterlimit="8" joinstyle="miter" dashstyle="dashDot" endarrow="block"/>
                        <v:imagedata o:title=""/>
                        <o:lock v:ext="edit" aspectratio="f"/>
                      </v:shape>
                      <v:shape id="_x0000_s1026" o:spid="_x0000_s1026" o:spt="202" type="#_x0000_t202" style="position:absolute;left:8599;top:534863;height:510;width:1502;" fillcolor="#FFFFFF [3201]" filled="t" stroked="t" coordsize="21600,21600" o:gfxdata="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QxQD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17A37E89">
                              <w:pPr>
                                <w:jc w:val="center"/>
                                <w:rPr>
                                  <w:rFonts w:hint="default" w:eastAsia="宋体"/>
                                  <w:sz w:val="21"/>
                                  <w:szCs w:val="21"/>
                                  <w:lang w:val="en-US" w:eastAsia="zh-CN"/>
                                </w:rPr>
                              </w:pPr>
                              <w:r>
                                <w:rPr>
                                  <w:rFonts w:hint="eastAsia"/>
                                  <w:sz w:val="21"/>
                                  <w:szCs w:val="21"/>
                                  <w:lang w:val="en-US" w:eastAsia="zh-CN"/>
                                </w:rPr>
                                <w:t>下料</w:t>
                              </w:r>
                            </w:p>
                          </w:txbxContent>
                        </v:textbox>
                      </v:shape>
                      <v:shape id="_x0000_s1026" o:spid="_x0000_s1026" o:spt="32" type="#_x0000_t32" style="position:absolute;left:9379;top:535382;flip:x;height:567;width:1;" filled="f" stroked="t" coordsize="21600,21600" o:gfxdata="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3b56r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32" type="#_x0000_t32" style="position:absolute;left:8395;top:540350;flip:x;height:567;width:1;rotation:5898240f;" filled="f" stroked="t" coordsize="21600,21600" o:gfxdata="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8GH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10411;top:537026;flip:x;height:567;width:1;rotation:5898240f;" filled="f" stroked="t" coordsize="21600,21600" o:gfxdata="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gXh&#10;wAAAANwAAAAPAAAAAAAAAAEAIAAAACIAAABkcnMvZG93bnJldi54bWxQSwECFAAUAAAACACHTuJA&#10;My8FnjsAAAA5AAAAEAAAAAAAAAABACAAAAAPAQAAZHJzL3NoYXBleG1sLnhtbFBLBQYAAAAABgAG&#10;AFsBAAC5AwAAAAA=&#10;">
                        <v:fill on="f" focussize="0,0"/>
                        <v:stroke weight="1pt" color="#000000 [3213]" miterlimit="8" joinstyle="miter" dashstyle="dashDot" endarrow="block"/>
                        <v:imagedata o:title=""/>
                        <o:lock v:ext="edit" aspectratio="f"/>
                      </v:shape>
                      <v:shape id="_x0000_s1026" o:spid="_x0000_s1026" o:spt="32" type="#_x0000_t32" style="position:absolute;left:8371;top:539258;flip:x;height:567;width:1;rotation:5898240f;" filled="f" stroked="t" coordsize="21600,21600" o:gfxdata="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o78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10423;top:535922;flip:x;height:567;width:1;rotation:5898240f;" filled="f" stroked="t" coordsize="21600,21600" o:gfxdata="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3OA6/&#10;AAAA3AAAAA8AAAAAAAAAAQAgAAAAIgAAAGRycy9kb3ducmV2LnhtbFBLAQIUABQAAAAIAIdO4kAz&#10;LwWeOwAAADkAAAAQAAAAAAAAAAEAIAAAAA4BAABkcnMvc2hhcGV4bWwueG1sUEsFBgAAAAAGAAYA&#10;WwEAALgDAAAAAA==&#10;">
                        <v:fill on="f" focussize="0,0"/>
                        <v:stroke weight="1pt" color="#000000 [3213]" miterlimit="8" joinstyle="miter" dashstyle="dashDot" endarrow="block"/>
                        <v:imagedata o:title=""/>
                        <o:lock v:ext="edit" aspectratio="f"/>
                      </v:shape>
                      <v:shape id="_x0000_s1026" o:spid="_x0000_s1026" o:spt="202" type="#_x0000_t202" style="position:absolute;left:8407;top:533759;height:510;width:1967;" fillcolor="#FFFFFF [3201]" filled="t" stroked="f" coordsize="21600,21600" o:gfxdata="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lyGS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63DE9DA4">
                              <w:pPr>
                                <w:jc w:val="center"/>
                                <w:rPr>
                                  <w:rFonts w:hint="eastAsia" w:eastAsia="宋体"/>
                                  <w:sz w:val="21"/>
                                  <w:szCs w:val="21"/>
                                  <w:lang w:val="en-US" w:eastAsia="zh-CN"/>
                                </w:rPr>
                              </w:pPr>
                              <w:r>
                                <w:rPr>
                                  <w:rFonts w:hint="eastAsia"/>
                                  <w:sz w:val="21"/>
                                  <w:szCs w:val="21"/>
                                  <w:lang w:val="en-US" w:eastAsia="zh-CN"/>
                                </w:rPr>
                                <w:t>钢带、钢板等</w:t>
                              </w:r>
                            </w:p>
                          </w:txbxContent>
                        </v:textbox>
                      </v:shape>
                      <v:shape id="_x0000_s1026" o:spid="_x0000_s1026" o:spt="32" type="#_x0000_t32" style="position:absolute;left:9343;top:534290;flip:x;height:567;width:1;" filled="f" stroked="t" coordsize="21600,21600" o:gfxdata="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owga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32" type="#_x0000_t32" style="position:absolute;left:10399;top:534830;flip:x;height:567;width:1;rotation:5898240f;" filled="f" stroked="t" coordsize="21600,21600" o:gfxdata="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pA+K/&#10;AAAA3AAAAA8AAAAAAAAAAQAgAAAAIgAAAGRycy9kb3ducmV2LnhtbFBLAQIUABQAAAAIAIdO4kAz&#10;LwWeOwAAADkAAAAQAAAAAAAAAAEAIAAAAA4BAABkcnMvc2hhcGV4bWwueG1sUEsFBgAAAAAGAAYA&#10;WwEAALgDAAAAAA==&#10;">
                        <v:fill on="f" focussize="0,0"/>
                        <v:stroke weight="1pt" color="#000000 [3213]" miterlimit="8" joinstyle="miter" dashstyle="dashDot" endarrow="block"/>
                        <v:imagedata o:title=""/>
                        <o:lock v:ext="edit" aspectratio="f"/>
                      </v:shape>
                    </v:group>
                  </w:pict>
                </mc:Fallback>
              </mc:AlternateContent>
            </w:r>
          </w:p>
          <w:p w14:paraId="1F8E5AB3">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1BB7ACDC">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6413A384">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0B818AC0">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2CFE34F7">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39BF757C">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3EF97C87">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173E9E4A">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683E16A7">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295CC374">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623D5BDC">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4879D46E">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2DB114C0">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65A4D01A">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p>
          <w:p w14:paraId="2B380D35">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3227070</wp:posOffset>
                      </wp:positionH>
                      <wp:positionV relativeFrom="paragraph">
                        <wp:posOffset>138430</wp:posOffset>
                      </wp:positionV>
                      <wp:extent cx="800100" cy="713740"/>
                      <wp:effectExtent l="4445" t="4445" r="18415" b="13335"/>
                      <wp:wrapNone/>
                      <wp:docPr id="23" name="文本框 23"/>
                      <wp:cNvGraphicFramePr/>
                      <a:graphic xmlns:a="http://schemas.openxmlformats.org/drawingml/2006/main">
                        <a:graphicData uri="http://schemas.microsoft.com/office/word/2010/wordprocessingShape">
                          <wps:wsp>
                            <wps:cNvSpPr txBox="1"/>
                            <wps:spPr>
                              <a:xfrm>
                                <a:off x="0" y="0"/>
                                <a:ext cx="800100" cy="713740"/>
                              </a:xfrm>
                              <a:prstGeom prst="rect">
                                <a:avLst/>
                              </a:prstGeom>
                              <a:solidFill>
                                <a:srgbClr val="000000">
                                  <a:alpha val="0"/>
                                </a:srgb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43C87E">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G：废气</w:t>
                                  </w:r>
                                </w:p>
                                <w:p w14:paraId="3417E95A">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N：噪声</w:t>
                                  </w:r>
                                </w:p>
                                <w:p w14:paraId="3FC1AFC9">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S：固废</w:t>
                                  </w:r>
                                </w:p>
                                <w:p w14:paraId="3724DFA9">
                                  <w:pPr>
                                    <w:jc w:val="both"/>
                                    <w:rPr>
                                      <w:rFonts w:ascii="Times New Roman" w:hAnsi="Times New Roman" w:eastAsia="宋体" w:cs="Times New Roman"/>
                                      <w:sz w:val="24"/>
                                      <w:szCs w:val="24"/>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pt;margin-top:10.9pt;height:56.2pt;width:63pt;z-index:251663360;mso-width-relative:page;mso-height-relative:page;" fillcolor="#000000" filled="t" stroked="t" coordsize="21600,21600" o:gfxdata="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oWoCrYAAAACgEAAA8AAAAAAAAAAQAgAAAAIgAAAGRycy9kb3ducmV2LnhtbFBLAQIU&#10;ABQAAAAIAIdO4kAuqJRWZQIAANUEAAAOAAAAAAAAAAEAIAAAACcBAABkcnMvZTJvRG9jLnhtbFBL&#10;BQYAAAAABgAGAFkBAAD+BQAAAAA=&#10;">
                      <v:fill on="t" opacity="0f" focussize="0,0"/>
                      <v:stroke weight="0.5pt" color="#000000 [3204]" joinstyle="round"/>
                      <v:imagedata o:title=""/>
                      <o:lock v:ext="edit" aspectratio="f"/>
                      <v:textbox>
                        <w:txbxContent>
                          <w:p w14:paraId="0C43C87E">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G：废气</w:t>
                            </w:r>
                          </w:p>
                          <w:p w14:paraId="3417E95A">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N：噪声</w:t>
                            </w:r>
                          </w:p>
                          <w:p w14:paraId="3FC1AFC9">
                            <w:pPr>
                              <w:jc w:val="center"/>
                              <w:rPr>
                                <w:rFonts w:ascii="Times New Roman" w:hAnsi="Times New Roman" w:eastAsia="宋体" w:cs="Times New Roman"/>
                                <w:sz w:val="22"/>
                                <w:szCs w:val="22"/>
                                <w:lang w:eastAsia="zh-CN"/>
                              </w:rPr>
                            </w:pPr>
                            <w:r>
                              <w:rPr>
                                <w:rFonts w:ascii="Times New Roman" w:hAnsi="Times New Roman" w:eastAsia="宋体" w:cs="Times New Roman"/>
                                <w:sz w:val="22"/>
                                <w:szCs w:val="22"/>
                                <w:lang w:eastAsia="zh-CN"/>
                              </w:rPr>
                              <w:t>S：固废</w:t>
                            </w:r>
                          </w:p>
                          <w:p w14:paraId="3724DFA9">
                            <w:pPr>
                              <w:jc w:val="both"/>
                              <w:rPr>
                                <w:rFonts w:ascii="Times New Roman" w:hAnsi="Times New Roman" w:eastAsia="宋体" w:cs="Times New Roman"/>
                                <w:sz w:val="24"/>
                                <w:szCs w:val="24"/>
                                <w:lang w:eastAsia="zh-CN"/>
                              </w:rPr>
                            </w:pPr>
                          </w:p>
                        </w:txbxContent>
                      </v:textbox>
                    </v:shape>
                  </w:pict>
                </mc:Fallback>
              </mc:AlternateContent>
            </w:r>
          </w:p>
          <w:p w14:paraId="3A04ECED">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ascii="Times New Roman" w:hAnsi="Times New Roman" w:eastAsia="宋体" w:cs="Times New Roman"/>
                <w:b/>
                <w:bCs/>
                <w:color w:val="auto"/>
                <w:sz w:val="24"/>
                <w:szCs w:val="24"/>
                <w:highlight w:val="none"/>
                <w:lang w:eastAsia="zh-CN"/>
              </w:rPr>
            </w:pPr>
            <w:r>
              <mc:AlternateContent>
                <mc:Choice Requires="wps">
                  <w:drawing>
                    <wp:anchor distT="0" distB="0" distL="114300" distR="114300" simplePos="0" relativeHeight="251674624" behindDoc="0" locked="0" layoutInCell="1" allowOverlap="1">
                      <wp:simplePos x="0" y="0"/>
                      <wp:positionH relativeFrom="column">
                        <wp:posOffset>871220</wp:posOffset>
                      </wp:positionH>
                      <wp:positionV relativeFrom="paragraph">
                        <wp:posOffset>55245</wp:posOffset>
                      </wp:positionV>
                      <wp:extent cx="610870" cy="308610"/>
                      <wp:effectExtent l="0" t="0" r="13970" b="11430"/>
                      <wp:wrapNone/>
                      <wp:docPr id="119" name="文本框 119"/>
                      <wp:cNvGraphicFramePr/>
                      <a:graphic xmlns:a="http://schemas.openxmlformats.org/drawingml/2006/main">
                        <a:graphicData uri="http://schemas.microsoft.com/office/word/2010/wordprocessingShape">
                          <wps:wsp>
                            <wps:cNvSpPr txBox="1"/>
                            <wps:spPr>
                              <a:xfrm>
                                <a:off x="0" y="0"/>
                                <a:ext cx="610870" cy="308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6ABBB0">
                                  <w:pPr>
                                    <w:jc w:val="center"/>
                                    <w:rPr>
                                      <w:rFonts w:hint="default" w:eastAsia="宋体"/>
                                      <w:sz w:val="21"/>
                                      <w:szCs w:val="21"/>
                                      <w:lang w:val="en-US" w:eastAsia="zh-CN"/>
                                    </w:rPr>
                                  </w:pPr>
                                  <w:r>
                                    <w:rPr>
                                      <w:rFonts w:hint="eastAsia" w:eastAsia="宋体"/>
                                      <w:sz w:val="21"/>
                                      <w:szCs w:val="21"/>
                                      <w:lang w:val="en-US" w:eastAsia="zh-CN"/>
                                    </w:rPr>
                                    <w:t>保护膜</w:t>
                                  </w: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6pt;margin-top:4.35pt;height:24.3pt;width:48.1pt;z-index:251674624;mso-width-relative:page;mso-height-relative:page;" fillcolor="#FFFFFF [3201]" filled="t" stroked="f" coordsize="21600,21600" o:gfxdata="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BeQe9cAAAAIAQAADwAAAAAAAAAB&#10;ACAAAAAiAAAAZHJzL2Rvd25yZXYueG1sUEsBAhQAFAAAAAgAh07iQD6ElT5KAgAAigQAAA4AAAAA&#10;AAAAAQAgAAAAJgEAAGRycy9lMm9Eb2MueG1sUEsFBgAAAAAGAAYAWQEAAOIFAAAAAA==&#10;">
                      <v:fill on="t" focussize="0,0"/>
                      <v:stroke on="f" weight="0.5pt"/>
                      <v:imagedata o:title=""/>
                      <o:lock v:ext="edit" aspectratio="f"/>
                      <v:textbox inset="0mm,1.27mm,0mm,1.27mm">
                        <w:txbxContent>
                          <w:p w14:paraId="1D6ABBB0">
                            <w:pPr>
                              <w:jc w:val="center"/>
                              <w:rPr>
                                <w:rFonts w:hint="default" w:eastAsia="宋体"/>
                                <w:sz w:val="21"/>
                                <w:szCs w:val="21"/>
                                <w:lang w:val="en-US" w:eastAsia="zh-CN"/>
                              </w:rPr>
                            </w:pPr>
                            <w:r>
                              <w:rPr>
                                <w:rFonts w:hint="eastAsia" w:eastAsia="宋体"/>
                                <w:sz w:val="21"/>
                                <w:szCs w:val="21"/>
                                <w:lang w:val="en-US" w:eastAsia="zh-CN"/>
                              </w:rPr>
                              <w:t>保护膜</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1633220</wp:posOffset>
                      </wp:positionH>
                      <wp:positionV relativeFrom="paragraph">
                        <wp:posOffset>50165</wp:posOffset>
                      </wp:positionV>
                      <wp:extent cx="635" cy="360045"/>
                      <wp:effectExtent l="0" t="37465" r="5715" b="38100"/>
                      <wp:wrapNone/>
                      <wp:docPr id="118" name="直接箭头连接符 118"/>
                      <wp:cNvGraphicFramePr/>
                      <a:graphic xmlns:a="http://schemas.openxmlformats.org/drawingml/2006/main">
                        <a:graphicData uri="http://schemas.microsoft.com/office/word/2010/wordprocessingShape">
                          <wps:wsp>
                            <wps:cNvCnPr/>
                            <wps:spPr>
                              <a:xfrm rot="16200000" flipH="1">
                                <a:off x="0" y="0"/>
                                <a:ext cx="605" cy="360045"/>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28.6pt;margin-top:3.95pt;height:28.35pt;width:0.05pt;rotation:5898240f;z-index:251673600;mso-width-relative:page;mso-height-relative:page;" filled="f" stroked="t" coordsize="21600,21600" o:gfxdata="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0Td8NkAAAAIAQAA&#10;DwAAAAAAAAABACAAAAAiAAAAZHJzL2Rvd25yZXYueG1sUEsBAhQAFAAAAAgAh07iQJx0hG0YAgAA&#10;AAQAAA4AAAAAAAAAAQAgAAAAKAEAAGRycy9lMm9Eb2MueG1sUEsFBgAAAAAGAAYAWQEAALIFAAAA&#10;AA==&#10;">
                      <v:fill on="f" focussize="0,0"/>
                      <v:stroke weight="1pt" color="#000000 [3213]" miterlimit="8" joinstyle="miter" endarrow="block"/>
                      <v:imagedata o:title=""/>
                      <o:lock v:ext="edit" aspectratio="f"/>
                    </v:shape>
                  </w:pict>
                </mc:Fallback>
              </mc:AlternateContent>
            </w:r>
          </w:p>
          <w:p w14:paraId="2314EC59">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both"/>
              <w:textAlignment w:val="auto"/>
              <w:rPr>
                <w:rFonts w:ascii="Times New Roman" w:hAnsi="Times New Roman" w:eastAsia="宋体" w:cs="Times New Roman"/>
                <w:b/>
                <w:bCs/>
                <w:color w:val="auto"/>
                <w:sz w:val="24"/>
                <w:szCs w:val="24"/>
                <w:highlight w:val="none"/>
                <w:lang w:eastAsia="zh-CN"/>
              </w:rPr>
            </w:pPr>
          </w:p>
          <w:p w14:paraId="11431DE1">
            <w:pPr>
              <w:rPr>
                <w:lang w:eastAsia="zh-CN"/>
              </w:rPr>
            </w:pPr>
          </w:p>
          <w:p w14:paraId="3DEC340D">
            <w:pPr>
              <w:pStyle w:val="31"/>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color w:val="auto"/>
                <w:highlight w:val="none"/>
                <w:lang w:eastAsia="zh-CN"/>
              </w:rPr>
            </w:pPr>
            <w:r>
              <w:rPr>
                <w:rFonts w:ascii="Times New Roman" w:hAnsi="Times New Roman" w:eastAsia="宋体" w:cs="Times New Roman"/>
                <w:b/>
                <w:bCs/>
                <w:color w:val="auto"/>
                <w:sz w:val="24"/>
                <w:szCs w:val="24"/>
                <w:highlight w:val="none"/>
                <w:lang w:eastAsia="zh-CN"/>
              </w:rPr>
              <w:t>图2-</w:t>
            </w:r>
            <w:r>
              <w:rPr>
                <w:rFonts w:hint="eastAsia" w:ascii="Times New Roman" w:hAnsi="Times New Roman"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eastAsia="zh-CN"/>
              </w:rPr>
              <w:t xml:space="preserve"> </w:t>
            </w:r>
            <w:r>
              <w:rPr>
                <w:rFonts w:ascii="Times New Roman" w:hAnsi="Times New Roman" w:eastAsia="宋体" w:cs="Times New Roman"/>
                <w:b/>
                <w:bCs/>
                <w:color w:val="auto"/>
                <w:sz w:val="24"/>
                <w:szCs w:val="24"/>
                <w:highlight w:val="none"/>
                <w:lang w:eastAsia="zh-CN"/>
              </w:rPr>
              <w:t>生产工艺流程及产污节点图</w:t>
            </w:r>
          </w:p>
          <w:p w14:paraId="1A5287D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ascii="Times New Roman" w:hAnsi="Times New Roman" w:eastAsia="宋体" w:cs="Times New Roman"/>
                <w:b/>
                <w:bCs/>
                <w:color w:val="auto"/>
                <w:sz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6）</w:t>
            </w:r>
            <w:r>
              <w:rPr>
                <w:rFonts w:ascii="Times New Roman" w:hAnsi="Times New Roman" w:eastAsia="宋体" w:cs="Times New Roman"/>
                <w:color w:val="auto"/>
                <w:sz w:val="24"/>
                <w:szCs w:val="24"/>
                <w:highlight w:val="none"/>
                <w:lang w:eastAsia="zh-CN"/>
              </w:rPr>
              <w:t>工艺流程简述：</w:t>
            </w:r>
          </w:p>
          <w:p w14:paraId="560DEA91">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firstLine="480" w:firstLineChars="200"/>
              <w:jc w:val="both"/>
              <w:textAlignment w:val="auto"/>
              <w:rPr>
                <w:rFonts w:ascii="Times New Roman" w:hAnsi="Times New Roman" w:cs="Times New Roman"/>
                <w:b w:val="0"/>
                <w:bCs/>
                <w:color w:val="auto"/>
                <w:highlight w:val="none"/>
                <w:lang w:eastAsia="zh-CN"/>
              </w:rPr>
            </w:pPr>
            <w:r>
              <w:rPr>
                <w:rFonts w:hint="eastAsia" w:ascii="Times New Roman" w:hAnsi="Times New Roman" w:cs="Times New Roman"/>
                <w:b w:val="0"/>
                <w:bCs/>
                <w:color w:val="auto"/>
                <w:highlight w:val="none"/>
                <w:lang w:val="en-US" w:eastAsia="zh-CN"/>
              </w:rPr>
              <w:t>①</w:t>
            </w:r>
            <w:r>
              <w:rPr>
                <w:rFonts w:ascii="Times New Roman" w:hAnsi="Times New Roman" w:cs="Times New Roman"/>
                <w:b w:val="0"/>
                <w:bCs/>
                <w:color w:val="auto"/>
                <w:highlight w:val="none"/>
                <w:lang w:eastAsia="zh-CN"/>
              </w:rPr>
              <w:t>切割下料：外购的</w:t>
            </w:r>
            <w:r>
              <w:rPr>
                <w:rFonts w:hint="eastAsia" w:cs="Times New Roman"/>
                <w:b w:val="0"/>
                <w:bCs/>
                <w:color w:val="auto"/>
                <w:highlight w:val="none"/>
                <w:lang w:val="en-US" w:eastAsia="zh-CN"/>
              </w:rPr>
              <w:t>钢带、钢板</w:t>
            </w:r>
            <w:r>
              <w:rPr>
                <w:rFonts w:hint="eastAsia" w:ascii="Times New Roman" w:hAnsi="Times New Roman" w:cs="Times New Roman"/>
                <w:b w:val="0"/>
                <w:bCs/>
                <w:color w:val="auto"/>
                <w:highlight w:val="none"/>
                <w:lang w:eastAsia="zh-CN"/>
              </w:rPr>
              <w:t>等原料</w:t>
            </w:r>
            <w:r>
              <w:rPr>
                <w:rFonts w:ascii="Times New Roman" w:hAnsi="Times New Roman" w:cs="Times New Roman"/>
                <w:b w:val="0"/>
                <w:bCs/>
                <w:color w:val="auto"/>
                <w:highlight w:val="none"/>
                <w:lang w:eastAsia="zh-CN"/>
              </w:rPr>
              <w:t>入厂，根据设计图纸，采用</w:t>
            </w:r>
            <w:r>
              <w:rPr>
                <w:rFonts w:hint="eastAsia" w:ascii="Times New Roman" w:hAnsi="Times New Roman" w:cs="Times New Roman"/>
                <w:b w:val="0"/>
                <w:bCs/>
                <w:color w:val="auto"/>
                <w:highlight w:val="none"/>
                <w:lang w:eastAsia="zh-CN"/>
              </w:rPr>
              <w:t>切割机</w:t>
            </w:r>
            <w:r>
              <w:rPr>
                <w:rFonts w:ascii="Times New Roman" w:hAnsi="Times New Roman" w:cs="Times New Roman"/>
                <w:b w:val="0"/>
                <w:bCs/>
                <w:color w:val="auto"/>
                <w:highlight w:val="none"/>
                <w:lang w:eastAsia="zh-CN"/>
              </w:rPr>
              <w:t>将金属材料切割成需要的规格。该过程中有少量金属边角料产生。该工序产生的污染物主要为</w:t>
            </w:r>
            <w:r>
              <w:rPr>
                <w:rFonts w:hint="eastAsia" w:ascii="Times New Roman" w:hAnsi="Times New Roman" w:cs="Times New Roman"/>
                <w:b w:val="0"/>
                <w:bCs/>
                <w:color w:val="auto"/>
                <w:highlight w:val="none"/>
                <w:lang w:eastAsia="zh-CN"/>
              </w:rPr>
              <w:t>切割烟尘G</w:t>
            </w:r>
            <w:r>
              <w:rPr>
                <w:rFonts w:hint="eastAsia" w:ascii="Times New Roman" w:hAnsi="Times New Roman" w:cs="Times New Roman"/>
                <w:b w:val="0"/>
                <w:bCs/>
                <w:color w:val="auto"/>
                <w:highlight w:val="none"/>
                <w:lang w:val="en-US" w:eastAsia="zh-CN"/>
              </w:rPr>
              <w:t>3-</w:t>
            </w:r>
            <w:r>
              <w:rPr>
                <w:rFonts w:hint="eastAsia" w:ascii="Times New Roman" w:hAnsi="Times New Roman" w:cs="Times New Roman"/>
                <w:b w:val="0"/>
                <w:bCs/>
                <w:color w:val="auto"/>
                <w:highlight w:val="none"/>
                <w:lang w:eastAsia="zh-CN"/>
              </w:rPr>
              <w:t>1、</w:t>
            </w:r>
            <w:r>
              <w:rPr>
                <w:rFonts w:ascii="Times New Roman" w:hAnsi="Times New Roman" w:cs="Times New Roman"/>
                <w:b w:val="0"/>
                <w:bCs/>
                <w:color w:val="auto"/>
                <w:highlight w:val="none"/>
                <w:lang w:eastAsia="zh-CN"/>
              </w:rPr>
              <w:t>金属边角料S</w:t>
            </w:r>
            <w:r>
              <w:rPr>
                <w:rFonts w:hint="eastAsia" w:ascii="Times New Roman" w:hAnsi="Times New Roman" w:cs="Times New Roman"/>
                <w:b w:val="0"/>
                <w:bCs/>
                <w:color w:val="auto"/>
                <w:highlight w:val="none"/>
                <w:lang w:val="en-US" w:eastAsia="zh-CN"/>
              </w:rPr>
              <w:t>3-</w:t>
            </w:r>
            <w:r>
              <w:rPr>
                <w:rFonts w:ascii="Times New Roman" w:hAnsi="Times New Roman" w:cs="Times New Roman"/>
                <w:b w:val="0"/>
                <w:bCs/>
                <w:color w:val="auto"/>
                <w:highlight w:val="none"/>
                <w:lang w:eastAsia="zh-CN"/>
              </w:rPr>
              <w:t>1和设备运行噪声N</w:t>
            </w:r>
            <w:r>
              <w:rPr>
                <w:rFonts w:hint="eastAsia" w:ascii="Times New Roman" w:hAnsi="Times New Roman" w:cs="Times New Roman"/>
                <w:b w:val="0"/>
                <w:bCs/>
                <w:color w:val="auto"/>
                <w:highlight w:val="none"/>
                <w:lang w:val="en-US" w:eastAsia="zh-CN"/>
              </w:rPr>
              <w:t>3-</w:t>
            </w:r>
            <w:r>
              <w:rPr>
                <w:rFonts w:ascii="Times New Roman" w:hAnsi="Times New Roman" w:cs="Times New Roman"/>
                <w:b w:val="0"/>
                <w:bCs/>
                <w:color w:val="auto"/>
                <w:highlight w:val="none"/>
                <w:lang w:eastAsia="zh-CN"/>
              </w:rPr>
              <w:t>1。</w:t>
            </w:r>
          </w:p>
          <w:p w14:paraId="5A9CCC8E">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firstLine="480" w:firstLineChars="200"/>
              <w:jc w:val="both"/>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cs="Times New Roman"/>
                <w:b w:val="0"/>
                <w:bCs/>
                <w:color w:val="auto"/>
                <w:highlight w:val="none"/>
                <w:lang w:val="en-US" w:eastAsia="zh-CN"/>
              </w:rPr>
              <w:t>②</w:t>
            </w:r>
            <w:r>
              <w:rPr>
                <w:rFonts w:hint="eastAsia" w:ascii="Times New Roman" w:hAnsi="Times New Roman" w:eastAsia="宋体" w:cs="Times New Roman"/>
                <w:b w:val="0"/>
                <w:bCs/>
                <w:color w:val="auto"/>
                <w:highlight w:val="none"/>
                <w:lang w:val="en-US" w:eastAsia="zh-CN"/>
              </w:rPr>
              <w:t>抛丸：使用抛丸机对切割下料后的工件进行抛丸表面处理。</w:t>
            </w:r>
            <w:r>
              <w:rPr>
                <w:rFonts w:hint="default" w:ascii="Times New Roman" w:hAnsi="Times New Roman" w:eastAsia="宋体" w:cs="Times New Roman"/>
                <w:b w:val="0"/>
                <w:bCs/>
                <w:color w:val="auto"/>
                <w:highlight w:val="none"/>
                <w:lang w:val="en-US" w:eastAsia="zh-CN"/>
              </w:rPr>
              <w:t>该工序产生的污染物主要为</w:t>
            </w:r>
            <w:r>
              <w:rPr>
                <w:rFonts w:hint="eastAsia" w:ascii="Times New Roman" w:hAnsi="Times New Roman" w:eastAsia="宋体" w:cs="Times New Roman"/>
                <w:b w:val="0"/>
                <w:bCs/>
                <w:color w:val="auto"/>
                <w:highlight w:val="none"/>
                <w:lang w:val="en-US" w:eastAsia="zh-CN"/>
              </w:rPr>
              <w:t>抛丸粉尘G3-2、废钢丸S3-2</w:t>
            </w:r>
            <w:r>
              <w:rPr>
                <w:rFonts w:hint="default" w:ascii="Times New Roman" w:hAnsi="Times New Roman" w:eastAsia="宋体" w:cs="Times New Roman"/>
                <w:b w:val="0"/>
                <w:bCs/>
                <w:color w:val="auto"/>
                <w:highlight w:val="none"/>
                <w:lang w:val="en-US" w:eastAsia="zh-CN"/>
              </w:rPr>
              <w:t>和设备运行噪声N</w:t>
            </w:r>
            <w:r>
              <w:rPr>
                <w:rFonts w:hint="eastAsia" w:ascii="Times New Roman" w:hAnsi="Times New Roman" w:eastAsia="宋体" w:cs="Times New Roman"/>
                <w:b w:val="0"/>
                <w:bCs/>
                <w:color w:val="auto"/>
                <w:highlight w:val="none"/>
                <w:lang w:val="en-US" w:eastAsia="zh-CN"/>
              </w:rPr>
              <w:t>3-2</w:t>
            </w:r>
            <w:r>
              <w:rPr>
                <w:rFonts w:hint="default" w:ascii="Times New Roman" w:hAnsi="Times New Roman" w:eastAsia="宋体" w:cs="Times New Roman"/>
                <w:b w:val="0"/>
                <w:bCs/>
                <w:color w:val="auto"/>
                <w:highlight w:val="none"/>
                <w:lang w:val="en-US" w:eastAsia="zh-CN"/>
              </w:rPr>
              <w:t>。</w:t>
            </w:r>
          </w:p>
          <w:p w14:paraId="3355A1EE">
            <w:pPr>
              <w:pStyle w:val="59"/>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③折弯：抛丸之后的工件通过折弯机成型，达到需要的半成品</w:t>
            </w:r>
          </w:p>
          <w:p w14:paraId="7FD00D7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④打磨抛光：折弯之后工件会略有一</w:t>
            </w:r>
            <w:r>
              <w:rPr>
                <w:rFonts w:hint="eastAsia" w:cs="Times New Roman"/>
                <w:b w:val="0"/>
                <w:bCs/>
                <w:color w:val="auto"/>
                <w:kern w:val="2"/>
                <w:sz w:val="24"/>
                <w:szCs w:val="24"/>
                <w:highlight w:val="none"/>
                <w:lang w:val="en-US" w:eastAsia="zh-CN" w:bidi="ar-SA"/>
              </w:rPr>
              <w:t>些</w:t>
            </w:r>
            <w:r>
              <w:rPr>
                <w:rFonts w:hint="eastAsia" w:ascii="Times New Roman" w:hAnsi="Times New Roman" w:eastAsia="宋体" w:cs="Times New Roman"/>
                <w:b w:val="0"/>
                <w:bCs/>
                <w:color w:val="auto"/>
                <w:kern w:val="2"/>
                <w:sz w:val="24"/>
                <w:szCs w:val="24"/>
                <w:highlight w:val="none"/>
                <w:lang w:val="en-US" w:eastAsia="zh-CN" w:bidi="ar-SA"/>
              </w:rPr>
              <w:t>折痕瑕疵，需要</w:t>
            </w:r>
            <w:r>
              <w:rPr>
                <w:rFonts w:hint="eastAsia" w:cs="Times New Roman"/>
                <w:b w:val="0"/>
                <w:bCs/>
                <w:color w:val="auto"/>
                <w:kern w:val="2"/>
                <w:sz w:val="24"/>
                <w:szCs w:val="24"/>
                <w:highlight w:val="none"/>
                <w:lang w:val="en-US" w:eastAsia="zh-CN" w:bidi="ar-SA"/>
              </w:rPr>
              <w:t>进一步通过人工打磨</w:t>
            </w:r>
            <w:r>
              <w:rPr>
                <w:rFonts w:hint="eastAsia" w:ascii="Times New Roman" w:hAnsi="Times New Roman" w:eastAsia="宋体" w:cs="Times New Roman"/>
                <w:b w:val="0"/>
                <w:bCs/>
                <w:color w:val="auto"/>
                <w:kern w:val="2"/>
                <w:sz w:val="24"/>
                <w:szCs w:val="24"/>
                <w:highlight w:val="none"/>
                <w:lang w:val="en-US" w:eastAsia="zh-CN" w:bidi="ar-SA"/>
              </w:rPr>
              <w:t>抛光处理，使其表面光滑，平整。</w:t>
            </w:r>
            <w:r>
              <w:rPr>
                <w:rFonts w:hint="eastAsia" w:cs="Times New Roman"/>
                <w:b w:val="0"/>
                <w:bCs/>
                <w:color w:val="auto"/>
                <w:kern w:val="2"/>
                <w:sz w:val="24"/>
                <w:szCs w:val="24"/>
                <w:highlight w:val="none"/>
                <w:lang w:val="en-US" w:eastAsia="zh-CN" w:bidi="ar-SA"/>
              </w:rPr>
              <w:t>打磨抛光均在固定的焊接工位上进行操作。</w:t>
            </w:r>
            <w:r>
              <w:rPr>
                <w:rFonts w:hint="eastAsia" w:ascii="Times New Roman" w:hAnsi="Times New Roman" w:eastAsia="宋体" w:cs="Times New Roman"/>
                <w:b w:val="0"/>
                <w:bCs/>
                <w:color w:val="auto"/>
                <w:kern w:val="2"/>
                <w:sz w:val="24"/>
                <w:szCs w:val="24"/>
                <w:highlight w:val="none"/>
                <w:lang w:val="en-US" w:eastAsia="zh-CN" w:bidi="ar-SA"/>
              </w:rPr>
              <w:t>此工段产生的污染物主要为打磨、抛光粉尘G3-3和噪声N3-5</w:t>
            </w:r>
          </w:p>
          <w:p w14:paraId="2BD197E0">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⑤喷塑、固化</w:t>
            </w:r>
            <w:r>
              <w:rPr>
                <w:rFonts w:hint="eastAsia" w:ascii="Times New Roman" w:hAnsi="Times New Roman" w:cs="Times New Roman"/>
                <w:b w:val="0"/>
                <w:bCs/>
                <w:color w:val="auto"/>
                <w:highlight w:val="none"/>
                <w:lang w:val="en-US" w:eastAsia="zh-CN"/>
              </w:rPr>
              <w:t>：</w:t>
            </w:r>
            <w:r>
              <w:rPr>
                <w:rFonts w:hint="eastAsia" w:ascii="Times New Roman" w:hAnsi="Times New Roman" w:eastAsia="宋体" w:cs="Times New Roman"/>
                <w:b w:val="0"/>
                <w:bCs/>
                <w:color w:val="auto"/>
                <w:highlight w:val="none"/>
                <w:lang w:val="en-US" w:eastAsia="zh-CN"/>
              </w:rPr>
              <w:t>采用</w:t>
            </w:r>
            <w:r>
              <w:rPr>
                <w:rFonts w:hint="eastAsia" w:ascii="Times New Roman" w:hAnsi="Times New Roman" w:cs="Times New Roman"/>
                <w:b w:val="0"/>
                <w:bCs/>
                <w:color w:val="auto"/>
                <w:highlight w:val="none"/>
                <w:lang w:val="en-US" w:eastAsia="zh-CN"/>
              </w:rPr>
              <w:t>人工手持</w:t>
            </w:r>
            <w:r>
              <w:rPr>
                <w:rFonts w:hint="eastAsia" w:ascii="Times New Roman" w:hAnsi="Times New Roman" w:eastAsia="宋体" w:cs="Times New Roman"/>
                <w:b w:val="0"/>
                <w:bCs/>
                <w:color w:val="auto"/>
                <w:highlight w:val="none"/>
                <w:lang w:val="en-US" w:eastAsia="zh-CN"/>
              </w:rPr>
              <w:t>喷枪对工件表面进行喷塑处理，然后工件</w:t>
            </w:r>
            <w:r>
              <w:rPr>
                <w:rFonts w:hint="eastAsia" w:ascii="Times New Roman" w:hAnsi="Times New Roman" w:cs="Times New Roman"/>
                <w:b w:val="0"/>
                <w:bCs/>
                <w:color w:val="auto"/>
                <w:highlight w:val="none"/>
                <w:lang w:val="en-US" w:eastAsia="zh-CN"/>
              </w:rPr>
              <w:t>通过轨道</w:t>
            </w:r>
            <w:r>
              <w:rPr>
                <w:rFonts w:hint="eastAsia" w:ascii="Times New Roman" w:hAnsi="Times New Roman" w:eastAsia="宋体" w:cs="Times New Roman"/>
                <w:b w:val="0"/>
                <w:bCs/>
                <w:color w:val="auto"/>
                <w:highlight w:val="none"/>
                <w:lang w:val="en-US" w:eastAsia="zh-CN"/>
              </w:rPr>
              <w:t>进入</w:t>
            </w:r>
            <w:r>
              <w:rPr>
                <w:rFonts w:hint="eastAsia" w:ascii="Times New Roman" w:hAnsi="Times New Roman" w:cs="Times New Roman"/>
                <w:b w:val="0"/>
                <w:bCs/>
                <w:color w:val="auto"/>
                <w:highlight w:val="none"/>
                <w:lang w:val="en-US" w:eastAsia="zh-CN"/>
              </w:rPr>
              <w:t>直形固化烘道内，</w:t>
            </w:r>
            <w:r>
              <w:rPr>
                <w:rFonts w:hint="eastAsia"/>
                <w:b w:val="0"/>
                <w:bCs/>
                <w:color w:val="auto"/>
                <w:highlight w:val="none"/>
                <w:lang w:val="en-US" w:eastAsia="zh-CN"/>
              </w:rPr>
              <w:t>当产品进入烘道时，该线停止运作，烘道大门封闭，做到车间密闭，在出口处设置集气罩收集产生的有机废气</w:t>
            </w:r>
            <w:r>
              <w:rPr>
                <w:rFonts w:hint="eastAsia" w:ascii="Times New Roman" w:hAnsi="Times New Roman" w:eastAsia="宋体" w:cs="Times New Roman"/>
                <w:b w:val="0"/>
                <w:bCs/>
                <w:color w:val="auto"/>
                <w:highlight w:val="none"/>
                <w:lang w:val="en-US" w:eastAsia="zh-CN"/>
              </w:rPr>
              <w:t>。本项目采取天然气加热</w:t>
            </w:r>
            <w:r>
              <w:rPr>
                <w:rFonts w:hint="eastAsia" w:ascii="Times New Roman" w:hAnsi="Times New Roman" w:cs="Times New Roman"/>
                <w:b w:val="0"/>
                <w:bCs/>
                <w:color w:val="auto"/>
                <w:highlight w:val="none"/>
                <w:lang w:val="en-US" w:eastAsia="zh-CN"/>
              </w:rPr>
              <w:t>，热量直接接触工件</w:t>
            </w:r>
            <w:r>
              <w:rPr>
                <w:rFonts w:hint="eastAsia" w:ascii="Times New Roman" w:hAnsi="Times New Roman" w:eastAsia="宋体" w:cs="Times New Roman"/>
                <w:b w:val="0"/>
                <w:bCs/>
                <w:color w:val="auto"/>
                <w:highlight w:val="none"/>
                <w:lang w:val="en-US" w:eastAsia="zh-CN"/>
              </w:rPr>
              <w:t>。</w:t>
            </w:r>
            <w:r>
              <w:rPr>
                <w:rFonts w:hint="eastAsia" w:ascii="Times New Roman" w:hAnsi="Times New Roman" w:cs="Times New Roman"/>
                <w:b w:val="0"/>
                <w:bCs/>
                <w:color w:val="auto"/>
                <w:highlight w:val="none"/>
                <w:lang w:val="en-US" w:eastAsia="zh-CN"/>
              </w:rPr>
              <w:t>固化时间约3h，</w:t>
            </w:r>
            <w:r>
              <w:rPr>
                <w:rFonts w:hint="eastAsia" w:ascii="Times New Roman" w:hAnsi="Times New Roman" w:eastAsia="宋体" w:cs="Times New Roman"/>
                <w:b w:val="0"/>
                <w:bCs/>
                <w:color w:val="auto"/>
                <w:highlight w:val="none"/>
                <w:lang w:val="en-US" w:eastAsia="zh-CN"/>
              </w:rPr>
              <w:t>固化温度控制</w:t>
            </w:r>
            <w:r>
              <w:rPr>
                <w:rFonts w:hint="default" w:ascii="Times New Roman" w:hAnsi="Times New Roman" w:eastAsia="宋体" w:cs="Times New Roman"/>
                <w:b w:val="0"/>
                <w:bCs/>
                <w:color w:val="auto"/>
                <w:highlight w:val="none"/>
                <w:lang w:val="en-US" w:eastAsia="zh-CN"/>
              </w:rPr>
              <w:t>在180℃</w:t>
            </w:r>
            <w:r>
              <w:rPr>
                <w:rFonts w:hint="eastAsia" w:ascii="Times New Roman" w:hAnsi="Times New Roman" w:eastAsia="宋体" w:cs="Times New Roman"/>
                <w:b w:val="0"/>
                <w:bCs/>
                <w:color w:val="auto"/>
                <w:highlight w:val="none"/>
                <w:lang w:val="en-US" w:eastAsia="zh-CN"/>
              </w:rPr>
              <w:t>，通过设备本身的恒温系统对固化房</w:t>
            </w:r>
            <w:r>
              <w:rPr>
                <w:rFonts w:hint="eastAsia" w:ascii="Times New Roman" w:hAnsi="Times New Roman" w:cs="Times New Roman"/>
                <w:b w:val="0"/>
                <w:bCs/>
                <w:color w:val="auto"/>
                <w:highlight w:val="none"/>
                <w:lang w:val="en-US" w:eastAsia="zh-CN"/>
              </w:rPr>
              <w:t>进行</w:t>
            </w:r>
            <w:r>
              <w:rPr>
                <w:rFonts w:hint="eastAsia" w:ascii="Times New Roman" w:hAnsi="Times New Roman" w:eastAsia="宋体" w:cs="Times New Roman"/>
                <w:b w:val="0"/>
                <w:bCs/>
                <w:color w:val="auto"/>
                <w:highlight w:val="none"/>
                <w:lang w:val="en-US" w:eastAsia="zh-CN"/>
              </w:rPr>
              <w:t>温度控制，该工序产生的污染物为喷塑粉尘G2-4、烘干废气G2-5和设备噪声N2-5。</w:t>
            </w:r>
          </w:p>
          <w:p w14:paraId="25B1DB53">
            <w:pPr>
              <w:pStyle w:val="5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auto"/>
                <w:sz w:val="24"/>
                <w:highlight w:val="none"/>
                <w:lang w:eastAsia="zh-CN"/>
              </w:rPr>
            </w:pPr>
            <w:r>
              <w:rPr>
                <w:rFonts w:hint="eastAsia" w:ascii="Times New Roman" w:cs="Times New Roman"/>
                <w:b w:val="0"/>
                <w:bCs/>
                <w:color w:val="auto"/>
                <w:kern w:val="2"/>
                <w:sz w:val="24"/>
                <w:szCs w:val="24"/>
                <w:highlight w:val="none"/>
                <w:lang w:val="en-US" w:eastAsia="zh-CN" w:bidi="ar-SA"/>
              </w:rPr>
              <w:t>⑥</w:t>
            </w:r>
            <w:r>
              <w:rPr>
                <w:rFonts w:hint="eastAsia" w:ascii="Times New Roman" w:hAnsi="Times New Roman" w:eastAsia="宋体" w:cs="Times New Roman"/>
                <w:b w:val="0"/>
                <w:bCs/>
                <w:color w:val="auto"/>
                <w:kern w:val="2"/>
                <w:sz w:val="24"/>
                <w:szCs w:val="24"/>
                <w:highlight w:val="none"/>
                <w:lang w:val="en-US" w:eastAsia="zh-CN" w:bidi="ar-SA"/>
              </w:rPr>
              <w:t>包装发货：将固化好</w:t>
            </w:r>
            <w:r>
              <w:rPr>
                <w:rFonts w:hint="eastAsia" w:ascii="Times New Roman" w:cs="Times New Roman"/>
                <w:b w:val="0"/>
                <w:bCs/>
                <w:color w:val="auto"/>
                <w:kern w:val="2"/>
                <w:sz w:val="24"/>
                <w:szCs w:val="24"/>
                <w:highlight w:val="none"/>
                <w:lang w:val="en-US" w:eastAsia="zh-CN" w:bidi="ar-SA"/>
              </w:rPr>
              <w:t>的</w:t>
            </w:r>
            <w:r>
              <w:rPr>
                <w:rFonts w:hint="eastAsia" w:ascii="Times New Roman" w:hAnsi="Times New Roman" w:eastAsia="宋体" w:cs="Times New Roman"/>
                <w:b w:val="0"/>
                <w:bCs/>
                <w:color w:val="auto"/>
                <w:kern w:val="2"/>
                <w:sz w:val="24"/>
                <w:szCs w:val="24"/>
                <w:highlight w:val="none"/>
                <w:lang w:val="en-US" w:eastAsia="zh-CN" w:bidi="ar-SA"/>
              </w:rPr>
              <w:t>产品</w:t>
            </w:r>
            <w:r>
              <w:rPr>
                <w:rFonts w:hint="eastAsia" w:ascii="Times New Roman" w:cs="Times New Roman"/>
                <w:b w:val="0"/>
                <w:bCs/>
                <w:color w:val="auto"/>
                <w:kern w:val="2"/>
                <w:sz w:val="24"/>
                <w:szCs w:val="24"/>
                <w:highlight w:val="none"/>
                <w:lang w:val="en-US" w:eastAsia="zh-CN" w:bidi="ar-SA"/>
              </w:rPr>
              <w:t>使用保护膜通过液压打包机</w:t>
            </w:r>
            <w:r>
              <w:rPr>
                <w:rFonts w:hint="eastAsia" w:ascii="Times New Roman" w:hAnsi="Times New Roman" w:eastAsia="宋体" w:cs="Times New Roman"/>
                <w:b w:val="0"/>
                <w:bCs/>
                <w:color w:val="auto"/>
                <w:kern w:val="2"/>
                <w:sz w:val="24"/>
                <w:szCs w:val="24"/>
                <w:highlight w:val="none"/>
                <w:lang w:val="en-US" w:eastAsia="zh-CN" w:bidi="ar-SA"/>
              </w:rPr>
              <w:t>进行打包后发货。</w:t>
            </w:r>
          </w:p>
          <w:p w14:paraId="6945623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highlight w:val="none"/>
                <w:lang w:eastAsia="zh-CN"/>
              </w:rPr>
              <w:t>产污节点分析</w:t>
            </w:r>
            <w:bookmarkEnd w:id="5"/>
            <w:r>
              <w:rPr>
                <w:rFonts w:ascii="Times New Roman" w:hAnsi="Times New Roman" w:eastAsia="宋体" w:cs="Times New Roman"/>
                <w:b/>
                <w:bCs/>
                <w:color w:val="auto"/>
                <w:sz w:val="24"/>
                <w:highlight w:val="none"/>
                <w:lang w:eastAsia="zh-CN"/>
              </w:rPr>
              <w:t>：</w:t>
            </w:r>
          </w:p>
          <w:p w14:paraId="25D5151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szCs w:val="24"/>
                <w:highlight w:val="none"/>
                <w:lang w:eastAsia="zh-CN"/>
              </w:rPr>
              <w:t>表2-</w:t>
            </w:r>
            <w:r>
              <w:rPr>
                <w:rFonts w:hint="eastAsia" w:cs="Times New Roman"/>
                <w:b/>
                <w:bCs/>
                <w:color w:val="auto"/>
                <w:sz w:val="24"/>
                <w:szCs w:val="24"/>
                <w:highlight w:val="none"/>
                <w:lang w:val="en-US" w:eastAsia="zh-CN"/>
              </w:rPr>
              <w:t>9</w:t>
            </w:r>
            <w:r>
              <w:rPr>
                <w:rFonts w:hint="eastAsia" w:ascii="Times New Roman" w:hAnsi="Times New Roman" w:eastAsia="宋体" w:cs="Times New Roman"/>
                <w:b/>
                <w:bCs/>
                <w:color w:val="auto"/>
                <w:sz w:val="24"/>
                <w:szCs w:val="24"/>
                <w:highlight w:val="none"/>
                <w:lang w:eastAsia="zh-CN"/>
              </w:rPr>
              <w:t xml:space="preserve"> </w:t>
            </w:r>
            <w:r>
              <w:rPr>
                <w:rFonts w:hint="eastAsia" w:cs="Times New Roman"/>
                <w:b/>
                <w:bCs/>
                <w:color w:val="auto"/>
                <w:sz w:val="24"/>
                <w:szCs w:val="24"/>
                <w:highlight w:val="none"/>
                <w:lang w:val="en-US" w:eastAsia="zh-CN"/>
              </w:rPr>
              <w:t xml:space="preserve"> </w:t>
            </w:r>
            <w:r>
              <w:rPr>
                <w:rFonts w:ascii="Times New Roman" w:hAnsi="Times New Roman" w:eastAsia="宋体" w:cs="Times New Roman"/>
                <w:b/>
                <w:bCs/>
                <w:color w:val="auto"/>
                <w:sz w:val="24"/>
                <w:szCs w:val="24"/>
                <w:highlight w:val="none"/>
                <w:lang w:eastAsia="zh-CN"/>
              </w:rPr>
              <w:t>生产过程产污环节及治理措施一览表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669"/>
              <w:gridCol w:w="1158"/>
              <w:gridCol w:w="1217"/>
              <w:gridCol w:w="1401"/>
              <w:gridCol w:w="2987"/>
            </w:tblGrid>
            <w:tr w14:paraId="05720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Align w:val="center"/>
                </w:tcPr>
                <w:p w14:paraId="7A962582">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产污单元</w:t>
                  </w:r>
                </w:p>
              </w:tc>
              <w:tc>
                <w:tcPr>
                  <w:tcW w:w="669" w:type="dxa"/>
                  <w:vAlign w:val="center"/>
                </w:tcPr>
                <w:p w14:paraId="6D29E17D">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类型</w:t>
                  </w:r>
                </w:p>
              </w:tc>
              <w:tc>
                <w:tcPr>
                  <w:tcW w:w="1158" w:type="dxa"/>
                  <w:vAlign w:val="center"/>
                </w:tcPr>
                <w:p w14:paraId="7ABC5C96">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编号</w:t>
                  </w:r>
                </w:p>
              </w:tc>
              <w:tc>
                <w:tcPr>
                  <w:tcW w:w="1217" w:type="dxa"/>
                  <w:vAlign w:val="center"/>
                </w:tcPr>
                <w:p w14:paraId="2738E127">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污染工序</w:t>
                  </w:r>
                </w:p>
              </w:tc>
              <w:tc>
                <w:tcPr>
                  <w:tcW w:w="1401" w:type="dxa"/>
                  <w:vAlign w:val="center"/>
                </w:tcPr>
                <w:p w14:paraId="4C2255FB">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主要成分</w:t>
                  </w:r>
                </w:p>
              </w:tc>
              <w:tc>
                <w:tcPr>
                  <w:tcW w:w="2987" w:type="dxa"/>
                  <w:vAlign w:val="center"/>
                </w:tcPr>
                <w:p w14:paraId="5C495C98">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治理措施及排放形式</w:t>
                  </w:r>
                </w:p>
              </w:tc>
            </w:tr>
            <w:tr w14:paraId="712D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restart"/>
                  <w:vAlign w:val="center"/>
                </w:tcPr>
                <w:p w14:paraId="02A852EB">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营运期</w:t>
                  </w:r>
                </w:p>
              </w:tc>
              <w:tc>
                <w:tcPr>
                  <w:tcW w:w="669" w:type="dxa"/>
                  <w:vMerge w:val="restart"/>
                  <w:vAlign w:val="center"/>
                </w:tcPr>
                <w:p w14:paraId="0E81C017">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废气</w:t>
                  </w:r>
                </w:p>
              </w:tc>
              <w:tc>
                <w:tcPr>
                  <w:tcW w:w="1158" w:type="dxa"/>
                  <w:vAlign w:val="center"/>
                </w:tcPr>
                <w:p w14:paraId="22B2E71C">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ascii="Times New Roman" w:hAnsi="Times New Roman" w:eastAsia="宋体"/>
                      <w:color w:val="auto"/>
                      <w:spacing w:val="0"/>
                      <w:highlight w:val="none"/>
                    </w:rPr>
                    <w:t>G1</w:t>
                  </w:r>
                  <w:r>
                    <w:rPr>
                      <w:rFonts w:hint="eastAsia"/>
                      <w:color w:val="auto"/>
                      <w:spacing w:val="0"/>
                      <w:highlight w:val="none"/>
                      <w:lang w:val="en-US" w:eastAsia="zh-CN"/>
                    </w:rPr>
                    <w:t>-1、G2-1、G3-1</w:t>
                  </w:r>
                </w:p>
              </w:tc>
              <w:tc>
                <w:tcPr>
                  <w:tcW w:w="1217" w:type="dxa"/>
                  <w:vAlign w:val="center"/>
                </w:tcPr>
                <w:p w14:paraId="4458E2D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hint="eastAsia" w:ascii="Times New Roman" w:hAnsi="Times New Roman" w:eastAsia="宋体" w:cs="Times New Roman"/>
                      <w:color w:val="auto"/>
                      <w:spacing w:val="0"/>
                      <w:highlight w:val="none"/>
                      <w:lang w:eastAsia="zh-CN"/>
                    </w:rPr>
                    <w:t>切割下料</w:t>
                  </w:r>
                </w:p>
              </w:tc>
              <w:tc>
                <w:tcPr>
                  <w:tcW w:w="1401" w:type="dxa"/>
                  <w:vAlign w:val="center"/>
                </w:tcPr>
                <w:p w14:paraId="2103C28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rPr>
                  </w:pPr>
                  <w:r>
                    <w:rPr>
                      <w:rFonts w:ascii="Times New Roman" w:hAnsi="Times New Roman" w:eastAsia="宋体" w:cs="Times New Roman"/>
                      <w:color w:val="auto"/>
                      <w:spacing w:val="0"/>
                      <w:highlight w:val="none"/>
                    </w:rPr>
                    <w:t>颗粒物</w:t>
                  </w:r>
                </w:p>
              </w:tc>
              <w:tc>
                <w:tcPr>
                  <w:tcW w:w="2987" w:type="dxa"/>
                  <w:vMerge w:val="restart"/>
                  <w:vAlign w:val="center"/>
                </w:tcPr>
                <w:p w14:paraId="42CE582A">
                  <w:pPr>
                    <w:pStyle w:val="41"/>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切割废气经密闭收集，其余工序经集气罩收集后经布袋除尘器处理后通过15m高排气筒排放（DA001）</w:t>
                  </w:r>
                </w:p>
              </w:tc>
            </w:tr>
            <w:tr w14:paraId="0CD9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6B35DEE3">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0CB4891A">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04FC6DCF">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ascii="Times New Roman" w:hAnsi="Times New Roman" w:eastAsia="宋体"/>
                      <w:color w:val="auto"/>
                      <w:spacing w:val="0"/>
                      <w:highlight w:val="none"/>
                    </w:rPr>
                    <w:t>G</w:t>
                  </w:r>
                  <w:r>
                    <w:rPr>
                      <w:rFonts w:hint="eastAsia"/>
                      <w:color w:val="auto"/>
                      <w:spacing w:val="0"/>
                      <w:highlight w:val="none"/>
                      <w:lang w:val="en-US" w:eastAsia="zh-CN"/>
                    </w:rPr>
                    <w:t>1-2、G2-2</w:t>
                  </w:r>
                </w:p>
              </w:tc>
              <w:tc>
                <w:tcPr>
                  <w:tcW w:w="1217" w:type="dxa"/>
                  <w:vAlign w:val="center"/>
                </w:tcPr>
                <w:p w14:paraId="630D5CF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hint="eastAsia" w:ascii="Times New Roman" w:hAnsi="Times New Roman" w:eastAsia="宋体" w:cs="Times New Roman"/>
                      <w:color w:val="auto"/>
                      <w:spacing w:val="0"/>
                      <w:highlight w:val="none"/>
                      <w:lang w:eastAsia="zh-CN"/>
                    </w:rPr>
                    <w:t>焊接</w:t>
                  </w:r>
                </w:p>
              </w:tc>
              <w:tc>
                <w:tcPr>
                  <w:tcW w:w="1401" w:type="dxa"/>
                  <w:vAlign w:val="center"/>
                </w:tcPr>
                <w:p w14:paraId="12B537F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rPr>
                  </w:pPr>
                  <w:r>
                    <w:rPr>
                      <w:rFonts w:ascii="Times New Roman" w:hAnsi="Times New Roman" w:eastAsia="宋体" w:cs="Times New Roman"/>
                      <w:color w:val="auto"/>
                      <w:spacing w:val="0"/>
                      <w:highlight w:val="none"/>
                    </w:rPr>
                    <w:t>颗粒物</w:t>
                  </w:r>
                </w:p>
              </w:tc>
              <w:tc>
                <w:tcPr>
                  <w:tcW w:w="2987" w:type="dxa"/>
                  <w:vMerge w:val="continue"/>
                  <w:vAlign w:val="center"/>
                </w:tcPr>
                <w:p w14:paraId="4D31DC32">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p>
              </w:tc>
            </w:tr>
            <w:tr w14:paraId="6AA2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62" w:type="dxa"/>
                  <w:vMerge w:val="continue"/>
                  <w:vAlign w:val="center"/>
                </w:tcPr>
                <w:p w14:paraId="070FA0A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7D93150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0E9AE977">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G1-3、G2-3、G3-3</w:t>
                  </w:r>
                </w:p>
              </w:tc>
              <w:tc>
                <w:tcPr>
                  <w:tcW w:w="1217" w:type="dxa"/>
                  <w:vAlign w:val="center"/>
                </w:tcPr>
                <w:p w14:paraId="67FB42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打磨抛光</w:t>
                  </w:r>
                </w:p>
              </w:tc>
              <w:tc>
                <w:tcPr>
                  <w:tcW w:w="1401" w:type="dxa"/>
                  <w:vAlign w:val="center"/>
                </w:tcPr>
                <w:p w14:paraId="2D45A5B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rPr>
                    <w:t>颗粒物</w:t>
                  </w:r>
                </w:p>
              </w:tc>
              <w:tc>
                <w:tcPr>
                  <w:tcW w:w="2987" w:type="dxa"/>
                  <w:vMerge w:val="continue"/>
                  <w:vAlign w:val="center"/>
                </w:tcPr>
                <w:p w14:paraId="63F289EF">
                  <w:pPr>
                    <w:pStyle w:val="41"/>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pacing w:val="0"/>
                      <w:highlight w:val="none"/>
                      <w:lang w:val="en-US" w:eastAsia="zh-CN"/>
                    </w:rPr>
                  </w:pPr>
                </w:p>
              </w:tc>
            </w:tr>
            <w:tr w14:paraId="6745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3F1AD2EC">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1A33AB24">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3919BDCD">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spacing w:val="0"/>
                      <w:highlight w:val="none"/>
                      <w:lang w:val="en-US" w:eastAsia="zh-CN"/>
                    </w:rPr>
                  </w:pPr>
                  <w:r>
                    <w:rPr>
                      <w:rFonts w:hint="eastAsia"/>
                      <w:color w:val="auto"/>
                      <w:spacing w:val="0"/>
                      <w:highlight w:val="none"/>
                      <w:lang w:val="en-US" w:eastAsia="zh-CN"/>
                    </w:rPr>
                    <w:t>G3-2</w:t>
                  </w:r>
                </w:p>
              </w:tc>
              <w:tc>
                <w:tcPr>
                  <w:tcW w:w="1217" w:type="dxa"/>
                  <w:vAlign w:val="center"/>
                </w:tcPr>
                <w:p w14:paraId="050494EA">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抛丸</w:t>
                  </w:r>
                </w:p>
              </w:tc>
              <w:tc>
                <w:tcPr>
                  <w:tcW w:w="1401" w:type="dxa"/>
                  <w:vAlign w:val="center"/>
                </w:tcPr>
                <w:p w14:paraId="7C141939">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rPr>
                  </w:pPr>
                  <w:r>
                    <w:rPr>
                      <w:rFonts w:ascii="Times New Roman" w:hAnsi="Times New Roman" w:eastAsia="宋体" w:cs="Times New Roman"/>
                      <w:color w:val="auto"/>
                      <w:spacing w:val="0"/>
                      <w:highlight w:val="none"/>
                    </w:rPr>
                    <w:t>颗粒物</w:t>
                  </w:r>
                </w:p>
              </w:tc>
              <w:tc>
                <w:tcPr>
                  <w:tcW w:w="2987" w:type="dxa"/>
                  <w:vAlign w:val="center"/>
                </w:tcPr>
                <w:p w14:paraId="7DEC643C">
                  <w:pPr>
                    <w:pStyle w:val="41"/>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pacing w:val="0"/>
                      <w:highlight w:val="none"/>
                      <w:lang w:val="en-US" w:eastAsia="zh-CN"/>
                    </w:rPr>
                  </w:pPr>
                  <w:r>
                    <w:rPr>
                      <w:rFonts w:hint="eastAsia" w:ascii="Times New Roman" w:hAnsi="Times New Roman" w:eastAsia="宋体"/>
                      <w:color w:val="auto"/>
                      <w:spacing w:val="0"/>
                      <w:highlight w:val="none"/>
                      <w:lang w:eastAsia="zh-CN"/>
                    </w:rPr>
                    <w:t>负压</w:t>
                  </w:r>
                  <w:r>
                    <w:rPr>
                      <w:rFonts w:ascii="Times New Roman" w:hAnsi="Times New Roman" w:eastAsia="宋体"/>
                      <w:color w:val="auto"/>
                      <w:spacing w:val="0"/>
                      <w:highlight w:val="none"/>
                      <w:lang w:eastAsia="zh-CN"/>
                    </w:rPr>
                    <w:t>收集后经</w:t>
                  </w:r>
                  <w:r>
                    <w:rPr>
                      <w:rFonts w:hint="eastAsia" w:ascii="Times New Roman" w:hAnsi="Times New Roman" w:eastAsia="宋体"/>
                      <w:color w:val="auto"/>
                      <w:spacing w:val="0"/>
                      <w:highlight w:val="none"/>
                      <w:lang w:eastAsia="zh-CN"/>
                    </w:rPr>
                    <w:t>抛丸机自带</w:t>
                  </w:r>
                  <w:r>
                    <w:rPr>
                      <w:rFonts w:ascii="Times New Roman" w:hAnsi="Times New Roman" w:eastAsia="宋体"/>
                      <w:color w:val="auto"/>
                      <w:spacing w:val="0"/>
                      <w:highlight w:val="none"/>
                      <w:lang w:eastAsia="zh-CN"/>
                    </w:rPr>
                    <w:t>除尘器处理后通过15m高排气筒</w:t>
                  </w:r>
                  <w:r>
                    <w:rPr>
                      <w:rFonts w:hint="eastAsia"/>
                      <w:color w:val="auto"/>
                      <w:spacing w:val="0"/>
                      <w:highlight w:val="none"/>
                      <w:lang w:eastAsia="zh-CN"/>
                    </w:rPr>
                    <w:t>（</w:t>
                  </w:r>
                  <w:r>
                    <w:rPr>
                      <w:rFonts w:ascii="Times New Roman" w:hAnsi="Times New Roman" w:eastAsia="宋体"/>
                      <w:color w:val="auto"/>
                      <w:spacing w:val="0"/>
                      <w:highlight w:val="none"/>
                      <w:lang w:eastAsia="zh-CN"/>
                    </w:rPr>
                    <w:t>DA00</w:t>
                  </w:r>
                  <w:r>
                    <w:rPr>
                      <w:rFonts w:hint="eastAsia"/>
                      <w:color w:val="auto"/>
                      <w:spacing w:val="0"/>
                      <w:highlight w:val="none"/>
                      <w:lang w:val="en-US" w:eastAsia="zh-CN"/>
                    </w:rPr>
                    <w:t>2）</w:t>
                  </w:r>
                  <w:r>
                    <w:rPr>
                      <w:rFonts w:ascii="Times New Roman" w:hAnsi="Times New Roman" w:eastAsia="宋体"/>
                      <w:color w:val="auto"/>
                      <w:spacing w:val="0"/>
                      <w:highlight w:val="none"/>
                      <w:lang w:eastAsia="zh-CN"/>
                    </w:rPr>
                    <w:t>排放</w:t>
                  </w:r>
                </w:p>
              </w:tc>
            </w:tr>
            <w:tr w14:paraId="0954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59FD7CBE">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45B2CDD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16C0ADDC">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spacing w:val="0"/>
                      <w:highlight w:val="none"/>
                      <w:lang w:val="en-US" w:eastAsia="zh-CN"/>
                    </w:rPr>
                  </w:pPr>
                  <w:r>
                    <w:rPr>
                      <w:rFonts w:hint="eastAsia"/>
                      <w:color w:val="auto"/>
                      <w:spacing w:val="0"/>
                      <w:highlight w:val="none"/>
                      <w:lang w:val="en-US" w:eastAsia="zh-CN"/>
                    </w:rPr>
                    <w:t>G1-5</w:t>
                  </w:r>
                </w:p>
              </w:tc>
              <w:tc>
                <w:tcPr>
                  <w:tcW w:w="1217" w:type="dxa"/>
                  <w:vAlign w:val="center"/>
                </w:tcPr>
                <w:p w14:paraId="2377C1BF">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喷漆</w:t>
                  </w:r>
                </w:p>
              </w:tc>
              <w:tc>
                <w:tcPr>
                  <w:tcW w:w="1401" w:type="dxa"/>
                  <w:vAlign w:val="center"/>
                </w:tcPr>
                <w:p w14:paraId="75161D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颗粒物</w:t>
                  </w:r>
                  <w:r>
                    <w:rPr>
                      <w:rFonts w:hint="eastAsia" w:cs="Times New Roman"/>
                      <w:color w:val="auto"/>
                      <w:spacing w:val="0"/>
                      <w:highlight w:val="none"/>
                      <w:lang w:val="en-US" w:eastAsia="zh-CN"/>
                    </w:rPr>
                    <w:t>、非甲烷总烃</w:t>
                  </w:r>
                </w:p>
              </w:tc>
              <w:tc>
                <w:tcPr>
                  <w:tcW w:w="2987" w:type="dxa"/>
                  <w:vAlign w:val="center"/>
                </w:tcPr>
                <w:p w14:paraId="13D4D63B">
                  <w:pPr>
                    <w:pStyle w:val="41"/>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pacing w:val="0"/>
                      <w:highlight w:val="none"/>
                      <w:lang w:val="en-US" w:eastAsia="zh-CN"/>
                    </w:rPr>
                  </w:pPr>
                  <w:r>
                    <w:rPr>
                      <w:rFonts w:hint="eastAsia" w:ascii="Times New Roman" w:hAnsi="Times New Roman" w:eastAsia="宋体"/>
                      <w:color w:val="auto"/>
                      <w:spacing w:val="0"/>
                      <w:highlight w:val="none"/>
                      <w:lang w:val="en-US" w:eastAsia="zh-CN"/>
                    </w:rPr>
                    <w:t>密闭负压收集后经干式过滤+二级活性炭吸附处理后通过15m高排气筒排放（DA00</w:t>
                  </w:r>
                  <w:r>
                    <w:rPr>
                      <w:rFonts w:hint="eastAsia"/>
                      <w:color w:val="auto"/>
                      <w:spacing w:val="0"/>
                      <w:highlight w:val="none"/>
                      <w:lang w:val="en-US" w:eastAsia="zh-CN"/>
                    </w:rPr>
                    <w:t>5</w:t>
                  </w:r>
                  <w:r>
                    <w:rPr>
                      <w:rFonts w:hint="eastAsia" w:ascii="Times New Roman" w:hAnsi="Times New Roman" w:eastAsia="宋体"/>
                      <w:color w:val="auto"/>
                      <w:spacing w:val="0"/>
                      <w:highlight w:val="none"/>
                      <w:lang w:val="en-US" w:eastAsia="zh-CN"/>
                    </w:rPr>
                    <w:t>）</w:t>
                  </w:r>
                </w:p>
              </w:tc>
            </w:tr>
            <w:tr w14:paraId="714F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56C16A82">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6DEE6AFF">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6E8BBAEF">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hint="eastAsia" w:cs="Times New Roman"/>
                      <w:color w:val="auto"/>
                      <w:spacing w:val="0"/>
                      <w:highlight w:val="none"/>
                      <w:lang w:val="en-US" w:eastAsia="zh-CN"/>
                    </w:rPr>
                    <w:t>G1-6、G2-4、G3-4</w:t>
                  </w:r>
                </w:p>
              </w:tc>
              <w:tc>
                <w:tcPr>
                  <w:tcW w:w="1217" w:type="dxa"/>
                  <w:vAlign w:val="center"/>
                </w:tcPr>
                <w:p w14:paraId="018F5E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喷塑</w:t>
                  </w:r>
                </w:p>
              </w:tc>
              <w:tc>
                <w:tcPr>
                  <w:tcW w:w="1401" w:type="dxa"/>
                  <w:vAlign w:val="center"/>
                </w:tcPr>
                <w:p w14:paraId="741EDD9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hint="eastAsia" w:ascii="Times New Roman" w:hAnsi="Times New Roman" w:eastAsia="宋体" w:cs="Times New Roman"/>
                      <w:color w:val="auto"/>
                      <w:spacing w:val="0"/>
                      <w:highlight w:val="none"/>
                      <w:lang w:val="en-US" w:eastAsia="zh-CN"/>
                    </w:rPr>
                    <w:t>颗粒物</w:t>
                  </w:r>
                </w:p>
              </w:tc>
              <w:tc>
                <w:tcPr>
                  <w:tcW w:w="2987" w:type="dxa"/>
                  <w:vAlign w:val="center"/>
                </w:tcPr>
                <w:p w14:paraId="5F26DF3D">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ascii="Times New Roman" w:hAnsi="Times New Roman" w:eastAsia="宋体"/>
                      <w:color w:val="auto"/>
                      <w:spacing w:val="0"/>
                      <w:highlight w:val="none"/>
                      <w:lang w:eastAsia="zh-CN"/>
                    </w:rPr>
                    <w:t>负压收集后经</w:t>
                  </w:r>
                  <w:r>
                    <w:rPr>
                      <w:rFonts w:hint="eastAsia"/>
                      <w:color w:val="auto"/>
                      <w:spacing w:val="0"/>
                      <w:highlight w:val="none"/>
                      <w:lang w:val="en-US" w:eastAsia="zh-CN"/>
                    </w:rPr>
                    <w:t>滤芯除尘+布袋除尘器处理后通过15m高排气筒排放（DA003）</w:t>
                  </w:r>
                </w:p>
              </w:tc>
            </w:tr>
            <w:tr w14:paraId="7A59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47C6FBC6">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6D266B8E">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53706307">
                  <w:pPr>
                    <w:pStyle w:val="41"/>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spacing w:val="0"/>
                      <w:highlight w:val="none"/>
                      <w:lang w:val="en-US" w:eastAsia="zh-CN"/>
                    </w:rPr>
                  </w:pPr>
                  <w:r>
                    <w:rPr>
                      <w:rFonts w:hint="eastAsia" w:cs="Times New Roman"/>
                      <w:color w:val="auto"/>
                      <w:spacing w:val="0"/>
                      <w:highlight w:val="none"/>
                      <w:lang w:val="en-US" w:eastAsia="zh-CN"/>
                    </w:rPr>
                    <w:t>G1-7、</w:t>
                  </w:r>
                </w:p>
                <w:p w14:paraId="12E4ED26">
                  <w:pPr>
                    <w:pStyle w:val="41"/>
                    <w:keepNext w:val="0"/>
                    <w:keepLines w:val="0"/>
                    <w:pageBreakBefore w:val="0"/>
                    <w:widowControl w:val="0"/>
                    <w:kinsoku/>
                    <w:wordWrap/>
                    <w:overflowPunct/>
                    <w:topLinePunct w:val="0"/>
                    <w:autoSpaceDE/>
                    <w:autoSpaceDN/>
                    <w:bidi w:val="0"/>
                    <w:adjustRightInd/>
                    <w:snapToGrid/>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G1-4、G2-5、G3-5</w:t>
                  </w:r>
                </w:p>
              </w:tc>
              <w:tc>
                <w:tcPr>
                  <w:tcW w:w="1217" w:type="dxa"/>
                  <w:vAlign w:val="center"/>
                </w:tcPr>
                <w:p w14:paraId="0CE6BC56">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固化/烘干（天然气燃烧）</w:t>
                  </w:r>
                </w:p>
              </w:tc>
              <w:tc>
                <w:tcPr>
                  <w:tcW w:w="1401" w:type="dxa"/>
                  <w:vAlign w:val="center"/>
                </w:tcPr>
                <w:p w14:paraId="37EEAD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非甲烷总烃、颗粒物、氮氧化物、二氧化硫</w:t>
                  </w:r>
                </w:p>
              </w:tc>
              <w:tc>
                <w:tcPr>
                  <w:tcW w:w="2987" w:type="dxa"/>
                  <w:vAlign w:val="center"/>
                </w:tcPr>
                <w:p w14:paraId="6A4B402D">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天然气低氮燃烧，集气罩</w:t>
                  </w:r>
                  <w:r>
                    <w:rPr>
                      <w:rFonts w:hint="eastAsia" w:ascii="Times New Roman" w:hAnsi="Times New Roman" w:eastAsia="宋体"/>
                      <w:color w:val="auto"/>
                      <w:spacing w:val="0"/>
                      <w:highlight w:val="none"/>
                      <w:lang w:eastAsia="zh-CN"/>
                    </w:rPr>
                    <w:t>收集</w:t>
                  </w:r>
                  <w:r>
                    <w:rPr>
                      <w:rFonts w:hint="eastAsia"/>
                      <w:color w:val="auto"/>
                      <w:spacing w:val="0"/>
                      <w:highlight w:val="none"/>
                      <w:lang w:val="en-US" w:eastAsia="zh-CN"/>
                    </w:rPr>
                    <w:t>+风冷+</w:t>
                  </w:r>
                  <w:r>
                    <w:rPr>
                      <w:rFonts w:hint="eastAsia" w:ascii="Times New Roman" w:hAnsi="Times New Roman" w:eastAsia="宋体"/>
                      <w:color w:val="auto"/>
                      <w:spacing w:val="0"/>
                      <w:highlight w:val="none"/>
                      <w:lang w:val="en-US" w:eastAsia="zh-CN"/>
                    </w:rPr>
                    <w:t>二级活性炭吸附处理后通过15m高排气筒排放（DA00</w:t>
                  </w:r>
                  <w:r>
                    <w:rPr>
                      <w:rFonts w:hint="eastAsia"/>
                      <w:color w:val="auto"/>
                      <w:spacing w:val="0"/>
                      <w:highlight w:val="none"/>
                      <w:lang w:val="en-US" w:eastAsia="zh-CN"/>
                    </w:rPr>
                    <w:t>4</w:t>
                  </w:r>
                  <w:r>
                    <w:rPr>
                      <w:rFonts w:hint="eastAsia" w:ascii="Times New Roman" w:hAnsi="Times New Roman" w:eastAsia="宋体"/>
                      <w:color w:val="auto"/>
                      <w:spacing w:val="0"/>
                      <w:highlight w:val="none"/>
                      <w:lang w:val="en-US" w:eastAsia="zh-CN"/>
                    </w:rPr>
                    <w:t>）</w:t>
                  </w:r>
                </w:p>
              </w:tc>
            </w:tr>
            <w:tr w14:paraId="73C8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2B6245DE">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restart"/>
                  <w:vAlign w:val="center"/>
                </w:tcPr>
                <w:p w14:paraId="75019727">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废水</w:t>
                  </w:r>
                </w:p>
              </w:tc>
              <w:tc>
                <w:tcPr>
                  <w:tcW w:w="1158" w:type="dxa"/>
                  <w:vAlign w:val="center"/>
                </w:tcPr>
                <w:p w14:paraId="59109BEB">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W1-1</w:t>
                  </w:r>
                </w:p>
              </w:tc>
              <w:tc>
                <w:tcPr>
                  <w:tcW w:w="1217" w:type="dxa"/>
                  <w:vAlign w:val="center"/>
                </w:tcPr>
                <w:p w14:paraId="6D3A6933">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szCs w:val="24"/>
                      <w:highlight w:val="none"/>
                      <w:lang w:val="en-US" w:eastAsia="zh-CN"/>
                    </w:rPr>
                  </w:pPr>
                  <w:r>
                    <w:rPr>
                      <w:rFonts w:hint="eastAsia"/>
                      <w:color w:val="auto"/>
                      <w:spacing w:val="0"/>
                      <w:szCs w:val="24"/>
                      <w:highlight w:val="none"/>
                      <w:lang w:val="en-US" w:eastAsia="zh-CN"/>
                    </w:rPr>
                    <w:t>脱脂废水</w:t>
                  </w:r>
                </w:p>
              </w:tc>
              <w:tc>
                <w:tcPr>
                  <w:tcW w:w="1401" w:type="dxa"/>
                  <w:vAlign w:val="center"/>
                </w:tcPr>
                <w:p w14:paraId="74E2B9C4">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szCs w:val="24"/>
                      <w:highlight w:val="none"/>
                      <w:lang w:val="en-US" w:eastAsia="zh-CN"/>
                    </w:rPr>
                  </w:pPr>
                  <w:r>
                    <w:rPr>
                      <w:rFonts w:ascii="Times New Roman" w:hAnsi="Times New Roman" w:eastAsia="宋体"/>
                      <w:color w:val="auto"/>
                      <w:spacing w:val="0"/>
                      <w:highlight w:val="none"/>
                    </w:rPr>
                    <w:t>pH、COD、BOD</w:t>
                  </w:r>
                  <w:r>
                    <w:rPr>
                      <w:rFonts w:ascii="Times New Roman" w:hAnsi="Times New Roman" w:eastAsia="宋体"/>
                      <w:color w:val="auto"/>
                      <w:spacing w:val="0"/>
                      <w:highlight w:val="none"/>
                      <w:vertAlign w:val="subscript"/>
                    </w:rPr>
                    <w:t>5</w:t>
                  </w:r>
                  <w:r>
                    <w:rPr>
                      <w:rFonts w:ascii="Times New Roman" w:hAnsi="Times New Roman" w:eastAsia="宋体"/>
                      <w:color w:val="auto"/>
                      <w:spacing w:val="0"/>
                      <w:highlight w:val="none"/>
                    </w:rPr>
                    <w:t>、氨氮、SS</w:t>
                  </w:r>
                  <w:r>
                    <w:rPr>
                      <w:rFonts w:hint="eastAsia" w:ascii="Times New Roman" w:hAnsi="Times New Roman" w:eastAsia="宋体"/>
                      <w:color w:val="auto"/>
                      <w:spacing w:val="0"/>
                      <w:highlight w:val="none"/>
                      <w:lang w:eastAsia="zh-CN"/>
                    </w:rPr>
                    <w:t>、</w:t>
                  </w:r>
                  <w:r>
                    <w:rPr>
                      <w:rFonts w:hint="eastAsia" w:ascii="Times New Roman" w:hAnsi="Times New Roman" w:eastAsia="宋体"/>
                      <w:color w:val="auto"/>
                      <w:spacing w:val="0"/>
                      <w:highlight w:val="none"/>
                      <w:lang w:val="en-US" w:eastAsia="zh-CN"/>
                    </w:rPr>
                    <w:t>石油类</w:t>
                  </w:r>
                </w:p>
              </w:tc>
              <w:tc>
                <w:tcPr>
                  <w:tcW w:w="2987" w:type="dxa"/>
                  <w:vMerge w:val="restart"/>
                  <w:vAlign w:val="center"/>
                </w:tcPr>
                <w:p w14:paraId="38FD984D">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szCs w:val="24"/>
                      <w:highlight w:val="none"/>
                      <w:lang w:val="en-US" w:eastAsia="zh-CN"/>
                    </w:rPr>
                  </w:pPr>
                  <w:r>
                    <w:rPr>
                      <w:rFonts w:hint="eastAsia"/>
                      <w:color w:val="auto"/>
                      <w:spacing w:val="0"/>
                      <w:szCs w:val="24"/>
                      <w:highlight w:val="none"/>
                      <w:lang w:val="en-US" w:eastAsia="zh-CN"/>
                    </w:rPr>
                    <w:t>经过自建污水处理站处理后，回用脱脂用水。</w:t>
                  </w:r>
                </w:p>
              </w:tc>
            </w:tr>
            <w:tr w14:paraId="02C1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7FA9DE1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38CA0555">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1158" w:type="dxa"/>
                  <w:vAlign w:val="center"/>
                </w:tcPr>
                <w:p w14:paraId="0FD17245">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W1-2</w:t>
                  </w:r>
                </w:p>
              </w:tc>
              <w:tc>
                <w:tcPr>
                  <w:tcW w:w="1217" w:type="dxa"/>
                  <w:vAlign w:val="center"/>
                </w:tcPr>
                <w:p w14:paraId="5D06D767">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无铬钝化清洗废水</w:t>
                  </w:r>
                </w:p>
              </w:tc>
              <w:tc>
                <w:tcPr>
                  <w:tcW w:w="1401" w:type="dxa"/>
                  <w:vAlign w:val="center"/>
                </w:tcPr>
                <w:p w14:paraId="3C5849A6">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b/>
                      <w:bCs/>
                      <w:color w:val="auto"/>
                      <w:spacing w:val="0"/>
                      <w:highlight w:val="none"/>
                      <w:lang w:val="en-US"/>
                    </w:rPr>
                  </w:pPr>
                  <w:r>
                    <w:rPr>
                      <w:rFonts w:ascii="Times New Roman" w:hAnsi="Times New Roman" w:eastAsia="宋体"/>
                      <w:color w:val="auto"/>
                      <w:spacing w:val="0"/>
                      <w:highlight w:val="none"/>
                    </w:rPr>
                    <w:t>pH、COD、BOD</w:t>
                  </w:r>
                  <w:r>
                    <w:rPr>
                      <w:rFonts w:ascii="Times New Roman" w:hAnsi="Times New Roman" w:eastAsia="宋体"/>
                      <w:color w:val="auto"/>
                      <w:spacing w:val="0"/>
                      <w:highlight w:val="none"/>
                      <w:vertAlign w:val="subscript"/>
                    </w:rPr>
                    <w:t>5</w:t>
                  </w:r>
                  <w:r>
                    <w:rPr>
                      <w:rFonts w:ascii="Times New Roman" w:hAnsi="Times New Roman" w:eastAsia="宋体"/>
                      <w:color w:val="auto"/>
                      <w:spacing w:val="0"/>
                      <w:highlight w:val="none"/>
                    </w:rPr>
                    <w:t>、氨氮、SS</w:t>
                  </w:r>
                </w:p>
              </w:tc>
              <w:tc>
                <w:tcPr>
                  <w:tcW w:w="2987" w:type="dxa"/>
                  <w:vMerge w:val="continue"/>
                  <w:vAlign w:val="center"/>
                </w:tcPr>
                <w:p w14:paraId="5256ADD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r>
            <w:tr w14:paraId="1D6E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3763CB65">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3BB4292C">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1158" w:type="dxa"/>
                  <w:vAlign w:val="center"/>
                </w:tcPr>
                <w:p w14:paraId="53330CC2">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olor w:val="auto"/>
                      <w:spacing w:val="0"/>
                      <w:highlight w:val="none"/>
                      <w:lang w:val="en-US" w:eastAsia="zh-CN"/>
                    </w:rPr>
                  </w:pPr>
                  <w:r>
                    <w:rPr>
                      <w:rFonts w:ascii="Times New Roman" w:hAnsi="Times New Roman" w:eastAsia="宋体"/>
                      <w:color w:val="auto"/>
                      <w:spacing w:val="0"/>
                      <w:highlight w:val="none"/>
                    </w:rPr>
                    <w:t>W</w:t>
                  </w:r>
                </w:p>
              </w:tc>
              <w:tc>
                <w:tcPr>
                  <w:tcW w:w="1217" w:type="dxa"/>
                  <w:vAlign w:val="center"/>
                </w:tcPr>
                <w:p w14:paraId="62349B96">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生活污水</w:t>
                  </w:r>
                </w:p>
              </w:tc>
              <w:tc>
                <w:tcPr>
                  <w:tcW w:w="1401" w:type="dxa"/>
                  <w:vAlign w:val="center"/>
                </w:tcPr>
                <w:p w14:paraId="20BB38DA">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pH、COD、BOD</w:t>
                  </w:r>
                  <w:r>
                    <w:rPr>
                      <w:rFonts w:ascii="Times New Roman" w:hAnsi="Times New Roman" w:eastAsia="宋体"/>
                      <w:color w:val="auto"/>
                      <w:spacing w:val="0"/>
                      <w:highlight w:val="none"/>
                      <w:vertAlign w:val="subscript"/>
                    </w:rPr>
                    <w:t>5</w:t>
                  </w:r>
                  <w:r>
                    <w:rPr>
                      <w:rFonts w:ascii="Times New Roman" w:hAnsi="Times New Roman" w:eastAsia="宋体"/>
                      <w:color w:val="auto"/>
                      <w:spacing w:val="0"/>
                      <w:highlight w:val="none"/>
                    </w:rPr>
                    <w:t>、氨氮、SS</w:t>
                  </w:r>
                </w:p>
              </w:tc>
              <w:tc>
                <w:tcPr>
                  <w:tcW w:w="2987" w:type="dxa"/>
                  <w:vAlign w:val="center"/>
                </w:tcPr>
                <w:p w14:paraId="0CA423F6">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经化粪池处理后排入市政污水管网</w:t>
                  </w:r>
                </w:p>
              </w:tc>
            </w:tr>
            <w:tr w14:paraId="4040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318BC63A">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restart"/>
                  <w:vAlign w:val="center"/>
                </w:tcPr>
                <w:p w14:paraId="5A911637">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固废</w:t>
                  </w:r>
                </w:p>
              </w:tc>
              <w:tc>
                <w:tcPr>
                  <w:tcW w:w="1158" w:type="dxa"/>
                  <w:vAlign w:val="center"/>
                </w:tcPr>
                <w:p w14:paraId="0B0E1ED0">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ascii="Times New Roman" w:hAnsi="Times New Roman" w:eastAsia="宋体"/>
                      <w:color w:val="auto"/>
                      <w:spacing w:val="0"/>
                      <w:highlight w:val="none"/>
                    </w:rPr>
                    <w:t>S</w:t>
                  </w:r>
                  <w:r>
                    <w:rPr>
                      <w:rFonts w:hint="eastAsia"/>
                      <w:color w:val="auto"/>
                      <w:spacing w:val="0"/>
                      <w:highlight w:val="none"/>
                      <w:lang w:val="en-US" w:eastAsia="zh-CN"/>
                    </w:rPr>
                    <w:t>1-</w:t>
                  </w:r>
                  <w:r>
                    <w:rPr>
                      <w:rFonts w:ascii="Times New Roman" w:hAnsi="Times New Roman" w:eastAsia="宋体"/>
                      <w:color w:val="auto"/>
                      <w:spacing w:val="0"/>
                      <w:highlight w:val="none"/>
                    </w:rPr>
                    <w:t>1</w:t>
                  </w:r>
                  <w:r>
                    <w:rPr>
                      <w:rFonts w:hint="eastAsia" w:ascii="Times New Roman" w:hAnsi="Times New Roman" w:eastAsia="宋体"/>
                      <w:color w:val="auto"/>
                      <w:spacing w:val="0"/>
                      <w:highlight w:val="none"/>
                      <w:lang w:eastAsia="zh-CN"/>
                    </w:rPr>
                    <w:t>、S</w:t>
                  </w:r>
                  <w:r>
                    <w:rPr>
                      <w:rFonts w:hint="eastAsia"/>
                      <w:color w:val="auto"/>
                      <w:spacing w:val="0"/>
                      <w:highlight w:val="none"/>
                      <w:lang w:val="en-US" w:eastAsia="zh-CN"/>
                    </w:rPr>
                    <w:t>1-</w:t>
                  </w:r>
                  <w:r>
                    <w:rPr>
                      <w:rFonts w:hint="eastAsia" w:ascii="Times New Roman" w:hAnsi="Times New Roman" w:eastAsia="宋体"/>
                      <w:color w:val="auto"/>
                      <w:spacing w:val="0"/>
                      <w:highlight w:val="none"/>
                      <w:lang w:eastAsia="zh-CN"/>
                    </w:rPr>
                    <w:t>2</w:t>
                  </w:r>
                  <w:r>
                    <w:rPr>
                      <w:rFonts w:hint="eastAsia"/>
                      <w:color w:val="auto"/>
                      <w:spacing w:val="0"/>
                      <w:highlight w:val="none"/>
                      <w:lang w:eastAsia="zh-CN"/>
                    </w:rPr>
                    <w:t>、</w:t>
                  </w:r>
                  <w:r>
                    <w:rPr>
                      <w:rFonts w:hint="eastAsia"/>
                      <w:color w:val="auto"/>
                      <w:spacing w:val="0"/>
                      <w:highlight w:val="none"/>
                      <w:lang w:val="en-US" w:eastAsia="zh-CN"/>
                    </w:rPr>
                    <w:t>S2-1、S2-3</w:t>
                  </w:r>
                </w:p>
              </w:tc>
              <w:tc>
                <w:tcPr>
                  <w:tcW w:w="1217" w:type="dxa"/>
                  <w:vAlign w:val="center"/>
                </w:tcPr>
                <w:p w14:paraId="37C0DB7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切割下料，机加工</w:t>
                  </w:r>
                </w:p>
              </w:tc>
              <w:tc>
                <w:tcPr>
                  <w:tcW w:w="1401" w:type="dxa"/>
                  <w:vAlign w:val="center"/>
                </w:tcPr>
                <w:p w14:paraId="7CAF5BA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金属边角料</w:t>
                  </w:r>
                </w:p>
              </w:tc>
              <w:tc>
                <w:tcPr>
                  <w:tcW w:w="2987" w:type="dxa"/>
                  <w:vAlign w:val="center"/>
                </w:tcPr>
                <w:p w14:paraId="6E5B5108">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集中收集后外售</w:t>
                  </w:r>
                </w:p>
              </w:tc>
            </w:tr>
            <w:tr w14:paraId="1DBA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0817BD45">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669" w:type="dxa"/>
                  <w:vMerge w:val="continue"/>
                  <w:vAlign w:val="center"/>
                </w:tcPr>
                <w:p w14:paraId="11C4BC2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1158" w:type="dxa"/>
                  <w:vAlign w:val="center"/>
                </w:tcPr>
                <w:p w14:paraId="43733E4C">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ascii="Times New Roman" w:hAnsi="Times New Roman" w:eastAsia="宋体"/>
                      <w:color w:val="auto"/>
                      <w:spacing w:val="0"/>
                      <w:highlight w:val="none"/>
                    </w:rPr>
                    <w:t>S</w:t>
                  </w:r>
                  <w:r>
                    <w:rPr>
                      <w:rFonts w:hint="eastAsia"/>
                      <w:color w:val="auto"/>
                      <w:spacing w:val="0"/>
                      <w:highlight w:val="none"/>
                      <w:lang w:val="en-US" w:eastAsia="zh-CN"/>
                    </w:rPr>
                    <w:t>1-</w:t>
                  </w:r>
                  <w:r>
                    <w:rPr>
                      <w:rFonts w:hint="eastAsia" w:ascii="Times New Roman" w:hAnsi="Times New Roman" w:eastAsia="宋体"/>
                      <w:color w:val="auto"/>
                      <w:spacing w:val="0"/>
                      <w:highlight w:val="none"/>
                      <w:lang w:eastAsia="zh-CN"/>
                    </w:rPr>
                    <w:t>3</w:t>
                  </w:r>
                  <w:r>
                    <w:rPr>
                      <w:rFonts w:hint="eastAsia"/>
                      <w:color w:val="auto"/>
                      <w:spacing w:val="0"/>
                      <w:highlight w:val="none"/>
                      <w:lang w:eastAsia="zh-CN"/>
                    </w:rPr>
                    <w:t>、</w:t>
                  </w:r>
                  <w:r>
                    <w:rPr>
                      <w:rFonts w:hint="eastAsia"/>
                      <w:color w:val="auto"/>
                      <w:spacing w:val="0"/>
                      <w:highlight w:val="none"/>
                      <w:lang w:val="en-US" w:eastAsia="zh-CN"/>
                    </w:rPr>
                    <w:t>S2-2</w:t>
                  </w:r>
                </w:p>
              </w:tc>
              <w:tc>
                <w:tcPr>
                  <w:tcW w:w="1217" w:type="dxa"/>
                  <w:vAlign w:val="center"/>
                </w:tcPr>
                <w:p w14:paraId="3729B57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焊接</w:t>
                  </w:r>
                </w:p>
              </w:tc>
              <w:tc>
                <w:tcPr>
                  <w:tcW w:w="1401" w:type="dxa"/>
                  <w:vAlign w:val="center"/>
                </w:tcPr>
                <w:p w14:paraId="56225CA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焊渣</w:t>
                  </w:r>
                </w:p>
              </w:tc>
              <w:tc>
                <w:tcPr>
                  <w:tcW w:w="2987" w:type="dxa"/>
                  <w:vAlign w:val="center"/>
                </w:tcPr>
                <w:p w14:paraId="7F488F9C">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集中收集后</w:t>
                  </w:r>
                  <w:r>
                    <w:rPr>
                      <w:rFonts w:hint="eastAsia"/>
                      <w:color w:val="auto"/>
                      <w:spacing w:val="0"/>
                      <w:highlight w:val="none"/>
                      <w:lang w:val="en-US" w:eastAsia="zh-CN"/>
                    </w:rPr>
                    <w:t>外售</w:t>
                  </w:r>
                </w:p>
              </w:tc>
            </w:tr>
            <w:tr w14:paraId="2707F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23E1D854">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669" w:type="dxa"/>
                  <w:vMerge w:val="continue"/>
                  <w:vAlign w:val="center"/>
                </w:tcPr>
                <w:p w14:paraId="130D84CB">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1158" w:type="dxa"/>
                  <w:vAlign w:val="center"/>
                </w:tcPr>
                <w:p w14:paraId="6BE069E6">
                  <w:pPr>
                    <w:pStyle w:val="41"/>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66A18C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废气处理</w:t>
                  </w:r>
                </w:p>
              </w:tc>
              <w:tc>
                <w:tcPr>
                  <w:tcW w:w="1401" w:type="dxa"/>
                  <w:vAlign w:val="center"/>
                </w:tcPr>
                <w:p w14:paraId="47C994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布袋除尘器收尘</w:t>
                  </w:r>
                </w:p>
              </w:tc>
              <w:tc>
                <w:tcPr>
                  <w:tcW w:w="2987" w:type="dxa"/>
                  <w:vAlign w:val="center"/>
                </w:tcPr>
                <w:p w14:paraId="7106126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集中收集后</w:t>
                  </w:r>
                  <w:r>
                    <w:rPr>
                      <w:rFonts w:hint="eastAsia"/>
                      <w:color w:val="auto"/>
                      <w:spacing w:val="0"/>
                      <w:highlight w:val="none"/>
                      <w:lang w:val="en-US" w:eastAsia="zh-CN"/>
                    </w:rPr>
                    <w:t>外售</w:t>
                  </w:r>
                </w:p>
              </w:tc>
            </w:tr>
            <w:tr w14:paraId="7553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75B9EE68">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669" w:type="dxa"/>
                  <w:vMerge w:val="continue"/>
                  <w:vAlign w:val="center"/>
                </w:tcPr>
                <w:p w14:paraId="5F7D9FE5">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1158" w:type="dxa"/>
                  <w:vAlign w:val="center"/>
                </w:tcPr>
                <w:p w14:paraId="723CA52F">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066AE7B9">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喷塑</w:t>
                  </w:r>
                </w:p>
              </w:tc>
              <w:tc>
                <w:tcPr>
                  <w:tcW w:w="1401" w:type="dxa"/>
                  <w:vAlign w:val="center"/>
                </w:tcPr>
                <w:p w14:paraId="4B2CF2D1">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滤芯收尘</w:t>
                  </w:r>
                </w:p>
              </w:tc>
              <w:tc>
                <w:tcPr>
                  <w:tcW w:w="2987" w:type="dxa"/>
                  <w:vAlign w:val="center"/>
                </w:tcPr>
                <w:p w14:paraId="3B51543C">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收集后回用于生产</w:t>
                  </w:r>
                </w:p>
              </w:tc>
            </w:tr>
            <w:tr w14:paraId="66B3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26C0866B">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669" w:type="dxa"/>
                  <w:vMerge w:val="continue"/>
                  <w:vAlign w:val="center"/>
                </w:tcPr>
                <w:p w14:paraId="0064B285">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p>
              </w:tc>
              <w:tc>
                <w:tcPr>
                  <w:tcW w:w="1158" w:type="dxa"/>
                  <w:vAlign w:val="center"/>
                </w:tcPr>
                <w:p w14:paraId="7C56F966">
                  <w:pPr>
                    <w:pStyle w:val="41"/>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431D1C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生产工序</w:t>
                  </w:r>
                </w:p>
              </w:tc>
              <w:tc>
                <w:tcPr>
                  <w:tcW w:w="1401" w:type="dxa"/>
                  <w:vAlign w:val="center"/>
                </w:tcPr>
                <w:p w14:paraId="6ACAC65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hint="eastAsia" w:cs="Times New Roman"/>
                      <w:color w:val="auto"/>
                      <w:spacing w:val="0"/>
                      <w:highlight w:val="none"/>
                      <w:lang w:val="en-US" w:eastAsia="zh-CN"/>
                    </w:rPr>
                    <w:t>废包装袋</w:t>
                  </w:r>
                </w:p>
              </w:tc>
              <w:tc>
                <w:tcPr>
                  <w:tcW w:w="2987" w:type="dxa"/>
                  <w:vAlign w:val="center"/>
                </w:tcPr>
                <w:p w14:paraId="3456FA8A">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集中收集后</w:t>
                  </w:r>
                  <w:r>
                    <w:rPr>
                      <w:rFonts w:hint="eastAsia" w:ascii="Times New Roman" w:hAnsi="Times New Roman" w:eastAsia="宋体"/>
                      <w:color w:val="auto"/>
                      <w:spacing w:val="0"/>
                      <w:highlight w:val="none"/>
                      <w:lang w:eastAsia="zh-CN"/>
                    </w:rPr>
                    <w:t>委托外单位处理</w:t>
                  </w:r>
                </w:p>
              </w:tc>
            </w:tr>
            <w:tr w14:paraId="3B25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3A064206">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43085AD6">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32919B7C">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1706B26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机加工</w:t>
                  </w:r>
                </w:p>
              </w:tc>
              <w:tc>
                <w:tcPr>
                  <w:tcW w:w="1401" w:type="dxa"/>
                  <w:vAlign w:val="center"/>
                </w:tcPr>
                <w:p w14:paraId="76F7B2E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废机油</w:t>
                  </w:r>
                </w:p>
              </w:tc>
              <w:tc>
                <w:tcPr>
                  <w:tcW w:w="2987" w:type="dxa"/>
                  <w:vAlign w:val="center"/>
                </w:tcPr>
                <w:p w14:paraId="1797F1D6">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危废暂存间暂存后委托有资质单位处置</w:t>
                  </w:r>
                </w:p>
              </w:tc>
            </w:tr>
            <w:tr w14:paraId="7529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3BFB890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3BC4F616">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0E217F57">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361EDBD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机加工</w:t>
                  </w:r>
                </w:p>
              </w:tc>
              <w:tc>
                <w:tcPr>
                  <w:tcW w:w="1401" w:type="dxa"/>
                  <w:vAlign w:val="center"/>
                </w:tcPr>
                <w:p w14:paraId="58E37EA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废</w:t>
                  </w:r>
                  <w:r>
                    <w:rPr>
                      <w:rFonts w:hint="eastAsia" w:cs="Times New Roman"/>
                      <w:color w:val="auto"/>
                      <w:spacing w:val="0"/>
                      <w:highlight w:val="none"/>
                      <w:lang w:val="en-US" w:eastAsia="zh-CN"/>
                    </w:rPr>
                    <w:t>机</w:t>
                  </w:r>
                  <w:r>
                    <w:rPr>
                      <w:rFonts w:ascii="Times New Roman" w:hAnsi="Times New Roman" w:eastAsia="宋体" w:cs="Times New Roman"/>
                      <w:color w:val="auto"/>
                      <w:spacing w:val="0"/>
                      <w:highlight w:val="none"/>
                      <w:lang w:eastAsia="zh-CN"/>
                    </w:rPr>
                    <w:t>油桶</w:t>
                  </w:r>
                </w:p>
              </w:tc>
              <w:tc>
                <w:tcPr>
                  <w:tcW w:w="2987" w:type="dxa"/>
                  <w:vAlign w:val="center"/>
                </w:tcPr>
                <w:p w14:paraId="2A7F6A9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危废暂存间暂存后委托有资质单位处置</w:t>
                  </w:r>
                </w:p>
              </w:tc>
            </w:tr>
            <w:tr w14:paraId="62F1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328E0DA0">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3A60B55E">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4C198597">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3A5455C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hint="eastAsia" w:ascii="Times New Roman" w:hAnsi="Times New Roman" w:eastAsia="宋体" w:cs="Times New Roman"/>
                      <w:color w:val="auto"/>
                      <w:spacing w:val="0"/>
                      <w:highlight w:val="none"/>
                      <w:lang w:eastAsia="zh-CN"/>
                    </w:rPr>
                    <w:t>喷漆</w:t>
                  </w:r>
                </w:p>
              </w:tc>
              <w:tc>
                <w:tcPr>
                  <w:tcW w:w="1401" w:type="dxa"/>
                  <w:vAlign w:val="center"/>
                </w:tcPr>
                <w:p w14:paraId="752A6D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ascii="Times New Roman" w:hAnsi="Times New Roman" w:eastAsia="宋体" w:cs="Times New Roman"/>
                      <w:color w:val="auto"/>
                      <w:spacing w:val="0"/>
                      <w:highlight w:val="none"/>
                      <w:lang w:eastAsia="zh-CN"/>
                    </w:rPr>
                    <w:t>废漆桶</w:t>
                  </w:r>
                  <w:r>
                    <w:rPr>
                      <w:rFonts w:hint="eastAsia" w:ascii="Times New Roman" w:hAnsi="Times New Roman" w:eastAsia="宋体" w:cs="Times New Roman"/>
                      <w:color w:val="auto"/>
                      <w:spacing w:val="0"/>
                      <w:highlight w:val="none"/>
                      <w:lang w:eastAsia="zh-CN"/>
                    </w:rPr>
                    <w:t>、</w:t>
                  </w:r>
                  <w:r>
                    <w:rPr>
                      <w:rFonts w:hint="eastAsia" w:ascii="Times New Roman" w:hAnsi="Times New Roman" w:eastAsia="宋体" w:cs="Times New Roman"/>
                      <w:color w:val="auto"/>
                      <w:spacing w:val="0"/>
                      <w:highlight w:val="none"/>
                      <w:lang w:val="en-US" w:eastAsia="zh-CN"/>
                    </w:rPr>
                    <w:t>漆渣</w:t>
                  </w:r>
                </w:p>
              </w:tc>
              <w:tc>
                <w:tcPr>
                  <w:tcW w:w="2987" w:type="dxa"/>
                  <w:vAlign w:val="center"/>
                </w:tcPr>
                <w:p w14:paraId="5A4BD71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危废暂存间暂存后委托有资质单位处置</w:t>
                  </w:r>
                </w:p>
              </w:tc>
            </w:tr>
            <w:tr w14:paraId="3451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7F96D60E">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1FDB3714">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37DCBD07">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2A4C89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清洗</w:t>
                  </w:r>
                </w:p>
              </w:tc>
              <w:tc>
                <w:tcPr>
                  <w:tcW w:w="1401" w:type="dxa"/>
                  <w:vAlign w:val="center"/>
                </w:tcPr>
                <w:p w14:paraId="553C9E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废包装桶</w:t>
                  </w:r>
                </w:p>
              </w:tc>
              <w:tc>
                <w:tcPr>
                  <w:tcW w:w="2987" w:type="dxa"/>
                  <w:vAlign w:val="center"/>
                </w:tcPr>
                <w:p w14:paraId="11A2F9AE">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危废暂存间暂存后委托有资质单位处置</w:t>
                  </w:r>
                </w:p>
              </w:tc>
            </w:tr>
            <w:tr w14:paraId="7E37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5E62754B">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35A89832">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73F3890B">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5E2D4871">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废水处理</w:t>
                  </w:r>
                </w:p>
              </w:tc>
              <w:tc>
                <w:tcPr>
                  <w:tcW w:w="1401" w:type="dxa"/>
                  <w:vAlign w:val="center"/>
                </w:tcPr>
                <w:p w14:paraId="40336CC1">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污泥</w:t>
                  </w:r>
                </w:p>
              </w:tc>
              <w:tc>
                <w:tcPr>
                  <w:tcW w:w="2987" w:type="dxa"/>
                  <w:vAlign w:val="center"/>
                </w:tcPr>
                <w:p w14:paraId="14E36447">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危废暂存间暂存后委托有资质单位处置</w:t>
                  </w:r>
                </w:p>
              </w:tc>
            </w:tr>
            <w:tr w14:paraId="1791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062" w:type="dxa"/>
                  <w:vMerge w:val="continue"/>
                  <w:vAlign w:val="center"/>
                </w:tcPr>
                <w:p w14:paraId="355AE472">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2B52A630">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2428355E">
                  <w:pPr>
                    <w:pStyle w:val="41"/>
                    <w:keepNext w:val="0"/>
                    <w:keepLines w:val="0"/>
                    <w:pageBreakBefore w:val="0"/>
                    <w:widowControl w:val="0"/>
                    <w:kinsoku/>
                    <w:wordWrap/>
                    <w:overflowPunct/>
                    <w:topLinePunct w:val="0"/>
                    <w:autoSpaceDE/>
                    <w:autoSpaceDN/>
                    <w:bidi w:val="0"/>
                    <w:adjustRightInd/>
                    <w:snapToGrid/>
                    <w:textAlignment w:val="auto"/>
                    <w:rPr>
                      <w:rFonts w:hint="default"/>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5E1F2DA9">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废气处理</w:t>
                  </w:r>
                </w:p>
              </w:tc>
              <w:tc>
                <w:tcPr>
                  <w:tcW w:w="1401" w:type="dxa"/>
                  <w:vAlign w:val="center"/>
                </w:tcPr>
                <w:p w14:paraId="24A72428">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pacing w:val="0"/>
                      <w:highlight w:val="none"/>
                      <w:lang w:val="en-US" w:eastAsia="zh-CN"/>
                    </w:rPr>
                  </w:pPr>
                  <w:r>
                    <w:rPr>
                      <w:rFonts w:hint="eastAsia" w:cs="Times New Roman"/>
                      <w:color w:val="auto"/>
                      <w:spacing w:val="0"/>
                      <w:highlight w:val="none"/>
                      <w:lang w:val="en-US" w:eastAsia="zh-CN"/>
                    </w:rPr>
                    <w:t>废活性炭</w:t>
                  </w:r>
                </w:p>
              </w:tc>
              <w:tc>
                <w:tcPr>
                  <w:tcW w:w="2987" w:type="dxa"/>
                  <w:vAlign w:val="center"/>
                </w:tcPr>
                <w:p w14:paraId="5FA240B6">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r>
                    <w:rPr>
                      <w:rFonts w:ascii="Times New Roman" w:hAnsi="Times New Roman" w:eastAsia="宋体"/>
                      <w:color w:val="auto"/>
                      <w:spacing w:val="0"/>
                      <w:highlight w:val="none"/>
                      <w:lang w:eastAsia="zh-CN"/>
                    </w:rPr>
                    <w:t>危废暂存间暂存后委托有资质单位处置</w:t>
                  </w:r>
                </w:p>
              </w:tc>
            </w:tr>
            <w:tr w14:paraId="2B14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2" w:type="dxa"/>
                  <w:vMerge w:val="continue"/>
                  <w:vAlign w:val="center"/>
                </w:tcPr>
                <w:p w14:paraId="6E7236C0">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669" w:type="dxa"/>
                  <w:vMerge w:val="continue"/>
                  <w:vAlign w:val="center"/>
                </w:tcPr>
                <w:p w14:paraId="2DC97F50">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lang w:eastAsia="zh-CN"/>
                    </w:rPr>
                  </w:pPr>
                </w:p>
              </w:tc>
              <w:tc>
                <w:tcPr>
                  <w:tcW w:w="1158" w:type="dxa"/>
                  <w:vAlign w:val="center"/>
                </w:tcPr>
                <w:p w14:paraId="2625DC4F">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spacing w:val="0"/>
                      <w:highlight w:val="none"/>
                      <w:lang w:val="en-US" w:eastAsia="zh-CN"/>
                    </w:rPr>
                  </w:pPr>
                  <w:r>
                    <w:rPr>
                      <w:rFonts w:hint="eastAsia"/>
                      <w:color w:val="auto"/>
                      <w:spacing w:val="0"/>
                      <w:highlight w:val="none"/>
                      <w:lang w:val="en-US" w:eastAsia="zh-CN"/>
                    </w:rPr>
                    <w:t>/</w:t>
                  </w:r>
                </w:p>
              </w:tc>
              <w:tc>
                <w:tcPr>
                  <w:tcW w:w="1217" w:type="dxa"/>
                  <w:vAlign w:val="center"/>
                </w:tcPr>
                <w:p w14:paraId="158177A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生活区</w:t>
                  </w:r>
                </w:p>
              </w:tc>
              <w:tc>
                <w:tcPr>
                  <w:tcW w:w="1401" w:type="dxa"/>
                  <w:vAlign w:val="center"/>
                </w:tcPr>
                <w:p w14:paraId="22D8EB6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pacing w:val="0"/>
                      <w:highlight w:val="none"/>
                      <w:lang w:eastAsia="zh-CN"/>
                    </w:rPr>
                  </w:pPr>
                  <w:r>
                    <w:rPr>
                      <w:rFonts w:ascii="Times New Roman" w:hAnsi="Times New Roman" w:eastAsia="宋体" w:cs="Times New Roman"/>
                      <w:color w:val="auto"/>
                      <w:spacing w:val="0"/>
                      <w:highlight w:val="none"/>
                      <w:lang w:eastAsia="zh-CN"/>
                    </w:rPr>
                    <w:t>生活垃圾</w:t>
                  </w:r>
                </w:p>
              </w:tc>
              <w:tc>
                <w:tcPr>
                  <w:tcW w:w="2987" w:type="dxa"/>
                  <w:vAlign w:val="center"/>
                </w:tcPr>
                <w:p w14:paraId="76CCD504">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spacing w:val="0"/>
                      <w:highlight w:val="none"/>
                    </w:rPr>
                  </w:pPr>
                  <w:r>
                    <w:rPr>
                      <w:rFonts w:ascii="Times New Roman" w:hAnsi="Times New Roman" w:eastAsia="宋体"/>
                      <w:color w:val="auto"/>
                      <w:spacing w:val="0"/>
                      <w:highlight w:val="none"/>
                    </w:rPr>
                    <w:t>环卫部门统一清运</w:t>
                  </w:r>
                </w:p>
              </w:tc>
            </w:tr>
          </w:tbl>
          <w:p w14:paraId="0215BA10">
            <w:pPr>
              <w:kinsoku/>
              <w:spacing w:line="360" w:lineRule="auto"/>
              <w:rPr>
                <w:bCs/>
                <w:color w:val="auto"/>
                <w:sz w:val="24"/>
                <w:highlight w:val="none"/>
              </w:rPr>
            </w:pPr>
          </w:p>
        </w:tc>
      </w:tr>
      <w:tr w14:paraId="20130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4" w:hRule="atLeast"/>
          <w:jc w:val="center"/>
        </w:trPr>
        <w:tc>
          <w:tcPr>
            <w:tcW w:w="387" w:type="pct"/>
            <w:vAlign w:val="center"/>
          </w:tcPr>
          <w:p w14:paraId="547C25BA">
            <w:pPr>
              <w:pStyle w:val="23"/>
              <w:kinsoku/>
              <w:spacing w:before="0" w:beforeAutospacing="0" w:after="0" w:afterAutospacing="0"/>
              <w:jc w:val="center"/>
              <w:rPr>
                <w:rFonts w:eastAsia="宋体" w:cs="宋体"/>
                <w:color w:val="auto"/>
                <w:szCs w:val="24"/>
                <w:highlight w:val="none"/>
                <w:lang w:eastAsia="zh-CN"/>
              </w:rPr>
            </w:pPr>
            <w:r>
              <w:rPr>
                <w:rFonts w:hint="eastAsia" w:eastAsia="宋体" w:cs="宋体"/>
                <w:bCs/>
                <w:color w:val="auto"/>
                <w:kern w:val="2"/>
                <w:szCs w:val="24"/>
                <w:highlight w:val="none"/>
                <w:lang w:eastAsia="zh-CN"/>
              </w:rPr>
              <w:t>与项目有关的原有环境污染问题</w:t>
            </w:r>
          </w:p>
        </w:tc>
        <w:tc>
          <w:tcPr>
            <w:tcW w:w="4612" w:type="pct"/>
            <w:vAlign w:val="center"/>
          </w:tcPr>
          <w:p w14:paraId="315FA9AC">
            <w:pPr>
              <w:adjustRightInd/>
              <w:snapToGrid/>
              <w:spacing w:line="360" w:lineRule="auto"/>
              <w:ind w:firstLine="480" w:firstLineChars="200"/>
              <w:jc w:val="both"/>
              <w:rPr>
                <w:rFonts w:hint="default" w:ascii="Times New Roman" w:hAnsi="Times New Roman" w:eastAsia="宋体" w:cs="Times New Roman"/>
                <w:b/>
                <w:bCs/>
                <w:sz w:val="24"/>
                <w:szCs w:val="24"/>
                <w:lang w:val="en-US" w:eastAsia="zh-CN"/>
              </w:rPr>
            </w:pPr>
            <w:r>
              <w:rPr>
                <w:rFonts w:ascii="Times New Roman" w:hAnsi="Times New Roman" w:eastAsia="宋体" w:cs="Times New Roman"/>
                <w:color w:val="auto"/>
                <w:sz w:val="24"/>
                <w:szCs w:val="24"/>
                <w:highlight w:val="none"/>
                <w:lang w:eastAsia="zh-CN"/>
              </w:rPr>
              <w:t>根据现场踏勘，本项目为新建项目，</w:t>
            </w:r>
            <w:r>
              <w:rPr>
                <w:rFonts w:hint="eastAsia" w:ascii="Times New Roman" w:hAnsi="Times New Roman" w:eastAsia="宋体" w:cs="Times New Roman"/>
                <w:color w:val="auto"/>
                <w:sz w:val="24"/>
                <w:szCs w:val="24"/>
                <w:highlight w:val="none"/>
              </w:rPr>
              <w:t>租赁</w:t>
            </w:r>
            <w:r>
              <w:rPr>
                <w:rFonts w:hint="default" w:ascii="Times New Roman" w:hAnsi="Times New Roman" w:eastAsia="宋体" w:cs="Times New Roman"/>
                <w:color w:val="auto"/>
                <w:sz w:val="24"/>
                <w:szCs w:val="24"/>
                <w:highlight w:val="none"/>
              </w:rPr>
              <w:t>安徽宏冉科技有限公司</w:t>
            </w:r>
            <w:r>
              <w:rPr>
                <w:rFonts w:hint="eastAsia" w:ascii="Times New Roman" w:hAnsi="Times New Roman" w:eastAsia="宋体" w:cs="Times New Roman"/>
                <w:color w:val="auto"/>
                <w:sz w:val="24"/>
                <w:szCs w:val="24"/>
                <w:highlight w:val="none"/>
                <w:lang w:val="en-US" w:eastAsia="zh-CN"/>
              </w:rPr>
              <w:t>已建厂房</w:t>
            </w:r>
            <w:r>
              <w:rPr>
                <w:rFonts w:hint="eastAsia" w:ascii="Times New Roman" w:hAnsi="Times New Roman" w:eastAsia="宋体" w:cs="Times New Roman"/>
                <w:color w:val="auto"/>
                <w:sz w:val="24"/>
                <w:szCs w:val="24"/>
                <w:highlight w:val="none"/>
              </w:rPr>
              <w:t>进行生产运营</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安徽宏冉科技有限公司是一家金属门窗制造的企业，</w:t>
            </w:r>
            <w:r>
              <w:rPr>
                <w:rFonts w:hint="eastAsia" w:ascii="宋体" w:hAnsi="宋体" w:eastAsia="宋体" w:cs="宋体"/>
                <w:color w:val="000000" w:themeColor="text1"/>
                <w:sz w:val="24"/>
                <w:lang w:val="en-US" w:eastAsia="zh-CN"/>
                <w14:textFill>
                  <w14:solidFill>
                    <w14:schemeClr w14:val="tx1"/>
                  </w14:solidFill>
                </w14:textFill>
              </w:rPr>
              <w:t>该公司已将厂房建设完成，并履行相关的环保手续，后因公司原因仅将厂房建设完成未进行生产活动。</w:t>
            </w:r>
            <w:r>
              <w:rPr>
                <w:rFonts w:hint="eastAsia" w:ascii="宋体" w:hAnsi="宋体" w:eastAsia="宋体" w:cs="宋体"/>
                <w:color w:val="000000" w:themeColor="text1"/>
                <w:sz w:val="24"/>
                <w:lang w:eastAsia="zh-CN"/>
                <w14:textFill>
                  <w14:solidFill>
                    <w14:schemeClr w14:val="tx1"/>
                  </w14:solidFill>
                </w14:textFill>
              </w:rPr>
              <w:t>本项目</w:t>
            </w:r>
            <w:r>
              <w:rPr>
                <w:rFonts w:hint="eastAsia" w:ascii="宋体" w:hAnsi="宋体" w:eastAsia="宋体" w:cs="宋体"/>
                <w:color w:val="000000" w:themeColor="text1"/>
                <w:sz w:val="24"/>
                <w:lang w:val="en-US" w:eastAsia="zh-CN"/>
                <w14:textFill>
                  <w14:solidFill>
                    <w14:schemeClr w14:val="tx1"/>
                  </w14:solidFill>
                </w14:textFill>
              </w:rPr>
              <w:t>仅租赁该公司已建厂房，不涉及依托该公司设备、环保设施等。</w:t>
            </w:r>
            <w:r>
              <w:rPr>
                <w:rFonts w:hint="eastAsia" w:ascii="宋体" w:hAnsi="宋体" w:eastAsia="宋体" w:cs="宋体"/>
                <w:color w:val="000000" w:themeColor="text1"/>
                <w:sz w:val="24"/>
                <w14:textFill>
                  <w14:solidFill>
                    <w14:schemeClr w14:val="tx1"/>
                  </w14:solidFill>
                </w14:textFill>
              </w:rPr>
              <w:t>无</w:t>
            </w:r>
            <w:r>
              <w:rPr>
                <w:rFonts w:hint="eastAsia" w:ascii="宋体" w:hAnsi="宋体" w:eastAsia="宋体" w:cs="宋体"/>
                <w:color w:val="000000" w:themeColor="text1"/>
                <w:sz w:val="24"/>
                <w:lang w:bidi="ar"/>
                <w14:textFill>
                  <w14:solidFill>
                    <w14:schemeClr w14:val="tx1"/>
                  </w14:solidFill>
                </w14:textFill>
              </w:rPr>
              <w:t>与项目有关的原有环境污染</w:t>
            </w:r>
            <w:r>
              <w:rPr>
                <w:rFonts w:hint="eastAsia" w:ascii="宋体" w:hAnsi="宋体" w:eastAsia="宋体" w:cs="宋体"/>
                <w:color w:val="000000" w:themeColor="text1"/>
                <w:sz w:val="24"/>
                <w14:textFill>
                  <w14:solidFill>
                    <w14:schemeClr w14:val="tx1"/>
                  </w14:solidFill>
                </w14:textFill>
              </w:rPr>
              <w:t>问题</w:t>
            </w:r>
            <w:r>
              <w:rPr>
                <w:rFonts w:ascii="Times New Roman" w:hAnsi="Times New Roman" w:cs="Times New Roman"/>
                <w:color w:val="000000" w:themeColor="text1"/>
                <w:sz w:val="24"/>
                <w14:textFill>
                  <w14:solidFill>
                    <w14:schemeClr w14:val="tx1"/>
                  </w14:solidFill>
                </w14:textFill>
              </w:rPr>
              <w:t>。</w:t>
            </w:r>
          </w:p>
          <w:p w14:paraId="39C0448F">
            <w:pPr>
              <w:kinsoku/>
              <w:spacing w:line="360" w:lineRule="auto"/>
              <w:ind w:firstLine="480" w:firstLineChars="200"/>
              <w:jc w:val="both"/>
              <w:rPr>
                <w:rFonts w:hint="eastAsia" w:ascii="宋体" w:hAnsi="宋体" w:eastAsia="宋体" w:cs="宋体"/>
                <w:color w:val="auto"/>
                <w:sz w:val="24"/>
                <w:szCs w:val="24"/>
                <w:highlight w:val="none"/>
                <w:lang w:eastAsia="zh-CN"/>
              </w:rPr>
            </w:pPr>
          </w:p>
          <w:p w14:paraId="6FA946A4">
            <w:pPr>
              <w:kinsoku/>
              <w:spacing w:line="360" w:lineRule="auto"/>
              <w:jc w:val="both"/>
              <w:rPr>
                <w:rFonts w:hint="eastAsia" w:ascii="宋体" w:hAnsi="宋体" w:eastAsia="宋体" w:cs="宋体"/>
                <w:color w:val="auto"/>
                <w:sz w:val="24"/>
                <w:szCs w:val="24"/>
                <w:highlight w:val="none"/>
                <w:lang w:eastAsia="zh-CN"/>
              </w:rPr>
            </w:pPr>
          </w:p>
          <w:p w14:paraId="39D63E96">
            <w:pPr>
              <w:pStyle w:val="14"/>
              <w:rPr>
                <w:rFonts w:hint="eastAsia" w:ascii="宋体" w:hAnsi="宋体" w:eastAsia="宋体" w:cs="宋体"/>
                <w:color w:val="auto"/>
                <w:sz w:val="24"/>
                <w:szCs w:val="24"/>
                <w:highlight w:val="none"/>
                <w:lang w:eastAsia="zh-CN"/>
              </w:rPr>
            </w:pPr>
          </w:p>
          <w:p w14:paraId="5D3CEAC7">
            <w:pPr>
              <w:rPr>
                <w:rFonts w:hint="eastAsia" w:ascii="宋体" w:hAnsi="宋体" w:eastAsia="宋体" w:cs="宋体"/>
                <w:color w:val="auto"/>
                <w:sz w:val="24"/>
                <w:szCs w:val="24"/>
                <w:highlight w:val="none"/>
                <w:lang w:eastAsia="zh-CN"/>
              </w:rPr>
            </w:pPr>
          </w:p>
          <w:p w14:paraId="0FBB5AA8">
            <w:pPr>
              <w:pStyle w:val="14"/>
              <w:rPr>
                <w:rFonts w:hint="eastAsia" w:ascii="宋体" w:hAnsi="宋体" w:eastAsia="宋体" w:cs="宋体"/>
                <w:color w:val="auto"/>
                <w:sz w:val="22"/>
                <w:szCs w:val="22"/>
                <w:highlight w:val="none"/>
                <w:lang w:eastAsia="zh-CN"/>
              </w:rPr>
            </w:pPr>
          </w:p>
          <w:p w14:paraId="78C2A77C">
            <w:pPr>
              <w:rPr>
                <w:rFonts w:hint="eastAsia"/>
                <w:lang w:eastAsia="zh-CN"/>
              </w:rPr>
            </w:pPr>
          </w:p>
          <w:p w14:paraId="33839B5A">
            <w:pPr>
              <w:rPr>
                <w:rFonts w:hint="eastAsia"/>
                <w:lang w:eastAsia="zh-CN"/>
              </w:rPr>
            </w:pPr>
          </w:p>
          <w:p w14:paraId="6446BC9B">
            <w:pPr>
              <w:rPr>
                <w:rFonts w:hint="eastAsia"/>
                <w:lang w:eastAsia="zh-CN"/>
              </w:rPr>
            </w:pPr>
          </w:p>
          <w:p w14:paraId="4011DC43">
            <w:pPr>
              <w:rPr>
                <w:rFonts w:hint="eastAsia"/>
                <w:lang w:eastAsia="zh-CN"/>
              </w:rPr>
            </w:pPr>
          </w:p>
        </w:tc>
      </w:tr>
    </w:tbl>
    <w:p w14:paraId="0BCBFD8E">
      <w:pPr>
        <w:jc w:val="center"/>
        <w:rPr>
          <w:color w:val="auto"/>
          <w:highlight w:val="none"/>
        </w:rPr>
        <w:sectPr>
          <w:pgSz w:w="11906" w:h="16838"/>
          <w:pgMar w:top="1213" w:right="1800" w:bottom="1270" w:left="1800" w:header="851" w:footer="992" w:gutter="0"/>
          <w:pgNumType w:fmt="decimal"/>
          <w:cols w:space="425" w:num="1"/>
          <w:docGrid w:type="lines" w:linePitch="312" w:charSpace="0"/>
        </w:sectPr>
      </w:pPr>
    </w:p>
    <w:p w14:paraId="460C83DA">
      <w:pPr>
        <w:spacing w:line="240" w:lineRule="auto"/>
        <w:ind w:firstLine="0" w:firstLineChars="0"/>
        <w:jc w:val="center"/>
        <w:outlineLvl w:val="0"/>
        <w:rPr>
          <w:rFonts w:ascii="黑体" w:hAnsi="黑体" w:eastAsia="黑体"/>
          <w:snapToGrid w:val="0"/>
          <w:color w:val="auto"/>
          <w:sz w:val="30"/>
          <w:szCs w:val="30"/>
          <w:highlight w:val="none"/>
        </w:rPr>
      </w:pPr>
      <w:bookmarkStart w:id="6" w:name="_Toc24614"/>
      <w:bookmarkStart w:id="7" w:name="_Toc5016"/>
      <w:bookmarkStart w:id="8" w:name="_Toc11480"/>
      <w:bookmarkStart w:id="9" w:name="_Toc27254"/>
      <w:bookmarkStart w:id="10" w:name="_Toc68109904"/>
      <w:r>
        <w:rPr>
          <w:rFonts w:hint="eastAsia" w:ascii="黑体" w:hAnsi="黑体" w:eastAsia="黑体"/>
          <w:snapToGrid w:val="0"/>
          <w:color w:val="auto"/>
          <w:sz w:val="30"/>
          <w:szCs w:val="30"/>
          <w:highlight w:val="none"/>
        </w:rPr>
        <w:t>三、区域环境质量现状、环境保护目标及评价标准</w:t>
      </w:r>
      <w:bookmarkEnd w:id="6"/>
      <w:bookmarkEnd w:id="7"/>
      <w:bookmarkEnd w:id="8"/>
      <w:bookmarkEnd w:id="9"/>
      <w:bookmarkEnd w:id="10"/>
    </w:p>
    <w:tbl>
      <w:tblPr>
        <w:tblStyle w:val="25"/>
        <w:tblW w:w="533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78"/>
        <w:gridCol w:w="8417"/>
      </w:tblGrid>
      <w:tr w14:paraId="3A26A4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372" w:type="pct"/>
            <w:tcBorders>
              <w:tl2br w:val="nil"/>
              <w:tr2bl w:val="nil"/>
            </w:tcBorders>
            <w:vAlign w:val="center"/>
          </w:tcPr>
          <w:p w14:paraId="02D32902">
            <w:pPr>
              <w:adjustRightInd w:val="0"/>
              <w:snapToGrid w:val="0"/>
              <w:ind w:firstLine="0" w:firstLineChars="0"/>
              <w:jc w:val="center"/>
              <w:rPr>
                <w:rFonts w:ascii="宋体" w:hAnsi="宋体" w:cs="宋体"/>
                <w:color w:val="auto"/>
                <w:highlight w:val="none"/>
              </w:rPr>
            </w:pPr>
            <w:r>
              <w:rPr>
                <w:rFonts w:hint="eastAsia" w:ascii="宋体" w:hAnsi="宋体" w:cs="宋体"/>
                <w:color w:val="auto"/>
                <w:highlight w:val="none"/>
              </w:rPr>
              <w:t>区域</w:t>
            </w:r>
          </w:p>
          <w:p w14:paraId="47603516">
            <w:pPr>
              <w:adjustRightInd w:val="0"/>
              <w:snapToGrid w:val="0"/>
              <w:ind w:firstLine="0" w:firstLineChars="0"/>
              <w:jc w:val="center"/>
              <w:rPr>
                <w:rFonts w:ascii="宋体" w:hAnsi="宋体" w:cs="宋体"/>
                <w:color w:val="auto"/>
                <w:highlight w:val="none"/>
              </w:rPr>
            </w:pPr>
            <w:r>
              <w:rPr>
                <w:rFonts w:hint="eastAsia" w:ascii="宋体" w:hAnsi="宋体" w:cs="宋体"/>
                <w:color w:val="auto"/>
                <w:highlight w:val="none"/>
              </w:rPr>
              <w:t>环境</w:t>
            </w:r>
          </w:p>
          <w:p w14:paraId="0DF91C48">
            <w:pPr>
              <w:adjustRightInd w:val="0"/>
              <w:snapToGrid w:val="0"/>
              <w:ind w:firstLine="0" w:firstLineChars="0"/>
              <w:jc w:val="center"/>
              <w:rPr>
                <w:rFonts w:ascii="宋体" w:hAnsi="宋体" w:cs="宋体"/>
                <w:color w:val="auto"/>
                <w:highlight w:val="none"/>
              </w:rPr>
            </w:pPr>
            <w:r>
              <w:rPr>
                <w:rFonts w:hint="eastAsia" w:ascii="宋体" w:hAnsi="宋体" w:cs="宋体"/>
                <w:color w:val="auto"/>
                <w:highlight w:val="none"/>
              </w:rPr>
              <w:t>质量</w:t>
            </w:r>
          </w:p>
          <w:p w14:paraId="7C654351">
            <w:pPr>
              <w:adjustRightInd w:val="0"/>
              <w:snapToGrid w:val="0"/>
              <w:ind w:firstLine="0" w:firstLineChars="0"/>
              <w:jc w:val="center"/>
              <w:rPr>
                <w:rFonts w:ascii="宋体" w:hAnsi="宋体" w:cs="宋体"/>
                <w:color w:val="auto"/>
                <w:szCs w:val="21"/>
                <w:highlight w:val="none"/>
              </w:rPr>
            </w:pPr>
            <w:r>
              <w:rPr>
                <w:rFonts w:hint="eastAsia" w:ascii="宋体" w:hAnsi="宋体" w:cs="宋体"/>
                <w:color w:val="auto"/>
                <w:highlight w:val="none"/>
              </w:rPr>
              <w:t>现状</w:t>
            </w:r>
          </w:p>
        </w:tc>
        <w:tc>
          <w:tcPr>
            <w:tcW w:w="4627" w:type="pct"/>
            <w:tcBorders>
              <w:tl2br w:val="nil"/>
              <w:tr2bl w:val="nil"/>
            </w:tcBorders>
            <w:vAlign w:val="center"/>
          </w:tcPr>
          <w:p w14:paraId="39B7EF46">
            <w:pPr>
              <w:ind w:firstLine="482"/>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rPr>
              <w:t>1、环境空气质量现状</w:t>
            </w:r>
          </w:p>
          <w:p w14:paraId="3ED616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rPr>
            </w:pPr>
            <w:r>
              <w:rPr>
                <w:color w:val="auto"/>
                <w:sz w:val="24"/>
                <w:szCs w:val="32"/>
                <w:highlight w:val="none"/>
              </w:rPr>
              <w:t>项目位于</w:t>
            </w:r>
            <w:r>
              <w:rPr>
                <w:rFonts w:ascii="Times New Roman" w:hAnsi="Times New Roman" w:eastAsia="宋体" w:cs="Times New Roman"/>
                <w:color w:val="auto"/>
                <w:sz w:val="24"/>
                <w:szCs w:val="24"/>
                <w:highlight w:val="none"/>
                <w:lang w:eastAsia="zh-CN"/>
              </w:rPr>
              <w:t>安徽淮北相山经济开发区</w:t>
            </w:r>
            <w:r>
              <w:rPr>
                <w:rFonts w:hint="default" w:ascii="Times New Roman" w:hAnsi="Times New Roman" w:cs="Times New Roman"/>
                <w:color w:val="auto"/>
                <w:sz w:val="24"/>
                <w:szCs w:val="24"/>
                <w:highlight w:val="none"/>
              </w:rPr>
              <w:t>凤霞路9号</w:t>
            </w:r>
            <w:r>
              <w:rPr>
                <w:color w:val="auto"/>
                <w:sz w:val="24"/>
                <w:szCs w:val="32"/>
                <w:highlight w:val="none"/>
              </w:rPr>
              <w:t>，根据</w:t>
            </w:r>
            <w:r>
              <w:rPr>
                <w:rFonts w:hint="eastAsia"/>
                <w:color w:val="auto"/>
                <w:sz w:val="24"/>
                <w:szCs w:val="32"/>
                <w:highlight w:val="none"/>
              </w:rPr>
              <w:t>淮北市生态环境局</w:t>
            </w:r>
            <w:r>
              <w:rPr>
                <w:color w:val="auto"/>
                <w:sz w:val="24"/>
                <w:szCs w:val="32"/>
                <w:highlight w:val="none"/>
              </w:rPr>
              <w:t>202</w:t>
            </w:r>
            <w:r>
              <w:rPr>
                <w:rFonts w:hint="eastAsia"/>
                <w:color w:val="auto"/>
                <w:sz w:val="24"/>
                <w:szCs w:val="32"/>
                <w:highlight w:val="none"/>
                <w:lang w:val="en-US" w:eastAsia="zh-CN"/>
              </w:rPr>
              <w:t>5</w:t>
            </w:r>
            <w:r>
              <w:rPr>
                <w:color w:val="auto"/>
                <w:sz w:val="24"/>
                <w:szCs w:val="32"/>
                <w:highlight w:val="none"/>
              </w:rPr>
              <w:t>年公布的《</w:t>
            </w:r>
            <w:r>
              <w:rPr>
                <w:rFonts w:hint="default"/>
                <w:color w:val="auto"/>
                <w:sz w:val="24"/>
                <w:szCs w:val="32"/>
                <w:highlight w:val="none"/>
                <w:lang w:val="en-US" w:eastAsia="zh-CN"/>
              </w:rPr>
              <w:t>淮北市202</w:t>
            </w:r>
            <w:r>
              <w:rPr>
                <w:rFonts w:hint="eastAsia"/>
                <w:color w:val="auto"/>
                <w:sz w:val="24"/>
                <w:szCs w:val="32"/>
                <w:highlight w:val="none"/>
                <w:lang w:val="en-US" w:eastAsia="zh-CN"/>
              </w:rPr>
              <w:t>4</w:t>
            </w:r>
            <w:r>
              <w:rPr>
                <w:rFonts w:hint="default"/>
                <w:color w:val="auto"/>
                <w:sz w:val="24"/>
                <w:szCs w:val="32"/>
                <w:highlight w:val="none"/>
                <w:lang w:val="en-US" w:eastAsia="zh-CN"/>
              </w:rPr>
              <w:t>年度生态环境状况公报</w:t>
            </w:r>
            <w:r>
              <w:rPr>
                <w:color w:val="auto"/>
                <w:sz w:val="24"/>
                <w:szCs w:val="32"/>
                <w:highlight w:val="none"/>
              </w:rPr>
              <w:t>》数据显示，项目所在地区域环境质量现状如下：</w:t>
            </w:r>
          </w:p>
          <w:p w14:paraId="748C91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32"/>
                <w:highlight w:val="none"/>
              </w:rPr>
            </w:pPr>
            <w:r>
              <w:rPr>
                <w:rFonts w:hint="eastAsia"/>
                <w:color w:val="auto"/>
                <w:sz w:val="24"/>
                <w:szCs w:val="32"/>
                <w:highlight w:val="none"/>
              </w:rPr>
              <w:t>现状</w:t>
            </w:r>
            <w:r>
              <w:rPr>
                <w:color w:val="auto"/>
                <w:sz w:val="24"/>
                <w:szCs w:val="32"/>
                <w:highlight w:val="none"/>
              </w:rPr>
              <w:t>评价结果详见下表3-1。</w:t>
            </w:r>
          </w:p>
          <w:p w14:paraId="56242F5D">
            <w:pPr>
              <w:pStyle w:val="40"/>
              <w:keepNext w:val="0"/>
              <w:keepLines w:val="0"/>
              <w:pageBreakBefore w:val="0"/>
              <w:widowControl w:val="0"/>
              <w:kinsoku/>
              <w:wordWrap/>
              <w:overflowPunct/>
              <w:topLinePunct w:val="0"/>
              <w:autoSpaceDE/>
              <w:autoSpaceDN/>
              <w:bidi w:val="0"/>
              <w:adjustRightInd/>
              <w:snapToGrid/>
              <w:textAlignment w:val="auto"/>
              <w:rPr>
                <w:rFonts w:hint="default"/>
                <w:color w:val="auto"/>
                <w:sz w:val="24"/>
                <w:szCs w:val="32"/>
                <w:highlight w:val="none"/>
              </w:rPr>
            </w:pPr>
            <w:r>
              <w:rPr>
                <w:color w:val="auto"/>
                <w:sz w:val="24"/>
                <w:szCs w:val="32"/>
                <w:highlight w:val="none"/>
              </w:rPr>
              <w:t>表3-1  202</w:t>
            </w:r>
            <w:r>
              <w:rPr>
                <w:rFonts w:hint="eastAsia"/>
                <w:color w:val="auto"/>
                <w:sz w:val="24"/>
                <w:szCs w:val="32"/>
                <w:highlight w:val="none"/>
                <w:lang w:val="en-US" w:eastAsia="zh-CN"/>
              </w:rPr>
              <w:t>4</w:t>
            </w:r>
            <w:r>
              <w:rPr>
                <w:color w:val="auto"/>
                <w:sz w:val="24"/>
                <w:szCs w:val="32"/>
                <w:highlight w:val="none"/>
              </w:rPr>
              <w:t>年环境空气基本污染物环境质量现状评价一览表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7"/>
              <w:gridCol w:w="1853"/>
              <w:gridCol w:w="1511"/>
              <w:gridCol w:w="1507"/>
              <w:gridCol w:w="1208"/>
              <w:gridCol w:w="1222"/>
            </w:tblGrid>
            <w:tr w14:paraId="747C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noWrap/>
                  <w:tcMar>
                    <w:top w:w="10" w:type="dxa"/>
                    <w:left w:w="10" w:type="dxa"/>
                    <w:right w:w="10" w:type="dxa"/>
                  </w:tcMar>
                  <w:vAlign w:val="center"/>
                </w:tcPr>
                <w:p w14:paraId="6C055EBC">
                  <w:pPr>
                    <w:pStyle w:val="41"/>
                    <w:rPr>
                      <w:color w:val="auto"/>
                      <w:highlight w:val="none"/>
                    </w:rPr>
                  </w:pPr>
                  <w:r>
                    <w:rPr>
                      <w:color w:val="auto"/>
                      <w:highlight w:val="none"/>
                    </w:rPr>
                    <w:t>污染物</w:t>
                  </w:r>
                </w:p>
              </w:tc>
              <w:tc>
                <w:tcPr>
                  <w:tcW w:w="1131" w:type="pct"/>
                  <w:noWrap/>
                  <w:tcMar>
                    <w:top w:w="10" w:type="dxa"/>
                    <w:left w:w="10" w:type="dxa"/>
                    <w:right w:w="10" w:type="dxa"/>
                  </w:tcMar>
                  <w:vAlign w:val="center"/>
                </w:tcPr>
                <w:p w14:paraId="2DA5C913">
                  <w:pPr>
                    <w:pStyle w:val="41"/>
                    <w:rPr>
                      <w:color w:val="auto"/>
                      <w:highlight w:val="none"/>
                    </w:rPr>
                  </w:pPr>
                  <w:r>
                    <w:rPr>
                      <w:color w:val="auto"/>
                      <w:highlight w:val="none"/>
                    </w:rPr>
                    <w:t>年评价指标</w:t>
                  </w:r>
                </w:p>
              </w:tc>
              <w:tc>
                <w:tcPr>
                  <w:tcW w:w="922" w:type="pct"/>
                  <w:tcMar>
                    <w:top w:w="10" w:type="dxa"/>
                    <w:left w:w="10" w:type="dxa"/>
                    <w:right w:w="10" w:type="dxa"/>
                  </w:tcMar>
                  <w:vAlign w:val="center"/>
                </w:tcPr>
                <w:p w14:paraId="3F0B057D">
                  <w:pPr>
                    <w:pStyle w:val="41"/>
                    <w:rPr>
                      <w:rFonts w:hint="eastAsia" w:eastAsia="宋体"/>
                      <w:color w:val="auto"/>
                      <w:highlight w:val="none"/>
                      <w:lang w:eastAsia="zh-CN"/>
                    </w:rPr>
                  </w:pPr>
                  <w:r>
                    <w:rPr>
                      <w:color w:val="auto"/>
                      <w:highlight w:val="none"/>
                    </w:rPr>
                    <w:t>评价标准μg/</w:t>
                  </w:r>
                  <w:r>
                    <w:rPr>
                      <w:rFonts w:hint="eastAsia"/>
                      <w:color w:val="auto"/>
                      <w:highlight w:val="none"/>
                    </w:rPr>
                    <w:t>m</w:t>
                  </w:r>
                  <w:r>
                    <w:rPr>
                      <w:rFonts w:hint="eastAsia"/>
                      <w:color w:val="auto"/>
                      <w:highlight w:val="none"/>
                      <w:vertAlign w:val="superscript"/>
                      <w:lang w:val="en-US" w:eastAsia="zh-CN"/>
                    </w:rPr>
                    <w:t>3</w:t>
                  </w:r>
                </w:p>
              </w:tc>
              <w:tc>
                <w:tcPr>
                  <w:tcW w:w="920" w:type="pct"/>
                  <w:tcMar>
                    <w:top w:w="10" w:type="dxa"/>
                    <w:left w:w="10" w:type="dxa"/>
                    <w:right w:w="10" w:type="dxa"/>
                  </w:tcMar>
                  <w:vAlign w:val="center"/>
                </w:tcPr>
                <w:p w14:paraId="7FA22556">
                  <w:pPr>
                    <w:pStyle w:val="41"/>
                    <w:rPr>
                      <w:rFonts w:hint="eastAsia" w:eastAsia="宋体"/>
                      <w:color w:val="auto"/>
                      <w:highlight w:val="none"/>
                      <w:lang w:eastAsia="zh-CN"/>
                    </w:rPr>
                  </w:pPr>
                  <w:r>
                    <w:rPr>
                      <w:color w:val="auto"/>
                      <w:highlight w:val="none"/>
                    </w:rPr>
                    <w:t>现状浓度μg/</w:t>
                  </w:r>
                  <w:r>
                    <w:rPr>
                      <w:rFonts w:hint="eastAsia"/>
                      <w:color w:val="auto"/>
                      <w:highlight w:val="none"/>
                    </w:rPr>
                    <w:t>m</w:t>
                  </w:r>
                  <w:r>
                    <w:rPr>
                      <w:rFonts w:hint="eastAsia"/>
                      <w:color w:val="auto"/>
                      <w:highlight w:val="none"/>
                      <w:vertAlign w:val="superscript"/>
                      <w:lang w:val="en-US" w:eastAsia="zh-CN"/>
                    </w:rPr>
                    <w:t>3</w:t>
                  </w:r>
                </w:p>
              </w:tc>
              <w:tc>
                <w:tcPr>
                  <w:tcW w:w="737" w:type="pct"/>
                  <w:tcMar>
                    <w:top w:w="10" w:type="dxa"/>
                    <w:left w:w="10" w:type="dxa"/>
                    <w:right w:w="10" w:type="dxa"/>
                  </w:tcMar>
                  <w:vAlign w:val="center"/>
                </w:tcPr>
                <w:p w14:paraId="544808F0">
                  <w:pPr>
                    <w:pStyle w:val="41"/>
                    <w:rPr>
                      <w:color w:val="auto"/>
                      <w:highlight w:val="none"/>
                    </w:rPr>
                  </w:pPr>
                  <w:r>
                    <w:rPr>
                      <w:color w:val="auto"/>
                      <w:highlight w:val="none"/>
                    </w:rPr>
                    <w:t>占标率%</w:t>
                  </w:r>
                </w:p>
              </w:tc>
              <w:tc>
                <w:tcPr>
                  <w:tcW w:w="745" w:type="pct"/>
                  <w:noWrap/>
                  <w:tcMar>
                    <w:top w:w="10" w:type="dxa"/>
                    <w:left w:w="10" w:type="dxa"/>
                    <w:right w:w="10" w:type="dxa"/>
                  </w:tcMar>
                  <w:vAlign w:val="center"/>
                </w:tcPr>
                <w:p w14:paraId="1D5899CD">
                  <w:pPr>
                    <w:pStyle w:val="41"/>
                    <w:rPr>
                      <w:color w:val="auto"/>
                      <w:highlight w:val="none"/>
                    </w:rPr>
                  </w:pPr>
                  <w:r>
                    <w:rPr>
                      <w:color w:val="auto"/>
                      <w:highlight w:val="none"/>
                    </w:rPr>
                    <w:t>达标情况</w:t>
                  </w:r>
                </w:p>
              </w:tc>
            </w:tr>
            <w:tr w14:paraId="3C75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3CE3E507">
                  <w:pPr>
                    <w:pStyle w:val="41"/>
                    <w:rPr>
                      <w:color w:val="auto"/>
                      <w:highlight w:val="none"/>
                    </w:rPr>
                  </w:pPr>
                  <w:r>
                    <w:rPr>
                      <w:color w:val="auto"/>
                      <w:highlight w:val="none"/>
                    </w:rPr>
                    <w:t>PM</w:t>
                  </w:r>
                  <w:r>
                    <w:rPr>
                      <w:color w:val="auto"/>
                      <w:highlight w:val="none"/>
                      <w:vertAlign w:val="subscript"/>
                    </w:rPr>
                    <w:t>2.5</w:t>
                  </w:r>
                </w:p>
              </w:tc>
              <w:tc>
                <w:tcPr>
                  <w:tcW w:w="1131" w:type="pct"/>
                  <w:shd w:val="clear" w:color="auto" w:fill="auto"/>
                  <w:noWrap/>
                  <w:tcMar>
                    <w:top w:w="10" w:type="dxa"/>
                    <w:left w:w="10" w:type="dxa"/>
                    <w:right w:w="10" w:type="dxa"/>
                  </w:tcMar>
                  <w:vAlign w:val="center"/>
                </w:tcPr>
                <w:p w14:paraId="3B794B1A">
                  <w:pPr>
                    <w:pStyle w:val="41"/>
                    <w:rPr>
                      <w:color w:val="auto"/>
                      <w:highlight w:val="none"/>
                    </w:rPr>
                  </w:pPr>
                  <w:r>
                    <w:rPr>
                      <w:color w:val="auto"/>
                      <w:highlight w:val="none"/>
                    </w:rPr>
                    <w:t>年均浓度</w:t>
                  </w:r>
                </w:p>
              </w:tc>
              <w:tc>
                <w:tcPr>
                  <w:tcW w:w="922" w:type="pct"/>
                  <w:shd w:val="clear" w:color="auto" w:fill="auto"/>
                  <w:noWrap/>
                  <w:tcMar>
                    <w:top w:w="10" w:type="dxa"/>
                    <w:left w:w="10" w:type="dxa"/>
                    <w:right w:w="10" w:type="dxa"/>
                  </w:tcMar>
                  <w:vAlign w:val="center"/>
                </w:tcPr>
                <w:p w14:paraId="5743F0C6">
                  <w:pPr>
                    <w:pStyle w:val="41"/>
                    <w:rPr>
                      <w:color w:val="auto"/>
                      <w:highlight w:val="none"/>
                    </w:rPr>
                  </w:pPr>
                  <w:r>
                    <w:rPr>
                      <w:color w:val="auto"/>
                      <w:highlight w:val="none"/>
                    </w:rPr>
                    <w:t>35</w:t>
                  </w:r>
                </w:p>
              </w:tc>
              <w:tc>
                <w:tcPr>
                  <w:tcW w:w="920" w:type="pct"/>
                  <w:shd w:val="clear" w:color="auto" w:fill="auto"/>
                  <w:noWrap/>
                  <w:tcMar>
                    <w:top w:w="10" w:type="dxa"/>
                    <w:left w:w="10" w:type="dxa"/>
                    <w:right w:w="10" w:type="dxa"/>
                  </w:tcMar>
                  <w:vAlign w:val="center"/>
                </w:tcPr>
                <w:p w14:paraId="51988347">
                  <w:pPr>
                    <w:pStyle w:val="41"/>
                    <w:rPr>
                      <w:rFonts w:hint="eastAsia" w:eastAsia="宋体"/>
                      <w:color w:val="auto"/>
                      <w:highlight w:val="none"/>
                      <w:lang w:val="en-US" w:eastAsia="zh-CN"/>
                    </w:rPr>
                  </w:pPr>
                  <w:r>
                    <w:rPr>
                      <w:rFonts w:hint="eastAsia"/>
                      <w:color w:val="auto"/>
                      <w:highlight w:val="none"/>
                    </w:rPr>
                    <w:t>4</w:t>
                  </w:r>
                  <w:r>
                    <w:rPr>
                      <w:rFonts w:hint="eastAsia"/>
                      <w:color w:val="auto"/>
                      <w:highlight w:val="none"/>
                      <w:lang w:val="en-US" w:eastAsia="zh-CN"/>
                    </w:rPr>
                    <w:t>3</w:t>
                  </w:r>
                </w:p>
              </w:tc>
              <w:tc>
                <w:tcPr>
                  <w:tcW w:w="737" w:type="pct"/>
                  <w:shd w:val="clear" w:color="000000" w:fill="auto"/>
                  <w:noWrap/>
                  <w:tcMar>
                    <w:top w:w="10" w:type="dxa"/>
                    <w:left w:w="10" w:type="dxa"/>
                    <w:right w:w="10" w:type="dxa"/>
                  </w:tcMar>
                  <w:vAlign w:val="center"/>
                </w:tcPr>
                <w:p w14:paraId="563D4B59">
                  <w:pPr>
                    <w:pStyle w:val="41"/>
                    <w:rPr>
                      <w:rFonts w:hint="eastAsia" w:eastAsia="宋体"/>
                      <w:color w:val="auto"/>
                      <w:highlight w:val="none"/>
                      <w:lang w:val="en-US" w:eastAsia="zh-CN"/>
                    </w:rPr>
                  </w:pPr>
                  <w:r>
                    <w:rPr>
                      <w:rFonts w:hint="eastAsia"/>
                      <w:color w:val="auto"/>
                      <w:highlight w:val="none"/>
                    </w:rPr>
                    <w:t>12</w:t>
                  </w:r>
                  <w:r>
                    <w:rPr>
                      <w:rFonts w:hint="eastAsia"/>
                      <w:color w:val="auto"/>
                      <w:highlight w:val="none"/>
                      <w:lang w:val="en-US" w:eastAsia="zh-CN"/>
                    </w:rPr>
                    <w:t>3</w:t>
                  </w:r>
                </w:p>
              </w:tc>
              <w:tc>
                <w:tcPr>
                  <w:tcW w:w="745" w:type="pct"/>
                  <w:noWrap/>
                  <w:tcMar>
                    <w:top w:w="10" w:type="dxa"/>
                    <w:left w:w="10" w:type="dxa"/>
                    <w:right w:w="10" w:type="dxa"/>
                  </w:tcMar>
                  <w:vAlign w:val="center"/>
                </w:tcPr>
                <w:p w14:paraId="75E0F164">
                  <w:pPr>
                    <w:pStyle w:val="41"/>
                    <w:rPr>
                      <w:color w:val="auto"/>
                      <w:highlight w:val="none"/>
                    </w:rPr>
                  </w:pPr>
                  <w:r>
                    <w:rPr>
                      <w:rFonts w:hint="eastAsia"/>
                      <w:color w:val="auto"/>
                      <w:highlight w:val="none"/>
                      <w:lang w:val="en-US" w:eastAsia="zh-CN"/>
                    </w:rPr>
                    <w:t>超</w:t>
                  </w:r>
                  <w:r>
                    <w:rPr>
                      <w:color w:val="auto"/>
                      <w:highlight w:val="none"/>
                    </w:rPr>
                    <w:t>标</w:t>
                  </w:r>
                </w:p>
              </w:tc>
            </w:tr>
            <w:tr w14:paraId="1DF6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4D236654">
                  <w:pPr>
                    <w:pStyle w:val="41"/>
                    <w:rPr>
                      <w:color w:val="auto"/>
                      <w:highlight w:val="none"/>
                    </w:rPr>
                  </w:pPr>
                  <w:r>
                    <w:rPr>
                      <w:color w:val="auto"/>
                      <w:highlight w:val="none"/>
                    </w:rPr>
                    <w:t>PM</w:t>
                  </w:r>
                  <w:r>
                    <w:rPr>
                      <w:color w:val="auto"/>
                      <w:highlight w:val="none"/>
                      <w:vertAlign w:val="subscript"/>
                    </w:rPr>
                    <w:t>10</w:t>
                  </w:r>
                </w:p>
              </w:tc>
              <w:tc>
                <w:tcPr>
                  <w:tcW w:w="1131" w:type="pct"/>
                  <w:shd w:val="clear" w:color="auto" w:fill="auto"/>
                  <w:noWrap/>
                  <w:tcMar>
                    <w:top w:w="10" w:type="dxa"/>
                    <w:left w:w="10" w:type="dxa"/>
                    <w:right w:w="10" w:type="dxa"/>
                  </w:tcMar>
                  <w:vAlign w:val="center"/>
                </w:tcPr>
                <w:p w14:paraId="3FC65222">
                  <w:pPr>
                    <w:pStyle w:val="41"/>
                    <w:rPr>
                      <w:color w:val="auto"/>
                      <w:highlight w:val="none"/>
                    </w:rPr>
                  </w:pPr>
                  <w:r>
                    <w:rPr>
                      <w:color w:val="auto"/>
                      <w:highlight w:val="none"/>
                    </w:rPr>
                    <w:t>年均浓度</w:t>
                  </w:r>
                </w:p>
              </w:tc>
              <w:tc>
                <w:tcPr>
                  <w:tcW w:w="922" w:type="pct"/>
                  <w:shd w:val="clear" w:color="auto" w:fill="auto"/>
                  <w:noWrap/>
                  <w:tcMar>
                    <w:top w:w="10" w:type="dxa"/>
                    <w:left w:w="10" w:type="dxa"/>
                    <w:right w:w="10" w:type="dxa"/>
                  </w:tcMar>
                  <w:vAlign w:val="center"/>
                </w:tcPr>
                <w:p w14:paraId="12CF4672">
                  <w:pPr>
                    <w:pStyle w:val="41"/>
                    <w:rPr>
                      <w:color w:val="auto"/>
                      <w:highlight w:val="none"/>
                    </w:rPr>
                  </w:pPr>
                  <w:r>
                    <w:rPr>
                      <w:color w:val="auto"/>
                      <w:highlight w:val="none"/>
                    </w:rPr>
                    <w:t>70</w:t>
                  </w:r>
                </w:p>
              </w:tc>
              <w:tc>
                <w:tcPr>
                  <w:tcW w:w="920" w:type="pct"/>
                  <w:shd w:val="clear" w:color="auto" w:fill="auto"/>
                  <w:noWrap/>
                  <w:tcMar>
                    <w:top w:w="10" w:type="dxa"/>
                    <w:left w:w="10" w:type="dxa"/>
                    <w:right w:w="10" w:type="dxa"/>
                  </w:tcMar>
                  <w:vAlign w:val="center"/>
                </w:tcPr>
                <w:p w14:paraId="67480B26">
                  <w:pPr>
                    <w:pStyle w:val="41"/>
                    <w:rPr>
                      <w:color w:val="auto"/>
                      <w:highlight w:val="none"/>
                    </w:rPr>
                  </w:pPr>
                  <w:r>
                    <w:rPr>
                      <w:rFonts w:hint="eastAsia"/>
                      <w:color w:val="auto"/>
                      <w:highlight w:val="none"/>
                    </w:rPr>
                    <w:t>70</w:t>
                  </w:r>
                </w:p>
              </w:tc>
              <w:tc>
                <w:tcPr>
                  <w:tcW w:w="737" w:type="pct"/>
                  <w:shd w:val="clear" w:color="000000" w:fill="auto"/>
                  <w:noWrap/>
                  <w:tcMar>
                    <w:top w:w="10" w:type="dxa"/>
                    <w:left w:w="10" w:type="dxa"/>
                    <w:right w:w="10" w:type="dxa"/>
                  </w:tcMar>
                  <w:vAlign w:val="center"/>
                </w:tcPr>
                <w:p w14:paraId="7F4BD0EC">
                  <w:pPr>
                    <w:pStyle w:val="41"/>
                    <w:rPr>
                      <w:color w:val="auto"/>
                      <w:highlight w:val="none"/>
                    </w:rPr>
                  </w:pPr>
                  <w:r>
                    <w:rPr>
                      <w:color w:val="auto"/>
                      <w:highlight w:val="none"/>
                    </w:rPr>
                    <w:t>10</w:t>
                  </w:r>
                  <w:r>
                    <w:rPr>
                      <w:rFonts w:hint="eastAsia"/>
                      <w:color w:val="auto"/>
                      <w:highlight w:val="none"/>
                    </w:rPr>
                    <w:t>0</w:t>
                  </w:r>
                </w:p>
              </w:tc>
              <w:tc>
                <w:tcPr>
                  <w:tcW w:w="745" w:type="pct"/>
                  <w:noWrap/>
                  <w:tcMar>
                    <w:top w:w="10" w:type="dxa"/>
                    <w:left w:w="10" w:type="dxa"/>
                    <w:right w:w="10" w:type="dxa"/>
                  </w:tcMar>
                  <w:vAlign w:val="center"/>
                </w:tcPr>
                <w:p w14:paraId="1BAACA42">
                  <w:pPr>
                    <w:pStyle w:val="41"/>
                    <w:rPr>
                      <w:color w:val="auto"/>
                      <w:highlight w:val="none"/>
                    </w:rPr>
                  </w:pPr>
                  <w:r>
                    <w:rPr>
                      <w:color w:val="auto"/>
                      <w:highlight w:val="none"/>
                    </w:rPr>
                    <w:t>达标</w:t>
                  </w:r>
                </w:p>
              </w:tc>
            </w:tr>
            <w:tr w14:paraId="77DB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23CE6CFC">
                  <w:pPr>
                    <w:pStyle w:val="41"/>
                    <w:rPr>
                      <w:color w:val="auto"/>
                      <w:highlight w:val="none"/>
                    </w:rPr>
                  </w:pPr>
                  <w:r>
                    <w:rPr>
                      <w:color w:val="auto"/>
                      <w:highlight w:val="none"/>
                    </w:rPr>
                    <w:t>SO</w:t>
                  </w:r>
                  <w:r>
                    <w:rPr>
                      <w:color w:val="auto"/>
                      <w:highlight w:val="none"/>
                      <w:vertAlign w:val="subscript"/>
                    </w:rPr>
                    <w:t>2</w:t>
                  </w:r>
                </w:p>
              </w:tc>
              <w:tc>
                <w:tcPr>
                  <w:tcW w:w="1131" w:type="pct"/>
                  <w:shd w:val="clear" w:color="auto" w:fill="auto"/>
                  <w:noWrap/>
                  <w:tcMar>
                    <w:top w:w="10" w:type="dxa"/>
                    <w:left w:w="10" w:type="dxa"/>
                    <w:right w:w="10" w:type="dxa"/>
                  </w:tcMar>
                  <w:vAlign w:val="center"/>
                </w:tcPr>
                <w:p w14:paraId="7A5D5641">
                  <w:pPr>
                    <w:pStyle w:val="41"/>
                    <w:rPr>
                      <w:color w:val="auto"/>
                      <w:highlight w:val="none"/>
                    </w:rPr>
                  </w:pPr>
                  <w:r>
                    <w:rPr>
                      <w:color w:val="auto"/>
                      <w:highlight w:val="none"/>
                    </w:rPr>
                    <w:t>年均浓度</w:t>
                  </w:r>
                </w:p>
              </w:tc>
              <w:tc>
                <w:tcPr>
                  <w:tcW w:w="922" w:type="pct"/>
                  <w:shd w:val="clear" w:color="auto" w:fill="auto"/>
                  <w:noWrap/>
                  <w:tcMar>
                    <w:top w:w="10" w:type="dxa"/>
                    <w:left w:w="10" w:type="dxa"/>
                    <w:right w:w="10" w:type="dxa"/>
                  </w:tcMar>
                  <w:vAlign w:val="center"/>
                </w:tcPr>
                <w:p w14:paraId="43E73A8F">
                  <w:pPr>
                    <w:pStyle w:val="41"/>
                    <w:rPr>
                      <w:color w:val="auto"/>
                      <w:highlight w:val="none"/>
                    </w:rPr>
                  </w:pPr>
                  <w:r>
                    <w:rPr>
                      <w:color w:val="auto"/>
                      <w:highlight w:val="none"/>
                    </w:rPr>
                    <w:t>60</w:t>
                  </w:r>
                </w:p>
              </w:tc>
              <w:tc>
                <w:tcPr>
                  <w:tcW w:w="920" w:type="pct"/>
                  <w:shd w:val="clear" w:color="auto" w:fill="auto"/>
                  <w:noWrap/>
                  <w:tcMar>
                    <w:top w:w="10" w:type="dxa"/>
                    <w:left w:w="10" w:type="dxa"/>
                    <w:right w:w="10" w:type="dxa"/>
                  </w:tcMar>
                  <w:vAlign w:val="center"/>
                </w:tcPr>
                <w:p w14:paraId="02295BAE">
                  <w:pPr>
                    <w:pStyle w:val="41"/>
                    <w:rPr>
                      <w:rFonts w:hint="eastAsia" w:eastAsia="宋体"/>
                      <w:color w:val="auto"/>
                      <w:highlight w:val="none"/>
                      <w:lang w:eastAsia="zh-CN"/>
                    </w:rPr>
                  </w:pPr>
                  <w:r>
                    <w:rPr>
                      <w:rFonts w:hint="eastAsia"/>
                      <w:color w:val="auto"/>
                      <w:highlight w:val="none"/>
                      <w:lang w:val="en-US" w:eastAsia="zh-CN"/>
                    </w:rPr>
                    <w:t>6</w:t>
                  </w:r>
                </w:p>
              </w:tc>
              <w:tc>
                <w:tcPr>
                  <w:tcW w:w="737" w:type="pct"/>
                  <w:shd w:val="clear" w:color="000000" w:fill="auto"/>
                  <w:noWrap/>
                  <w:tcMar>
                    <w:top w:w="10" w:type="dxa"/>
                    <w:left w:w="10" w:type="dxa"/>
                    <w:right w:w="10" w:type="dxa"/>
                  </w:tcMar>
                  <w:vAlign w:val="center"/>
                </w:tcPr>
                <w:p w14:paraId="32761F47">
                  <w:pPr>
                    <w:pStyle w:val="41"/>
                    <w:rPr>
                      <w:color w:val="auto"/>
                      <w:highlight w:val="none"/>
                    </w:rPr>
                  </w:pPr>
                  <w:r>
                    <w:rPr>
                      <w:color w:val="auto"/>
                      <w:highlight w:val="none"/>
                    </w:rPr>
                    <w:t>11.67</w:t>
                  </w:r>
                </w:p>
              </w:tc>
              <w:tc>
                <w:tcPr>
                  <w:tcW w:w="745" w:type="pct"/>
                  <w:noWrap/>
                  <w:tcMar>
                    <w:top w:w="10" w:type="dxa"/>
                    <w:left w:w="10" w:type="dxa"/>
                    <w:right w:w="10" w:type="dxa"/>
                  </w:tcMar>
                  <w:vAlign w:val="center"/>
                </w:tcPr>
                <w:p w14:paraId="787D7F1A">
                  <w:pPr>
                    <w:pStyle w:val="41"/>
                    <w:rPr>
                      <w:color w:val="auto"/>
                      <w:highlight w:val="none"/>
                    </w:rPr>
                  </w:pPr>
                  <w:r>
                    <w:rPr>
                      <w:color w:val="auto"/>
                      <w:highlight w:val="none"/>
                    </w:rPr>
                    <w:t>达标</w:t>
                  </w:r>
                </w:p>
              </w:tc>
            </w:tr>
            <w:tr w14:paraId="4CE0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6C4FF50E">
                  <w:pPr>
                    <w:pStyle w:val="41"/>
                    <w:rPr>
                      <w:color w:val="auto"/>
                      <w:highlight w:val="none"/>
                    </w:rPr>
                  </w:pPr>
                  <w:r>
                    <w:rPr>
                      <w:color w:val="auto"/>
                      <w:highlight w:val="none"/>
                    </w:rPr>
                    <w:t>NO</w:t>
                  </w:r>
                  <w:r>
                    <w:rPr>
                      <w:color w:val="auto"/>
                      <w:highlight w:val="none"/>
                      <w:vertAlign w:val="subscript"/>
                    </w:rPr>
                    <w:t>2</w:t>
                  </w:r>
                </w:p>
              </w:tc>
              <w:tc>
                <w:tcPr>
                  <w:tcW w:w="1131" w:type="pct"/>
                  <w:shd w:val="clear" w:color="auto" w:fill="auto"/>
                  <w:noWrap/>
                  <w:tcMar>
                    <w:top w:w="10" w:type="dxa"/>
                    <w:left w:w="10" w:type="dxa"/>
                    <w:right w:w="10" w:type="dxa"/>
                  </w:tcMar>
                  <w:vAlign w:val="center"/>
                </w:tcPr>
                <w:p w14:paraId="65F7E413">
                  <w:pPr>
                    <w:pStyle w:val="41"/>
                    <w:rPr>
                      <w:color w:val="auto"/>
                      <w:highlight w:val="none"/>
                    </w:rPr>
                  </w:pPr>
                  <w:r>
                    <w:rPr>
                      <w:color w:val="auto"/>
                      <w:highlight w:val="none"/>
                    </w:rPr>
                    <w:t>年均浓度</w:t>
                  </w:r>
                </w:p>
              </w:tc>
              <w:tc>
                <w:tcPr>
                  <w:tcW w:w="922" w:type="pct"/>
                  <w:shd w:val="clear" w:color="auto" w:fill="auto"/>
                  <w:noWrap/>
                  <w:tcMar>
                    <w:top w:w="10" w:type="dxa"/>
                    <w:left w:w="10" w:type="dxa"/>
                    <w:right w:w="10" w:type="dxa"/>
                  </w:tcMar>
                  <w:vAlign w:val="center"/>
                </w:tcPr>
                <w:p w14:paraId="2E0F8A63">
                  <w:pPr>
                    <w:pStyle w:val="41"/>
                    <w:rPr>
                      <w:color w:val="auto"/>
                      <w:highlight w:val="none"/>
                    </w:rPr>
                  </w:pPr>
                  <w:r>
                    <w:rPr>
                      <w:color w:val="auto"/>
                      <w:highlight w:val="none"/>
                    </w:rPr>
                    <w:t>40</w:t>
                  </w:r>
                </w:p>
              </w:tc>
              <w:tc>
                <w:tcPr>
                  <w:tcW w:w="920" w:type="pct"/>
                  <w:shd w:val="clear" w:color="auto" w:fill="auto"/>
                  <w:noWrap/>
                  <w:tcMar>
                    <w:top w:w="10" w:type="dxa"/>
                    <w:left w:w="10" w:type="dxa"/>
                    <w:right w:w="10" w:type="dxa"/>
                  </w:tcMar>
                  <w:vAlign w:val="center"/>
                </w:tcPr>
                <w:p w14:paraId="13FFB3BA">
                  <w:pPr>
                    <w:pStyle w:val="41"/>
                    <w:rPr>
                      <w:rFonts w:hint="default" w:eastAsia="宋体"/>
                      <w:color w:val="auto"/>
                      <w:highlight w:val="none"/>
                      <w:lang w:val="en-US" w:eastAsia="zh-CN"/>
                    </w:rPr>
                  </w:pPr>
                  <w:r>
                    <w:rPr>
                      <w:rFonts w:hint="eastAsia"/>
                      <w:color w:val="auto"/>
                      <w:highlight w:val="none"/>
                      <w:lang w:val="en-US" w:eastAsia="zh-CN"/>
                    </w:rPr>
                    <w:t>19</w:t>
                  </w:r>
                </w:p>
              </w:tc>
              <w:tc>
                <w:tcPr>
                  <w:tcW w:w="737" w:type="pct"/>
                  <w:shd w:val="clear" w:color="000000" w:fill="auto"/>
                  <w:noWrap/>
                  <w:tcMar>
                    <w:top w:w="10" w:type="dxa"/>
                    <w:left w:w="10" w:type="dxa"/>
                    <w:right w:w="10" w:type="dxa"/>
                  </w:tcMar>
                  <w:vAlign w:val="center"/>
                </w:tcPr>
                <w:p w14:paraId="56AD130E">
                  <w:pPr>
                    <w:pStyle w:val="41"/>
                    <w:rPr>
                      <w:rFonts w:hint="default" w:eastAsia="宋体"/>
                      <w:color w:val="auto"/>
                      <w:highlight w:val="none"/>
                      <w:lang w:val="en-US" w:eastAsia="zh-CN"/>
                    </w:rPr>
                  </w:pPr>
                  <w:r>
                    <w:rPr>
                      <w:rFonts w:hint="eastAsia"/>
                      <w:color w:val="auto"/>
                      <w:highlight w:val="none"/>
                      <w:lang w:val="en-US" w:eastAsia="zh-CN"/>
                    </w:rPr>
                    <w:t>57.5</w:t>
                  </w:r>
                </w:p>
              </w:tc>
              <w:tc>
                <w:tcPr>
                  <w:tcW w:w="745" w:type="pct"/>
                  <w:noWrap/>
                  <w:tcMar>
                    <w:top w:w="10" w:type="dxa"/>
                    <w:left w:w="10" w:type="dxa"/>
                    <w:right w:w="10" w:type="dxa"/>
                  </w:tcMar>
                  <w:vAlign w:val="center"/>
                </w:tcPr>
                <w:p w14:paraId="47819A84">
                  <w:pPr>
                    <w:pStyle w:val="41"/>
                    <w:rPr>
                      <w:color w:val="auto"/>
                      <w:highlight w:val="none"/>
                    </w:rPr>
                  </w:pPr>
                  <w:r>
                    <w:rPr>
                      <w:color w:val="auto"/>
                      <w:highlight w:val="none"/>
                    </w:rPr>
                    <w:t>达标</w:t>
                  </w:r>
                </w:p>
              </w:tc>
            </w:tr>
            <w:tr w14:paraId="74DC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3CC2E8B5">
                  <w:pPr>
                    <w:pStyle w:val="41"/>
                    <w:rPr>
                      <w:color w:val="auto"/>
                      <w:highlight w:val="none"/>
                    </w:rPr>
                  </w:pPr>
                  <w:r>
                    <w:rPr>
                      <w:color w:val="auto"/>
                      <w:highlight w:val="none"/>
                    </w:rPr>
                    <w:t>CO</w:t>
                  </w:r>
                </w:p>
              </w:tc>
              <w:tc>
                <w:tcPr>
                  <w:tcW w:w="1131" w:type="pct"/>
                  <w:shd w:val="clear" w:color="auto" w:fill="auto"/>
                  <w:noWrap/>
                  <w:tcMar>
                    <w:top w:w="10" w:type="dxa"/>
                    <w:left w:w="10" w:type="dxa"/>
                    <w:right w:w="10" w:type="dxa"/>
                  </w:tcMar>
                  <w:vAlign w:val="center"/>
                </w:tcPr>
                <w:p w14:paraId="63176964">
                  <w:pPr>
                    <w:pStyle w:val="41"/>
                    <w:rPr>
                      <w:color w:val="auto"/>
                      <w:highlight w:val="none"/>
                    </w:rPr>
                  </w:pPr>
                  <w:r>
                    <w:rPr>
                      <w:color w:val="auto"/>
                      <w:highlight w:val="none"/>
                    </w:rPr>
                    <w:t>日均浓度</w:t>
                  </w:r>
                </w:p>
              </w:tc>
              <w:tc>
                <w:tcPr>
                  <w:tcW w:w="922" w:type="pct"/>
                  <w:shd w:val="clear" w:color="auto" w:fill="auto"/>
                  <w:noWrap/>
                  <w:tcMar>
                    <w:top w:w="10" w:type="dxa"/>
                    <w:left w:w="10" w:type="dxa"/>
                    <w:right w:w="10" w:type="dxa"/>
                  </w:tcMar>
                  <w:vAlign w:val="center"/>
                </w:tcPr>
                <w:p w14:paraId="2B8EA28C">
                  <w:pPr>
                    <w:pStyle w:val="41"/>
                    <w:rPr>
                      <w:color w:val="auto"/>
                      <w:highlight w:val="none"/>
                    </w:rPr>
                  </w:pPr>
                  <w:r>
                    <w:rPr>
                      <w:color w:val="auto"/>
                      <w:highlight w:val="none"/>
                    </w:rPr>
                    <w:t>4000</w:t>
                  </w:r>
                </w:p>
              </w:tc>
              <w:tc>
                <w:tcPr>
                  <w:tcW w:w="920" w:type="pct"/>
                  <w:shd w:val="clear" w:color="auto" w:fill="auto"/>
                  <w:tcMar>
                    <w:top w:w="10" w:type="dxa"/>
                    <w:left w:w="10" w:type="dxa"/>
                    <w:right w:w="10" w:type="dxa"/>
                  </w:tcMar>
                  <w:vAlign w:val="center"/>
                </w:tcPr>
                <w:p w14:paraId="7669B284">
                  <w:pPr>
                    <w:pStyle w:val="41"/>
                    <w:rPr>
                      <w:rFonts w:hint="default" w:eastAsia="宋体"/>
                      <w:color w:val="auto"/>
                      <w:highlight w:val="none"/>
                      <w:lang w:val="en-US" w:eastAsia="zh-CN"/>
                    </w:rPr>
                  </w:pPr>
                  <w:r>
                    <w:rPr>
                      <w:rFonts w:hint="eastAsia"/>
                      <w:color w:val="auto"/>
                      <w:highlight w:val="none"/>
                      <w:lang w:val="en-US" w:eastAsia="zh-CN"/>
                    </w:rPr>
                    <w:t>100</w:t>
                  </w:r>
                </w:p>
              </w:tc>
              <w:tc>
                <w:tcPr>
                  <w:tcW w:w="737" w:type="pct"/>
                  <w:shd w:val="clear" w:color="000000" w:fill="auto"/>
                  <w:noWrap/>
                  <w:tcMar>
                    <w:top w:w="10" w:type="dxa"/>
                    <w:left w:w="10" w:type="dxa"/>
                    <w:right w:w="10" w:type="dxa"/>
                  </w:tcMar>
                  <w:vAlign w:val="center"/>
                </w:tcPr>
                <w:p w14:paraId="7A22EE76">
                  <w:pPr>
                    <w:pStyle w:val="41"/>
                    <w:rPr>
                      <w:rFonts w:hint="default" w:eastAsia="宋体"/>
                      <w:color w:val="auto"/>
                      <w:highlight w:val="none"/>
                      <w:lang w:val="en-US" w:eastAsia="zh-CN"/>
                    </w:rPr>
                  </w:pPr>
                  <w:r>
                    <w:rPr>
                      <w:rFonts w:hint="eastAsia"/>
                      <w:color w:val="auto"/>
                      <w:highlight w:val="none"/>
                      <w:lang w:val="en-US" w:eastAsia="zh-CN"/>
                    </w:rPr>
                    <w:t>22.5</w:t>
                  </w:r>
                </w:p>
              </w:tc>
              <w:tc>
                <w:tcPr>
                  <w:tcW w:w="745" w:type="pct"/>
                  <w:noWrap/>
                  <w:tcMar>
                    <w:top w:w="10" w:type="dxa"/>
                    <w:left w:w="10" w:type="dxa"/>
                    <w:right w:w="10" w:type="dxa"/>
                  </w:tcMar>
                  <w:vAlign w:val="center"/>
                </w:tcPr>
                <w:p w14:paraId="0CF73E41">
                  <w:pPr>
                    <w:pStyle w:val="41"/>
                    <w:rPr>
                      <w:color w:val="auto"/>
                      <w:highlight w:val="none"/>
                    </w:rPr>
                  </w:pPr>
                  <w:r>
                    <w:rPr>
                      <w:color w:val="auto"/>
                      <w:highlight w:val="none"/>
                    </w:rPr>
                    <w:t>达标</w:t>
                  </w:r>
                </w:p>
              </w:tc>
            </w:tr>
            <w:tr w14:paraId="1D7B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0CD247CC">
                  <w:pPr>
                    <w:pStyle w:val="41"/>
                    <w:rPr>
                      <w:color w:val="auto"/>
                      <w:highlight w:val="none"/>
                    </w:rPr>
                  </w:pPr>
                  <w:r>
                    <w:rPr>
                      <w:color w:val="auto"/>
                      <w:highlight w:val="none"/>
                    </w:rPr>
                    <w:t>O</w:t>
                  </w:r>
                  <w:r>
                    <w:rPr>
                      <w:color w:val="auto"/>
                      <w:highlight w:val="none"/>
                      <w:vertAlign w:val="subscript"/>
                    </w:rPr>
                    <w:t>3</w:t>
                  </w:r>
                </w:p>
              </w:tc>
              <w:tc>
                <w:tcPr>
                  <w:tcW w:w="1131" w:type="pct"/>
                  <w:shd w:val="clear" w:color="auto" w:fill="auto"/>
                  <w:tcMar>
                    <w:top w:w="10" w:type="dxa"/>
                    <w:left w:w="10" w:type="dxa"/>
                    <w:right w:w="10" w:type="dxa"/>
                  </w:tcMar>
                  <w:vAlign w:val="center"/>
                </w:tcPr>
                <w:p w14:paraId="2338CFC9">
                  <w:pPr>
                    <w:pStyle w:val="41"/>
                    <w:rPr>
                      <w:color w:val="auto"/>
                      <w:highlight w:val="none"/>
                    </w:rPr>
                  </w:pPr>
                  <w:r>
                    <w:rPr>
                      <w:color w:val="auto"/>
                      <w:highlight w:val="none"/>
                    </w:rPr>
                    <w:t>日均最大8h浓度</w:t>
                  </w:r>
                </w:p>
              </w:tc>
              <w:tc>
                <w:tcPr>
                  <w:tcW w:w="922" w:type="pct"/>
                  <w:shd w:val="clear" w:color="auto" w:fill="auto"/>
                  <w:noWrap/>
                  <w:tcMar>
                    <w:top w:w="10" w:type="dxa"/>
                    <w:left w:w="10" w:type="dxa"/>
                    <w:right w:w="10" w:type="dxa"/>
                  </w:tcMar>
                  <w:vAlign w:val="center"/>
                </w:tcPr>
                <w:p w14:paraId="1168512E">
                  <w:pPr>
                    <w:pStyle w:val="41"/>
                    <w:rPr>
                      <w:color w:val="auto"/>
                      <w:highlight w:val="none"/>
                    </w:rPr>
                  </w:pPr>
                  <w:r>
                    <w:rPr>
                      <w:color w:val="auto"/>
                      <w:highlight w:val="none"/>
                    </w:rPr>
                    <w:t>160</w:t>
                  </w:r>
                </w:p>
              </w:tc>
              <w:tc>
                <w:tcPr>
                  <w:tcW w:w="920" w:type="pct"/>
                  <w:shd w:val="clear" w:color="auto" w:fill="auto"/>
                  <w:noWrap/>
                  <w:tcMar>
                    <w:top w:w="10" w:type="dxa"/>
                    <w:left w:w="10" w:type="dxa"/>
                    <w:right w:w="10" w:type="dxa"/>
                  </w:tcMar>
                  <w:vAlign w:val="center"/>
                </w:tcPr>
                <w:p w14:paraId="72E47EEC">
                  <w:pPr>
                    <w:pStyle w:val="41"/>
                    <w:rPr>
                      <w:rFonts w:hint="default" w:eastAsia="宋体"/>
                      <w:color w:val="auto"/>
                      <w:highlight w:val="none"/>
                      <w:lang w:val="en-US" w:eastAsia="zh-CN"/>
                    </w:rPr>
                  </w:pPr>
                  <w:r>
                    <w:rPr>
                      <w:rFonts w:hint="eastAsia"/>
                      <w:color w:val="auto"/>
                      <w:highlight w:val="none"/>
                      <w:lang w:val="en-US" w:eastAsia="zh-CN"/>
                    </w:rPr>
                    <w:t>175</w:t>
                  </w:r>
                </w:p>
              </w:tc>
              <w:tc>
                <w:tcPr>
                  <w:tcW w:w="737" w:type="pct"/>
                  <w:shd w:val="clear" w:color="000000" w:fill="auto"/>
                  <w:noWrap/>
                  <w:tcMar>
                    <w:top w:w="10" w:type="dxa"/>
                    <w:left w:w="10" w:type="dxa"/>
                    <w:right w:w="10" w:type="dxa"/>
                  </w:tcMar>
                  <w:vAlign w:val="center"/>
                </w:tcPr>
                <w:p w14:paraId="780000D3">
                  <w:pPr>
                    <w:pStyle w:val="41"/>
                    <w:rPr>
                      <w:rFonts w:hint="default" w:eastAsia="宋体"/>
                      <w:color w:val="auto"/>
                      <w:highlight w:val="none"/>
                      <w:lang w:val="en-US" w:eastAsia="zh-CN"/>
                    </w:rPr>
                  </w:pPr>
                  <w:r>
                    <w:rPr>
                      <w:rFonts w:hint="eastAsia"/>
                      <w:color w:val="auto"/>
                      <w:highlight w:val="none"/>
                      <w:lang w:val="en-US" w:eastAsia="zh-CN"/>
                    </w:rPr>
                    <w:t>109</w:t>
                  </w:r>
                </w:p>
              </w:tc>
              <w:tc>
                <w:tcPr>
                  <w:tcW w:w="745" w:type="pct"/>
                  <w:noWrap/>
                  <w:tcMar>
                    <w:top w:w="10" w:type="dxa"/>
                    <w:left w:w="10" w:type="dxa"/>
                    <w:right w:w="10" w:type="dxa"/>
                  </w:tcMar>
                  <w:vAlign w:val="center"/>
                </w:tcPr>
                <w:p w14:paraId="2870FCEC">
                  <w:pPr>
                    <w:pStyle w:val="41"/>
                    <w:rPr>
                      <w:color w:val="auto"/>
                      <w:highlight w:val="none"/>
                    </w:rPr>
                  </w:pPr>
                  <w:r>
                    <w:rPr>
                      <w:rFonts w:hint="eastAsia"/>
                      <w:color w:val="auto"/>
                      <w:highlight w:val="none"/>
                      <w:lang w:eastAsia="zh-CN"/>
                    </w:rPr>
                    <w:t>超</w:t>
                  </w:r>
                  <w:r>
                    <w:rPr>
                      <w:color w:val="auto"/>
                      <w:highlight w:val="none"/>
                    </w:rPr>
                    <w:t>标</w:t>
                  </w:r>
                </w:p>
              </w:tc>
            </w:tr>
          </w:tbl>
          <w:p w14:paraId="540F08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32"/>
                <w:highlight w:val="none"/>
              </w:rPr>
            </w:pPr>
            <w:r>
              <w:rPr>
                <w:rFonts w:hint="eastAsia" w:ascii="Times New Roman" w:hAnsi="Times New Roman" w:eastAsia="宋体" w:cs="Times New Roman"/>
                <w:color w:val="auto"/>
                <w:sz w:val="24"/>
                <w:szCs w:val="32"/>
                <w:highlight w:val="none"/>
              </w:rPr>
              <w:t>由以上数据可知，</w:t>
            </w:r>
            <w:r>
              <w:rPr>
                <w:rFonts w:ascii="Times New Roman" w:hAnsi="Times New Roman" w:eastAsia="宋体" w:cs="Times New Roman"/>
                <w:color w:val="auto"/>
                <w:sz w:val="24"/>
                <w:szCs w:val="32"/>
                <w:highlight w:val="none"/>
              </w:rPr>
              <w:t>项目所在区域大气污染物</w:t>
            </w:r>
            <w:r>
              <w:rPr>
                <w:rFonts w:hint="eastAsia" w:ascii="Times New Roman" w:hAnsi="Times New Roman" w:eastAsia="宋体" w:cs="Times New Roman"/>
                <w:color w:val="auto"/>
                <w:sz w:val="24"/>
                <w:szCs w:val="32"/>
                <w:highlight w:val="none"/>
              </w:rPr>
              <w:t>年平均质量浓度中PM</w:t>
            </w:r>
            <w:r>
              <w:rPr>
                <w:rFonts w:hint="eastAsia" w:ascii="Times New Roman" w:hAnsi="Times New Roman" w:eastAsia="宋体" w:cs="Times New Roman"/>
                <w:color w:val="auto"/>
                <w:sz w:val="24"/>
                <w:szCs w:val="32"/>
                <w:highlight w:val="none"/>
                <w:vertAlign w:val="subscript"/>
              </w:rPr>
              <w:t>2.5</w:t>
            </w:r>
            <w:r>
              <w:rPr>
                <w:rFonts w:hint="eastAsia" w:ascii="Times New Roman" w:hAnsi="Times New Roman" w:eastAsia="宋体" w:cs="Times New Roman"/>
                <w:color w:val="auto"/>
                <w:sz w:val="24"/>
                <w:szCs w:val="32"/>
                <w:highlight w:val="none"/>
              </w:rPr>
              <w:t>、臭氧超标，其余四项指标均满足</w:t>
            </w:r>
            <w:r>
              <w:rPr>
                <w:rFonts w:ascii="Times New Roman" w:hAnsi="Times New Roman" w:eastAsia="宋体" w:cs="Times New Roman"/>
                <w:color w:val="auto"/>
                <w:sz w:val="24"/>
                <w:szCs w:val="32"/>
                <w:highlight w:val="none"/>
              </w:rPr>
              <w:t>《环境空气质量标准》（GB3095-2012）</w:t>
            </w:r>
            <w:r>
              <w:rPr>
                <w:rFonts w:hint="eastAsia" w:ascii="Times New Roman" w:hAnsi="Times New Roman" w:eastAsia="宋体" w:cs="Times New Roman"/>
                <w:color w:val="auto"/>
                <w:sz w:val="24"/>
                <w:szCs w:val="32"/>
                <w:highlight w:val="none"/>
              </w:rPr>
              <w:t>及其修改单中</w:t>
            </w:r>
            <w:r>
              <w:rPr>
                <w:rFonts w:ascii="Times New Roman" w:hAnsi="Times New Roman" w:eastAsia="宋体" w:cs="Times New Roman"/>
                <w:color w:val="auto"/>
                <w:sz w:val="24"/>
                <w:szCs w:val="32"/>
                <w:highlight w:val="none"/>
              </w:rPr>
              <w:t>二级标准的要求</w:t>
            </w:r>
            <w:r>
              <w:rPr>
                <w:rFonts w:hint="eastAsia" w:ascii="Times New Roman" w:hAnsi="Times New Roman" w:eastAsia="宋体" w:cs="Times New Roman"/>
                <w:color w:val="auto"/>
                <w:sz w:val="24"/>
                <w:szCs w:val="32"/>
                <w:highlight w:val="none"/>
              </w:rPr>
              <w:t>，环境空气属于不达标区。</w:t>
            </w:r>
          </w:p>
          <w:p w14:paraId="6AF0650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eastAsia="宋体"/>
                <w:b w:val="0"/>
                <w:bCs w:val="0"/>
                <w:color w:val="auto"/>
                <w:sz w:val="24"/>
                <w:highlight w:val="none"/>
                <w:lang w:val="en-US" w:eastAsia="zh-CN"/>
              </w:rPr>
            </w:pPr>
            <w:r>
              <w:rPr>
                <w:rFonts w:hint="eastAsia"/>
                <w:b w:val="0"/>
                <w:bCs w:val="0"/>
                <w:color w:val="auto"/>
                <w:sz w:val="24"/>
                <w:highlight w:val="none"/>
                <w:lang w:eastAsia="zh-CN"/>
              </w:rPr>
              <w:t>（</w:t>
            </w:r>
            <w:r>
              <w:rPr>
                <w:rFonts w:hint="eastAsia"/>
                <w:b w:val="0"/>
                <w:bCs w:val="0"/>
                <w:color w:val="auto"/>
                <w:sz w:val="24"/>
                <w:highlight w:val="none"/>
                <w:lang w:val="en-US" w:eastAsia="zh-CN"/>
              </w:rPr>
              <w:t>2</w:t>
            </w:r>
            <w:r>
              <w:rPr>
                <w:rFonts w:hint="eastAsia"/>
                <w:b w:val="0"/>
                <w:bCs w:val="0"/>
                <w:color w:val="auto"/>
                <w:sz w:val="24"/>
                <w:highlight w:val="none"/>
                <w:lang w:eastAsia="zh-CN"/>
              </w:rPr>
              <w:t>）</w:t>
            </w:r>
            <w:r>
              <w:rPr>
                <w:rFonts w:hint="eastAsia"/>
                <w:b w:val="0"/>
                <w:bCs w:val="0"/>
                <w:color w:val="auto"/>
                <w:sz w:val="24"/>
                <w:highlight w:val="none"/>
                <w:lang w:val="en-US" w:eastAsia="zh-CN"/>
              </w:rPr>
              <w:t>特征污染物</w:t>
            </w:r>
          </w:p>
          <w:p w14:paraId="7FECA6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ascii="Times New Roman" w:hAnsi="Times New Roman" w:eastAsia="宋体" w:cs="Times New Roman"/>
                <w:color w:val="auto"/>
                <w:sz w:val="24"/>
                <w:highlight w:val="none"/>
                <w:lang w:eastAsia="zh-CN"/>
              </w:rPr>
              <w:t>本项目非甲烷总烃</w:t>
            </w:r>
            <w:r>
              <w:rPr>
                <w:color w:val="auto"/>
                <w:sz w:val="24"/>
                <w:highlight w:val="none"/>
              </w:rPr>
              <w:t>引用</w:t>
            </w:r>
            <w:r>
              <w:rPr>
                <w:rFonts w:ascii="Times New Roman" w:hAnsi="Times New Roman" w:cs="Times New Roman"/>
                <w:color w:val="auto"/>
                <w:sz w:val="24"/>
                <w:highlight w:val="none"/>
              </w:rPr>
              <w:t>202</w:t>
            </w:r>
            <w:r>
              <w:rPr>
                <w:rFonts w:hint="eastAsia" w:ascii="Times New Roman" w:hAnsi="Times New Roman" w:eastAsia="宋体" w:cs="Times New Roman"/>
                <w:color w:val="auto"/>
                <w:sz w:val="24"/>
                <w:highlight w:val="none"/>
                <w:lang w:eastAsia="zh-CN"/>
              </w:rPr>
              <w:t>5</w:t>
            </w:r>
            <w:r>
              <w:rPr>
                <w:rFonts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3月</w:t>
            </w:r>
            <w:r>
              <w:rPr>
                <w:rFonts w:ascii="Times New Roman" w:hAnsi="Times New Roman" w:cs="Times New Roman"/>
                <w:color w:val="auto"/>
                <w:sz w:val="24"/>
                <w:highlight w:val="none"/>
                <w:lang w:eastAsia="zh-CN"/>
              </w:rPr>
              <w:t>安</w:t>
            </w:r>
            <w:r>
              <w:rPr>
                <w:rFonts w:ascii="Times New Roman" w:hAnsi="Times New Roman" w:cs="Times New Roman"/>
                <w:color w:val="auto"/>
                <w:sz w:val="24"/>
                <w:highlight w:val="none"/>
              </w:rPr>
              <w:t>徽</w:t>
            </w:r>
            <w:r>
              <w:rPr>
                <w:rFonts w:hint="eastAsia" w:ascii="Times New Roman" w:hAnsi="Times New Roman" w:eastAsia="宋体" w:cs="Times New Roman"/>
                <w:color w:val="auto"/>
                <w:sz w:val="24"/>
                <w:highlight w:val="none"/>
                <w:lang w:eastAsia="zh-CN"/>
              </w:rPr>
              <w:t>中职</w:t>
            </w:r>
            <w:r>
              <w:rPr>
                <w:rFonts w:ascii="Times New Roman" w:hAnsi="Times New Roman" w:cs="Times New Roman"/>
                <w:color w:val="auto"/>
                <w:sz w:val="24"/>
                <w:highlight w:val="none"/>
                <w:lang w:eastAsia="zh-CN"/>
              </w:rPr>
              <w:t>检测</w:t>
            </w:r>
            <w:r>
              <w:rPr>
                <w:rFonts w:ascii="Times New Roman" w:hAnsi="Times New Roman" w:cs="Times New Roman"/>
                <w:color w:val="auto"/>
                <w:sz w:val="24"/>
                <w:highlight w:val="none"/>
              </w:rPr>
              <w:t>科技有限公司</w:t>
            </w:r>
            <w:r>
              <w:rPr>
                <w:rFonts w:hint="default" w:ascii="Times New Roman" w:hAnsi="Times New Roman" w:eastAsia="宋体" w:cs="Times New Roman"/>
                <w:color w:val="auto"/>
                <w:sz w:val="24"/>
                <w:szCs w:val="24"/>
                <w:highlight w:val="none"/>
                <w:lang w:val="en-US" w:eastAsia="zh-CN"/>
              </w:rPr>
              <w:t>检测的</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淮北华昇电子科技有限公司微米/纳米级电子浆料淮北生产基地项目</w:t>
            </w:r>
            <w:r>
              <w:rPr>
                <w:rFonts w:hint="default" w:ascii="Times New Roman" w:hAnsi="Times New Roman" w:eastAsia="宋体" w:cs="Times New Roman"/>
                <w:color w:val="auto"/>
                <w:sz w:val="24"/>
                <w:szCs w:val="24"/>
                <w:highlight w:val="none"/>
                <w:lang w:val="en-US" w:eastAsia="zh-CN"/>
              </w:rPr>
              <w:t>环评现状检测</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中数据进行评价，引用的监测点位</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淮北华昇电子科技有限公司（</w:t>
            </w:r>
            <w:r>
              <w:rPr>
                <w:rFonts w:hint="eastAsia" w:ascii="Times New Roman" w:hAnsi="Times New Roman" w:eastAsia="宋体" w:cs="Times New Roman"/>
                <w:color w:val="auto"/>
                <w:sz w:val="24"/>
                <w:szCs w:val="24"/>
                <w:highlight w:val="none"/>
                <w:lang w:val="en-US" w:eastAsia="zh-CN"/>
              </w:rPr>
              <w:t>G1）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位于本项目西北侧约</w:t>
            </w:r>
            <w:r>
              <w:rPr>
                <w:rFonts w:hint="eastAsia" w:ascii="Times New Roman" w:hAnsi="Times New Roman" w:eastAsia="宋体" w:cs="Times New Roman"/>
                <w:color w:val="auto"/>
                <w:sz w:val="24"/>
                <w:szCs w:val="24"/>
                <w:highlight w:val="none"/>
                <w:lang w:val="en-US" w:eastAsia="zh-CN"/>
              </w:rPr>
              <w:t>445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cs="Times New Roman"/>
                <w:color w:val="auto"/>
                <w:sz w:val="24"/>
                <w:highlight w:val="none"/>
              </w:rPr>
              <w:t>符合</w:t>
            </w:r>
            <w:r>
              <w:rPr>
                <w:rFonts w:hint="eastAsia" w:ascii="宋体" w:hAnsi="宋体" w:eastAsia="宋体" w:cs="宋体"/>
                <w:color w:val="auto"/>
                <w:sz w:val="24"/>
                <w:highlight w:val="none"/>
              </w:rPr>
              <w:t>“引用建设项</w:t>
            </w:r>
            <w:r>
              <w:rPr>
                <w:rFonts w:hint="default" w:ascii="Times New Roman" w:hAnsi="Times New Roman" w:eastAsia="宋体" w:cs="Times New Roman"/>
                <w:color w:val="auto"/>
                <w:sz w:val="24"/>
                <w:highlight w:val="none"/>
              </w:rPr>
              <w:t>目周边5千米范围内近3年</w:t>
            </w:r>
            <w:r>
              <w:rPr>
                <w:rFonts w:hint="eastAsia" w:ascii="宋体" w:hAnsi="宋体" w:eastAsia="宋体" w:cs="宋体"/>
                <w:color w:val="auto"/>
                <w:sz w:val="24"/>
                <w:highlight w:val="none"/>
              </w:rPr>
              <w:t>的现有监测数据”</w:t>
            </w:r>
            <w:r>
              <w:rPr>
                <w:rFonts w:hint="default" w:ascii="Times New Roman" w:hAnsi="Times New Roman" w:cs="Times New Roman"/>
                <w:color w:val="auto"/>
                <w:sz w:val="24"/>
                <w:highlight w:val="none"/>
              </w:rPr>
              <w:t>的要求</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引用数据</w:t>
            </w:r>
            <w:r>
              <w:rPr>
                <w:rFonts w:hint="default" w:ascii="Times New Roman" w:hAnsi="Times New Roman" w:eastAsia="宋体" w:cs="Times New Roman"/>
                <w:color w:val="auto"/>
                <w:sz w:val="24"/>
                <w:szCs w:val="24"/>
                <w:highlight w:val="none"/>
                <w:lang w:val="en-US" w:eastAsia="zh-CN"/>
              </w:rPr>
              <w:t>见表3</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w:t>
            </w:r>
          </w:p>
          <w:p w14:paraId="6398EE0C">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①监测点位</w:t>
            </w:r>
          </w:p>
          <w:p w14:paraId="22BF81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表3-2</w:t>
            </w:r>
            <w:r>
              <w:rPr>
                <w:rFonts w:hint="eastAsia" w:ascii="Times New Roman" w:hAnsi="Times New Roman" w:eastAsia="宋体" w:cs="Times New Roman"/>
                <w:b/>
                <w:bCs/>
                <w:color w:val="auto"/>
                <w:sz w:val="24"/>
                <w:szCs w:val="24"/>
                <w:highlight w:val="none"/>
                <w:lang w:val="en-US" w:eastAsia="zh-CN"/>
              </w:rPr>
              <w:t xml:space="preserve">  </w:t>
            </w:r>
            <w:r>
              <w:rPr>
                <w:rFonts w:ascii="Times New Roman" w:hAnsi="Times New Roman" w:eastAsia="宋体" w:cs="Times New Roman"/>
                <w:b/>
                <w:bCs/>
                <w:color w:val="auto"/>
                <w:sz w:val="24"/>
                <w:szCs w:val="24"/>
                <w:highlight w:val="none"/>
                <w:lang w:eastAsia="zh-CN"/>
              </w:rPr>
              <w:t>监测点位分布</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984"/>
              <w:gridCol w:w="2048"/>
              <w:gridCol w:w="2048"/>
            </w:tblGrid>
            <w:tr w14:paraId="7D27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Align w:val="center"/>
                </w:tcPr>
                <w:p w14:paraId="44DEA9EF">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2987" w:type="dxa"/>
                  <w:vAlign w:val="center"/>
                </w:tcPr>
                <w:p w14:paraId="0BDB1797">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highlight w:val="none"/>
                    </w:rPr>
                  </w:pPr>
                  <w:r>
                    <w:rPr>
                      <w:rFonts w:hint="eastAsia" w:cs="Times New Roman"/>
                      <w:color w:val="auto"/>
                      <w:highlight w:val="none"/>
                      <w:lang w:val="en-US" w:eastAsia="zh-CN"/>
                    </w:rPr>
                    <w:t>引用</w:t>
                  </w:r>
                  <w:r>
                    <w:rPr>
                      <w:rFonts w:hint="default" w:ascii="Times New Roman" w:hAnsi="Times New Roman" w:eastAsia="宋体" w:cs="Times New Roman"/>
                      <w:color w:val="auto"/>
                      <w:highlight w:val="none"/>
                    </w:rPr>
                    <w:t>监测点位</w:t>
                  </w:r>
                </w:p>
              </w:tc>
              <w:tc>
                <w:tcPr>
                  <w:tcW w:w="2050" w:type="dxa"/>
                  <w:vAlign w:val="center"/>
                </w:tcPr>
                <w:p w14:paraId="66BF392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方位</w:t>
                  </w:r>
                </w:p>
              </w:tc>
              <w:tc>
                <w:tcPr>
                  <w:tcW w:w="2050" w:type="dxa"/>
                  <w:vAlign w:val="center"/>
                </w:tcPr>
                <w:p w14:paraId="1AA852D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距离</w:t>
                  </w:r>
                </w:p>
              </w:tc>
            </w:tr>
            <w:tr w14:paraId="1571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Align w:val="center"/>
                </w:tcPr>
                <w:p w14:paraId="5C883D4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2987" w:type="dxa"/>
                  <w:vAlign w:val="center"/>
                </w:tcPr>
                <w:p w14:paraId="5EF729DC">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淮北华昇电子科技有限公司</w:t>
                  </w:r>
                </w:p>
              </w:tc>
              <w:tc>
                <w:tcPr>
                  <w:tcW w:w="2050" w:type="dxa"/>
                  <w:vAlign w:val="center"/>
                </w:tcPr>
                <w:p w14:paraId="6FE9ADB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西北</w:t>
                  </w:r>
                </w:p>
              </w:tc>
              <w:tc>
                <w:tcPr>
                  <w:tcW w:w="2050" w:type="dxa"/>
                  <w:vAlign w:val="center"/>
                </w:tcPr>
                <w:p w14:paraId="74A8F0FF">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445</w:t>
                  </w:r>
                  <w:r>
                    <w:rPr>
                      <w:rFonts w:hint="default" w:ascii="Times New Roman" w:hAnsi="Times New Roman" w:eastAsia="宋体" w:cs="Times New Roman"/>
                      <w:color w:val="auto"/>
                      <w:highlight w:val="none"/>
                    </w:rPr>
                    <w:t>m</w:t>
                  </w:r>
                </w:p>
              </w:tc>
            </w:tr>
          </w:tbl>
          <w:p w14:paraId="476088E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p>
          <w:p w14:paraId="73B75E5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p>
          <w:p w14:paraId="6C24A07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p>
          <w:p w14:paraId="75E6373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p>
          <w:p w14:paraId="470D0A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highlight w:val="none"/>
                <w:lang w:val="en-US" w:eastAsia="zh-CN"/>
              </w:rPr>
            </w:pPr>
            <w:r>
              <w:rPr>
                <w:color w:val="auto"/>
                <w:highlight w:val="none"/>
              </w:rPr>
              <w:drawing>
                <wp:anchor distT="0" distB="0" distL="114300" distR="114300" simplePos="0" relativeHeight="251667456" behindDoc="0" locked="0" layoutInCell="1" allowOverlap="1">
                  <wp:simplePos x="0" y="0"/>
                  <wp:positionH relativeFrom="column">
                    <wp:posOffset>4771390</wp:posOffset>
                  </wp:positionH>
                  <wp:positionV relativeFrom="paragraph">
                    <wp:posOffset>62230</wp:posOffset>
                  </wp:positionV>
                  <wp:extent cx="497840" cy="526415"/>
                  <wp:effectExtent l="0" t="0" r="5080" b="698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497840" cy="526415"/>
                          </a:xfrm>
                          <a:prstGeom prst="rect">
                            <a:avLst/>
                          </a:prstGeom>
                          <a:noFill/>
                          <a:ln>
                            <a:noFill/>
                          </a:ln>
                        </pic:spPr>
                      </pic:pic>
                    </a:graphicData>
                  </a:graphic>
                </wp:anchor>
              </w:drawing>
            </w:r>
            <w:r>
              <w:rPr>
                <w:color w:val="auto"/>
                <w:highlight w:val="none"/>
              </w:rPr>
              <w:drawing>
                <wp:inline distT="0" distB="0" distL="114300" distR="114300">
                  <wp:extent cx="5260975" cy="3088640"/>
                  <wp:effectExtent l="0" t="0" r="12065" b="50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5260975" cy="3088640"/>
                          </a:xfrm>
                          <a:prstGeom prst="rect">
                            <a:avLst/>
                          </a:prstGeom>
                          <a:noFill/>
                          <a:ln>
                            <a:noFill/>
                          </a:ln>
                        </pic:spPr>
                      </pic:pic>
                    </a:graphicData>
                  </a:graphic>
                </wp:inline>
              </w:drawing>
            </w:r>
            <w:r>
              <w:rPr>
                <w:color w:val="auto"/>
                <w:sz w:val="21"/>
                <w:highlight w:val="none"/>
              </w:rPr>
              <mc:AlternateContent>
                <mc:Choice Requires="wps">
                  <w:drawing>
                    <wp:anchor distT="0" distB="0" distL="114300" distR="114300" simplePos="0" relativeHeight="251671552" behindDoc="0" locked="0" layoutInCell="1" allowOverlap="1">
                      <wp:simplePos x="0" y="0"/>
                      <wp:positionH relativeFrom="column">
                        <wp:posOffset>2242820</wp:posOffset>
                      </wp:positionH>
                      <wp:positionV relativeFrom="paragraph">
                        <wp:posOffset>1200150</wp:posOffset>
                      </wp:positionV>
                      <wp:extent cx="452120" cy="212725"/>
                      <wp:effectExtent l="23495" t="119380" r="27305" b="125095"/>
                      <wp:wrapNone/>
                      <wp:docPr id="20" name="文本框 20"/>
                      <wp:cNvGraphicFramePr/>
                      <a:graphic xmlns:a="http://schemas.openxmlformats.org/drawingml/2006/main">
                        <a:graphicData uri="http://schemas.microsoft.com/office/word/2010/wordprocessingShape">
                          <wps:wsp>
                            <wps:cNvSpPr txBox="1"/>
                            <wps:spPr>
                              <a:xfrm rot="19380000">
                                <a:off x="3616960" y="1878330"/>
                                <a:ext cx="452120" cy="212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678A2B">
                                  <w:pPr>
                                    <w:jc w:val="center"/>
                                    <w:rPr>
                                      <w:rFonts w:hint="default" w:eastAsia="宋体"/>
                                      <w:lang w:val="en-US" w:eastAsia="zh-CN"/>
                                    </w:rPr>
                                  </w:pPr>
                                  <w:r>
                                    <w:rPr>
                                      <w:rFonts w:hint="eastAsia"/>
                                      <w:lang w:val="en-US" w:eastAsia="zh-CN"/>
                                    </w:rPr>
                                    <w:t>445m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6.6pt;margin-top:94.5pt;height:16.75pt;width:35.6pt;rotation:-2424832f;z-index:251671552;mso-width-relative:page;mso-height-relative:page;" fillcolor="#FFFFFF [3201]" filled="t" stroked="t" coordsize="21600,21600" o:gfxdata="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9oynYAAAACwEAAA8AAAAAAAAAAQAgAAAAIgAAAGRycy9kb3ducmV2LnhtbFBLAQIUABQA&#10;AAAIAIdO4kCekbesYgIAAMMEAAAOAAAAAAAAAAEAIAAAACcBAABkcnMvZTJvRG9jLnhtbFBLBQYA&#10;AAAABgAGAFkBAAD7BQAAAAA=&#10;">
                      <v:fill on="t" focussize="0,0"/>
                      <v:stroke weight="0.5pt" color="#000000 [3204]" joinstyle="round"/>
                      <v:imagedata o:title=""/>
                      <o:lock v:ext="edit" aspectratio="f"/>
                      <v:textbox inset="0mm,0mm,0mm,0mm">
                        <w:txbxContent>
                          <w:p w14:paraId="13678A2B">
                            <w:pPr>
                              <w:jc w:val="center"/>
                              <w:rPr>
                                <w:rFonts w:hint="default" w:eastAsia="宋体"/>
                                <w:lang w:val="en-US" w:eastAsia="zh-CN"/>
                              </w:rPr>
                            </w:pPr>
                            <w:r>
                              <w:rPr>
                                <w:rFonts w:hint="eastAsia"/>
                                <w:lang w:val="en-US" w:eastAsia="zh-CN"/>
                              </w:rPr>
                              <w:t>445m</w:t>
                            </w:r>
                          </w:p>
                        </w:txbxContent>
                      </v:textbox>
                    </v:shape>
                  </w:pict>
                </mc:Fallback>
              </mc:AlternateContent>
            </w:r>
            <w:r>
              <w:rPr>
                <w:color w:val="auto"/>
                <w:sz w:val="21"/>
                <w:highlight w:val="none"/>
              </w:rPr>
              <mc:AlternateContent>
                <mc:Choice Requires="wps">
                  <w:drawing>
                    <wp:anchor distT="0" distB="0" distL="114300" distR="114300" simplePos="0" relativeHeight="251669504" behindDoc="0" locked="0" layoutInCell="1" allowOverlap="1">
                      <wp:simplePos x="0" y="0"/>
                      <wp:positionH relativeFrom="column">
                        <wp:posOffset>760095</wp:posOffset>
                      </wp:positionH>
                      <wp:positionV relativeFrom="paragraph">
                        <wp:posOffset>1487170</wp:posOffset>
                      </wp:positionV>
                      <wp:extent cx="662940" cy="320040"/>
                      <wp:effectExtent l="6350" t="6350" r="16510" b="252730"/>
                      <wp:wrapNone/>
                      <wp:docPr id="17" name="矩形标注 17"/>
                      <wp:cNvGraphicFramePr/>
                      <a:graphic xmlns:a="http://schemas.openxmlformats.org/drawingml/2006/main">
                        <a:graphicData uri="http://schemas.microsoft.com/office/word/2010/wordprocessingShape">
                          <wps:wsp>
                            <wps:cNvSpPr/>
                            <wps:spPr>
                              <a:xfrm>
                                <a:off x="1936750" y="2848610"/>
                                <a:ext cx="662940" cy="320040"/>
                              </a:xfrm>
                              <a:prstGeom prst="wedgeRectCallout">
                                <a:avLst>
                                  <a:gd name="adj1" fmla="val 37835"/>
                                  <a:gd name="adj2" fmla="val 122023"/>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E721F4D">
                                  <w:pPr>
                                    <w:jc w:val="center"/>
                                    <w:rPr>
                                      <w:rFonts w:hint="eastAsia" w:eastAsia="宋体"/>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9.85pt;margin-top:117.1pt;height:25.2pt;width:52.2pt;z-index:251669504;v-text-anchor:middle;mso-width-relative:page;mso-height-relative:page;" filled="f" stroked="t" coordsize="21600,21600" o:gfxdata="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ideN/dcAAAALAQAADwAAAAAAAAABACAAAAAiAAAA&#10;ZHJzL2Rvd25yZXYueG1sUEsBAhQAFAAAAAgAh07iQN3ERDyzAgAARwUAAA4AAAAAAAAAAQAgAAAA&#10;JgEAAGRycy9lMm9Eb2MueG1sUEsFBgAAAAAGAAYAWQEAAEsGAAAAAA==&#10;" adj="18972,37157">
                      <v:fill on="f" focussize="0,0"/>
                      <v:stroke weight="1pt" color="#FF0000 [2404]" miterlimit="8" joinstyle="miter"/>
                      <v:imagedata o:title=""/>
                      <o:lock v:ext="edit" aspectratio="f"/>
                      <v:textbox>
                        <w:txbxContent>
                          <w:p w14:paraId="1E721F4D">
                            <w:pPr>
                              <w:jc w:val="center"/>
                              <w:rPr>
                                <w:rFonts w:hint="eastAsia" w:eastAsia="宋体"/>
                                <w:lang w:val="en-US" w:eastAsia="zh-CN"/>
                              </w:rPr>
                            </w:pPr>
                            <w:r>
                              <w:rPr>
                                <w:rFonts w:hint="eastAsia"/>
                                <w:lang w:val="en-US" w:eastAsia="zh-CN"/>
                              </w:rPr>
                              <w:t>本项目</w:t>
                            </w:r>
                          </w:p>
                        </w:txbxContent>
                      </v:textbox>
                    </v:shape>
                  </w:pict>
                </mc:Fallback>
              </mc:AlternateContent>
            </w:r>
            <w:r>
              <w:rPr>
                <w:color w:val="auto"/>
                <w:sz w:val="21"/>
                <w:highlight w:val="none"/>
              </w:rPr>
              <mc:AlternateContent>
                <mc:Choice Requires="wps">
                  <w:drawing>
                    <wp:anchor distT="0" distB="0" distL="114300" distR="114300" simplePos="0" relativeHeight="251670528" behindDoc="0" locked="0" layoutInCell="1" allowOverlap="1">
                      <wp:simplePos x="0" y="0"/>
                      <wp:positionH relativeFrom="column">
                        <wp:posOffset>1306195</wp:posOffset>
                      </wp:positionH>
                      <wp:positionV relativeFrom="paragraph">
                        <wp:posOffset>1933575</wp:posOffset>
                      </wp:positionV>
                      <wp:extent cx="525780" cy="457200"/>
                      <wp:effectExtent l="8255" t="8255" r="14605" b="22225"/>
                      <wp:wrapNone/>
                      <wp:docPr id="19" name="任意多边形 19"/>
                      <wp:cNvGraphicFramePr/>
                      <a:graphic xmlns:a="http://schemas.openxmlformats.org/drawingml/2006/main">
                        <a:graphicData uri="http://schemas.microsoft.com/office/word/2010/wordprocessingShape">
                          <wps:wsp>
                            <wps:cNvSpPr/>
                            <wps:spPr>
                              <a:xfrm>
                                <a:off x="2515870" y="2860675"/>
                                <a:ext cx="525780" cy="457200"/>
                              </a:xfrm>
                              <a:custGeom>
                                <a:avLst/>
                                <a:gdLst>
                                  <a:gd name="connisteX0" fmla="*/ 0 w 525780"/>
                                  <a:gd name="connsiteY0" fmla="*/ 15875 h 457200"/>
                                  <a:gd name="connisteX1" fmla="*/ 525780 w 525780"/>
                                  <a:gd name="connsiteY1" fmla="*/ 0 h 457200"/>
                                  <a:gd name="connisteX2" fmla="*/ 510540 w 525780"/>
                                  <a:gd name="connsiteY2" fmla="*/ 442595 h 457200"/>
                                  <a:gd name="connisteX3" fmla="*/ 7620 w 525780"/>
                                  <a:gd name="connsiteY3" fmla="*/ 457200 h 457200"/>
                                  <a:gd name="connisteX4" fmla="*/ 0 w 525780"/>
                                  <a:gd name="connsiteY4" fmla="*/ 15875 h 4572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525780" h="457200">
                                    <a:moveTo>
                                      <a:pt x="0" y="15875"/>
                                    </a:moveTo>
                                    <a:lnTo>
                                      <a:pt x="525780" y="0"/>
                                    </a:lnTo>
                                    <a:lnTo>
                                      <a:pt x="510540" y="442595"/>
                                    </a:lnTo>
                                    <a:lnTo>
                                      <a:pt x="7620" y="457200"/>
                                    </a:lnTo>
                                    <a:lnTo>
                                      <a:pt x="0" y="15875"/>
                                    </a:lnTo>
                                    <a:close/>
                                  </a:path>
                                </a:pathLst>
                              </a:custGeom>
                              <a:noFill/>
                              <a:ln w="158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02.85pt;margin-top:152.25pt;height:36pt;width:41.4pt;z-index:251670528;mso-width-relative:page;mso-height-relative:page;" filled="f" stroked="t" coordsize="525780,457200" o:gfxdata="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o0rdE2AAAAAsBAAAPAAAAAAAAAAEAIAAAACIAAABkcnMvZG93bnJldi54bWxQ&#10;SwECFAAUAAAACACHTuJA5Z6c9xQDAABGCAAADgAAAAAAAAABACAAAAAnAQAAZHJzL2Uyb0RvYy54&#10;bWxQSwUGAAAAAAYABgBZAQAArQYAAAAA&#10;" path="m0,15875l525780,0,510540,442595,7620,457200,0,15875xe">
                      <v:path o:connectlocs="0,15875;525780,0;510540,442595;7620,457200;0,15875" o:connectangles="0,0,0,0,0"/>
                      <v:fill on="f" focussize="0,0"/>
                      <v:stroke weight="1.25pt" color="#FF0000 [2404]" miterlimit="8" joinstyle="miter"/>
                      <v:imagedata o:title=""/>
                      <o:lock v:ext="edit" aspectratio="f"/>
                    </v:shape>
                  </w:pict>
                </mc:Fallback>
              </mc:AlternateContent>
            </w: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1846580</wp:posOffset>
                      </wp:positionH>
                      <wp:positionV relativeFrom="paragraph">
                        <wp:posOffset>410210</wp:posOffset>
                      </wp:positionV>
                      <wp:extent cx="2202815" cy="1480185"/>
                      <wp:effectExtent l="0" t="5080" r="6985" b="8255"/>
                      <wp:wrapNone/>
                      <wp:docPr id="16" name="直接箭头连接符 16"/>
                      <wp:cNvGraphicFramePr/>
                      <a:graphic xmlns:a="http://schemas.openxmlformats.org/drawingml/2006/main">
                        <a:graphicData uri="http://schemas.microsoft.com/office/word/2010/wordprocessingShape">
                          <wps:wsp>
                            <wps:cNvCnPr/>
                            <wps:spPr>
                              <a:xfrm flipH="1">
                                <a:off x="3034030" y="1461770"/>
                                <a:ext cx="2202815" cy="1480185"/>
                              </a:xfrm>
                              <a:prstGeom prst="straightConnector1">
                                <a:avLst/>
                              </a:prstGeom>
                              <a:ln>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5.4pt;margin-top:32.3pt;height:116.55pt;width:173.45pt;z-index:251668480;mso-width-relative:page;mso-height-relative:page;" filled="f" stroked="t" coordsize="21600,21600" o:gfxdata="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fTio1gAAAAoBAAAPAAAAAAAAAAEAIAAAACIAAABkcnMvZG93bnJl&#10;di54bWxQSwECFAAUAAAACACHTuJAcV/a7DgCAAAqBAAADgAAAAAAAAABACAAAAAlAQAAZHJzL2Uy&#10;b0RvYy54bWxQSwUGAAAAAAYABgBZAQAAzwUAAAAA&#10;">
                      <v:fill on="f" focussize="0,0"/>
                      <v:stroke weight="1pt" color="#4874CB [3204]" miterlimit="8" joinstyle="miter" endarrow="block"/>
                      <v:imagedata o:title=""/>
                      <o:lock v:ext="edit" aspectratio="f"/>
                    </v:shape>
                  </w:pict>
                </mc:Fallback>
              </mc:AlternateContent>
            </w:r>
          </w:p>
          <w:p w14:paraId="3C93D654">
            <w:pPr>
              <w:kinsoku/>
              <w:ind w:left="482" w:hanging="482" w:hangingChars="200"/>
              <w:jc w:val="center"/>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highlight w:val="none"/>
                <w:lang w:eastAsia="zh-CN"/>
              </w:rPr>
              <w:t>图3-1监测点位图</w:t>
            </w:r>
          </w:p>
          <w:p w14:paraId="7689555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②监测日期和监测单位</w:t>
            </w:r>
          </w:p>
          <w:p w14:paraId="014D8DF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Times New Roman"/>
                <w:color w:val="auto"/>
                <w:sz w:val="24"/>
                <w:highlight w:val="none"/>
                <w:lang w:eastAsia="zh-CN"/>
              </w:rPr>
            </w:pPr>
            <w:r>
              <w:rPr>
                <w:rFonts w:ascii="Times New Roman" w:hAnsi="Times New Roman" w:cs="Times New Roman"/>
                <w:color w:val="auto"/>
                <w:sz w:val="24"/>
                <w:highlight w:val="none"/>
                <w:lang w:eastAsia="zh-CN"/>
              </w:rPr>
              <w:t>安</w:t>
            </w:r>
            <w:r>
              <w:rPr>
                <w:rFonts w:ascii="Times New Roman" w:hAnsi="Times New Roman" w:cs="Times New Roman"/>
                <w:color w:val="auto"/>
                <w:sz w:val="24"/>
                <w:highlight w:val="none"/>
              </w:rPr>
              <w:t>徽</w:t>
            </w:r>
            <w:r>
              <w:rPr>
                <w:rFonts w:hint="eastAsia" w:ascii="Times New Roman" w:hAnsi="Times New Roman" w:eastAsia="宋体" w:cs="Times New Roman"/>
                <w:color w:val="auto"/>
                <w:sz w:val="24"/>
                <w:highlight w:val="none"/>
                <w:lang w:eastAsia="zh-CN"/>
              </w:rPr>
              <w:t>中职</w:t>
            </w:r>
            <w:r>
              <w:rPr>
                <w:rFonts w:ascii="Times New Roman" w:hAnsi="Times New Roman" w:cs="Times New Roman"/>
                <w:color w:val="auto"/>
                <w:sz w:val="24"/>
                <w:highlight w:val="none"/>
                <w:lang w:eastAsia="zh-CN"/>
              </w:rPr>
              <w:t>检测</w:t>
            </w:r>
            <w:r>
              <w:rPr>
                <w:rFonts w:ascii="Times New Roman" w:hAnsi="Times New Roman" w:cs="Times New Roman"/>
                <w:color w:val="auto"/>
                <w:sz w:val="24"/>
                <w:highlight w:val="none"/>
              </w:rPr>
              <w:t>科技有限公司</w:t>
            </w:r>
            <w:r>
              <w:rPr>
                <w:rFonts w:ascii="Times New Roman" w:hAnsi="Times New Roman" w:eastAsia="宋体" w:cs="Times New Roman"/>
                <w:color w:val="auto"/>
                <w:sz w:val="24"/>
                <w:highlight w:val="none"/>
                <w:lang w:eastAsia="zh-CN"/>
              </w:rPr>
              <w:t>分别于</w:t>
            </w:r>
            <w:r>
              <w:rPr>
                <w:rFonts w:ascii="Times New Roman" w:hAnsi="Times New Roman" w:cs="Times New Roman"/>
                <w:color w:val="auto"/>
                <w:sz w:val="24"/>
                <w:highlight w:val="none"/>
              </w:rPr>
              <w:t>202</w:t>
            </w:r>
            <w:r>
              <w:rPr>
                <w:rFonts w:hint="eastAsia" w:ascii="Times New Roman" w:hAnsi="Times New Roman" w:eastAsia="宋体" w:cs="Times New Roman"/>
                <w:color w:val="auto"/>
                <w:sz w:val="24"/>
                <w:highlight w:val="none"/>
                <w:lang w:eastAsia="zh-CN"/>
              </w:rPr>
              <w:t>5</w:t>
            </w:r>
            <w:r>
              <w:rPr>
                <w:rFonts w:ascii="Times New Roman" w:hAnsi="Times New Roman" w:cs="Times New Roman"/>
                <w:color w:val="auto"/>
                <w:sz w:val="24"/>
                <w:highlight w:val="none"/>
              </w:rPr>
              <w:t>年</w:t>
            </w:r>
            <w:r>
              <w:rPr>
                <w:rFonts w:hint="eastAsia" w:ascii="Times New Roman" w:hAnsi="Times New Roman" w:eastAsia="宋体" w:cs="Times New Roman"/>
                <w:color w:val="auto"/>
                <w:sz w:val="24"/>
                <w:highlight w:val="none"/>
                <w:lang w:eastAsia="zh-CN"/>
              </w:rPr>
              <w:t>3</w:t>
            </w:r>
            <w:r>
              <w:rPr>
                <w:rFonts w:ascii="Times New Roman" w:hAnsi="Times New Roman" w:cs="Times New Roman"/>
                <w:color w:val="auto"/>
                <w:sz w:val="24"/>
                <w:highlight w:val="none"/>
              </w:rPr>
              <w:t>月</w:t>
            </w:r>
            <w:r>
              <w:rPr>
                <w:rFonts w:hint="eastAsia" w:ascii="Times New Roman" w:hAnsi="Times New Roman" w:eastAsia="宋体" w:cs="Times New Roman"/>
                <w:color w:val="auto"/>
                <w:sz w:val="24"/>
                <w:highlight w:val="none"/>
                <w:lang w:eastAsia="zh-CN"/>
              </w:rPr>
              <w:t>3</w:t>
            </w:r>
            <w:r>
              <w:rPr>
                <w:rFonts w:ascii="Times New Roman" w:hAnsi="Times New Roman" w:cs="Times New Roman"/>
                <w:color w:val="auto"/>
                <w:sz w:val="24"/>
                <w:highlight w:val="none"/>
              </w:rPr>
              <w:t>日-</w:t>
            </w:r>
            <w:r>
              <w:rPr>
                <w:rFonts w:hint="eastAsia" w:cs="Times New Roman"/>
                <w:color w:val="auto"/>
                <w:sz w:val="24"/>
                <w:highlight w:val="none"/>
                <w:lang w:val="en-US" w:eastAsia="zh-CN"/>
              </w:rPr>
              <w:t>0</w:t>
            </w:r>
            <w:r>
              <w:rPr>
                <w:rFonts w:hint="eastAsia" w:ascii="Times New Roman" w:hAnsi="Times New Roman" w:eastAsia="宋体" w:cs="Times New Roman"/>
                <w:color w:val="auto"/>
                <w:sz w:val="24"/>
                <w:highlight w:val="none"/>
                <w:lang w:eastAsia="zh-CN"/>
              </w:rPr>
              <w:t>5</w:t>
            </w:r>
            <w:r>
              <w:rPr>
                <w:rFonts w:ascii="Times New Roman" w:hAnsi="Times New Roman" w:cs="Times New Roman"/>
                <w:color w:val="auto"/>
                <w:sz w:val="24"/>
                <w:highlight w:val="none"/>
              </w:rPr>
              <w:t>日</w:t>
            </w:r>
            <w:r>
              <w:rPr>
                <w:rFonts w:ascii="Times New Roman" w:hAnsi="Times New Roman" w:eastAsia="宋体" w:cs="Times New Roman"/>
                <w:color w:val="auto"/>
                <w:sz w:val="24"/>
                <w:highlight w:val="none"/>
                <w:lang w:eastAsia="zh-CN"/>
              </w:rPr>
              <w:t>对项目区大气环境质量现状进行监测。</w:t>
            </w:r>
          </w:p>
          <w:p w14:paraId="7A9292A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③监测因子</w:t>
            </w:r>
          </w:p>
          <w:p w14:paraId="205BF59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非甲烷总烃</w:t>
            </w:r>
          </w:p>
          <w:p w14:paraId="72A0C903">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④监测结果</w:t>
            </w:r>
          </w:p>
          <w:p w14:paraId="1CAE848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color w:val="auto"/>
                <w:sz w:val="24"/>
                <w:highlight w:val="none"/>
                <w:lang w:eastAsia="zh-CN"/>
              </w:rPr>
              <w:t>监测数据如下：</w:t>
            </w:r>
          </w:p>
          <w:p w14:paraId="49604202">
            <w:pPr>
              <w:pStyle w:val="40"/>
              <w:adjustRightInd/>
              <w:snapToGrid/>
              <w:rPr>
                <w:rFonts w:hint="default" w:ascii="Times New Roman" w:hAnsi="Times New Roman" w:eastAsia="宋体" w:cs="Times New Roman"/>
                <w:color w:val="auto"/>
                <w:sz w:val="24"/>
                <w:szCs w:val="32"/>
                <w:highlight w:val="none"/>
                <w:lang w:eastAsia="zh-CN"/>
              </w:rPr>
            </w:pPr>
            <w:r>
              <w:rPr>
                <w:rFonts w:hint="default" w:ascii="Times New Roman" w:hAnsi="Times New Roman" w:cs="Times New Roman"/>
                <w:color w:val="auto"/>
                <w:sz w:val="24"/>
                <w:szCs w:val="32"/>
                <w:highlight w:val="none"/>
              </w:rPr>
              <w:t>表3-3 现状监测结果表</w:t>
            </w:r>
            <w:r>
              <w:rPr>
                <w:rFonts w:hint="default" w:ascii="Times New Roman" w:hAnsi="Times New Roman" w:eastAsia="宋体" w:cs="Times New Roman"/>
                <w:color w:val="auto"/>
                <w:sz w:val="24"/>
                <w:szCs w:val="32"/>
                <w:highlight w:val="none"/>
                <w:lang w:eastAsia="zh-CN"/>
              </w:rPr>
              <w:t>（小时均值）检测结果</w:t>
            </w:r>
          </w:p>
          <w:tbl>
            <w:tblPr>
              <w:tblStyle w:val="25"/>
              <w:tblW w:w="8484" w:type="dxa"/>
              <w:tblInd w:w="0" w:type="dxa"/>
              <w:tblLayout w:type="fixed"/>
              <w:tblCellMar>
                <w:top w:w="0" w:type="dxa"/>
                <w:left w:w="108" w:type="dxa"/>
                <w:bottom w:w="0" w:type="dxa"/>
                <w:right w:w="108" w:type="dxa"/>
              </w:tblCellMar>
            </w:tblPr>
            <w:tblGrid>
              <w:gridCol w:w="1439"/>
              <w:gridCol w:w="1434"/>
              <w:gridCol w:w="1368"/>
              <w:gridCol w:w="1833"/>
              <w:gridCol w:w="1127"/>
              <w:gridCol w:w="1283"/>
            </w:tblGrid>
            <w:tr w14:paraId="3F008F9F">
              <w:tblPrEx>
                <w:tblCellMar>
                  <w:top w:w="0" w:type="dxa"/>
                  <w:left w:w="108" w:type="dxa"/>
                  <w:bottom w:w="0" w:type="dxa"/>
                  <w:right w:w="108" w:type="dxa"/>
                </w:tblCellMar>
              </w:tblPrEx>
              <w:trPr>
                <w:trHeight w:val="397" w:hRule="atLeast"/>
              </w:trPr>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EF5CD">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采样日期</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62552">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检测项目</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E97B1">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采样点位</w:t>
                  </w: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49BFF">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样品编号</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F5371">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检测结果</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089C9">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单位</w:t>
                  </w:r>
                </w:p>
              </w:tc>
            </w:tr>
            <w:tr w14:paraId="63A77F7D">
              <w:tblPrEx>
                <w:tblCellMar>
                  <w:top w:w="0" w:type="dxa"/>
                  <w:left w:w="108" w:type="dxa"/>
                  <w:bottom w:w="0" w:type="dxa"/>
                  <w:right w:w="108" w:type="dxa"/>
                </w:tblCellMar>
              </w:tblPrEx>
              <w:trPr>
                <w:trHeight w:val="397"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1C5AF6">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2025.03.03</w:t>
                  </w:r>
                </w:p>
              </w:tc>
              <w:tc>
                <w:tcPr>
                  <w:tcW w:w="8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A75B64">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非甲烷总烃</w:t>
                  </w:r>
                </w:p>
              </w:tc>
              <w:tc>
                <w:tcPr>
                  <w:tcW w:w="806" w:type="pct"/>
                  <w:vMerge w:val="restart"/>
                  <w:tcBorders>
                    <w:top w:val="single" w:color="000000" w:sz="4" w:space="0"/>
                    <w:left w:val="single" w:color="000000" w:sz="4" w:space="0"/>
                    <w:right w:val="single" w:color="000000" w:sz="4" w:space="0"/>
                  </w:tcBorders>
                  <w:shd w:val="clear" w:color="auto" w:fill="auto"/>
                  <w:vAlign w:val="center"/>
                </w:tcPr>
                <w:p w14:paraId="5A34B7FF">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G1</w:t>
                  </w: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63902">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Q250303Al-1-1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94DEF">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0.22</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BEA91">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7D2E28EB">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E273F">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3DF15">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23E62861">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A74B8">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Q250303Al-1-2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EEDAB">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0.20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ED010">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412C2478">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80105">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17B2E">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6EF47CEF">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58856">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Q250303A1-1-3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6AC6D">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0.15</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CD00A">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483EEBDB">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3115E">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0A25C">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2E2F8B09">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41A82">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Q250303Al-1-4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BD839">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0.18</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63C8F">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26905AB2">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3427C">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3D80C">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414A7908">
                  <w:pPr>
                    <w:jc w:val="center"/>
                    <w:textAlignment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4440B">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Q250303A1-2-1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38BEE">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0.14</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9A5CA">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7B1F2410">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E0794">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0E854">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4F1DF75D">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21D4B">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Q250303A1-2-2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69760">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0.19</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580FE">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5DC3FF09">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63B89">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49F78">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38358A0C">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B2E9E">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Q250303Al-2-3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FC27D">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0.19</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57B8B">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102D59B3">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F21FE">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DDB28">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64B99C83">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3CB7D">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Q250303A1-2-4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134C4">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0.16</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96478">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1EC7FBA9">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16BF1">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82A56">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49A5C43B">
                  <w:pPr>
                    <w:jc w:val="center"/>
                    <w:textAlignment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70079">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Q250303A1-3-1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A8564">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0.19</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78C18">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3A721076">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7EAC2">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FD087">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163A9281">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62143">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Q250303A1-3-2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6689E">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0.19</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79488">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11F82EE6">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E73B3">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750F9">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74082F93">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0D9D5">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Q250303A1-3-3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6B40E">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0.20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7C6C8">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6D75D344">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B3F90">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CD74F">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1CA9871A">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4B0A1">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Q250303A1-3-4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62C08">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0.20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8CD7A">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1BFE4201">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22660">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6D4F1">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16BAE272">
                  <w:pPr>
                    <w:jc w:val="center"/>
                    <w:textAlignment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6557B">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Q250303A1-4-1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A89D1">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0.13</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5B223">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674B61A3">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C0F65">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25C31">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7E0C4B69">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19804">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Q250303A1-4-2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172FF">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0.16</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12E05">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309B4F8D">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BFCEB">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CDEB7">
                  <w:pPr>
                    <w:jc w:val="center"/>
                    <w:rPr>
                      <w:rFonts w:ascii="Times New Roman" w:hAnsi="Times New Roman" w:eastAsia="宋体" w:cs="Times New Roman"/>
                      <w:color w:val="auto"/>
                      <w:highlight w:val="none"/>
                    </w:rPr>
                  </w:pPr>
                </w:p>
              </w:tc>
              <w:tc>
                <w:tcPr>
                  <w:tcW w:w="806" w:type="pct"/>
                  <w:vMerge w:val="continue"/>
                  <w:tcBorders>
                    <w:left w:val="single" w:color="000000" w:sz="4" w:space="0"/>
                    <w:right w:val="single" w:color="000000" w:sz="4" w:space="0"/>
                  </w:tcBorders>
                  <w:shd w:val="clear" w:color="auto" w:fill="auto"/>
                  <w:vAlign w:val="center"/>
                </w:tcPr>
                <w:p w14:paraId="674A862C">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05C00">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Q250303A1-4-3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12B27">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0.19</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19D72">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7F417E3C">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88BAF">
                  <w:pPr>
                    <w:jc w:val="center"/>
                    <w:rPr>
                      <w:rFonts w:ascii="Times New Roman" w:hAnsi="Times New Roman" w:eastAsia="宋体" w:cs="Times New Roman"/>
                      <w:color w:val="auto"/>
                      <w:highlight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9ACCB8">
                  <w:pPr>
                    <w:jc w:val="center"/>
                    <w:rPr>
                      <w:rFonts w:ascii="Times New Roman" w:hAnsi="Times New Roman" w:eastAsia="宋体" w:cs="Times New Roman"/>
                      <w:color w:val="auto"/>
                      <w:highlight w:val="none"/>
                    </w:rPr>
                  </w:pPr>
                </w:p>
              </w:tc>
              <w:tc>
                <w:tcPr>
                  <w:tcW w:w="806" w:type="pct"/>
                  <w:vMerge w:val="continue"/>
                  <w:tcBorders>
                    <w:left w:val="single" w:color="000000" w:sz="4" w:space="0"/>
                    <w:bottom w:val="single" w:color="000000" w:sz="4" w:space="0"/>
                    <w:right w:val="single" w:color="000000" w:sz="4" w:space="0"/>
                  </w:tcBorders>
                  <w:shd w:val="clear" w:color="auto" w:fill="auto"/>
                  <w:vAlign w:val="center"/>
                </w:tcPr>
                <w:p w14:paraId="1A818E96">
                  <w:pPr>
                    <w:jc w:val="center"/>
                    <w:rPr>
                      <w:rFonts w:ascii="Times New Roman" w:hAnsi="Times New Roman" w:eastAsia="宋体" w:cs="Times New Roman"/>
                      <w:color w:val="auto"/>
                      <w:highlight w:val="none"/>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1D802">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Q250303A1-4-4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EC4FA">
                  <w:pPr>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0.20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B9352">
                  <w:pPr>
                    <w:jc w:val="center"/>
                    <w:textAlignment w:val="center"/>
                    <w:rPr>
                      <w:rFonts w:ascii="Times New Roman" w:hAnsi="Times New Roman" w:eastAsia="宋体" w:cs="Times New Roman"/>
                      <w:color w:val="auto"/>
                      <w:highlight w:val="none"/>
                    </w:rPr>
                  </w:pPr>
                  <w:r>
                    <w:rPr>
                      <w:rStyle w:val="71"/>
                      <w:rFonts w:ascii="Times New Roman" w:hAnsi="Times New Roman" w:cs="Times New Roman"/>
                      <w:color w:val="auto"/>
                      <w:sz w:val="21"/>
                      <w:szCs w:val="21"/>
                      <w:highlight w:val="none"/>
                      <w:lang w:eastAsia="zh-CN" w:bidi="ar"/>
                    </w:rPr>
                    <w:t>mg/m³</w:t>
                  </w:r>
                </w:p>
              </w:tc>
            </w:tr>
            <w:tr w14:paraId="088B5078">
              <w:tblPrEx>
                <w:tblCellMar>
                  <w:top w:w="0" w:type="dxa"/>
                  <w:left w:w="108" w:type="dxa"/>
                  <w:bottom w:w="0" w:type="dxa"/>
                  <w:right w:w="108" w:type="dxa"/>
                </w:tblCellMar>
              </w:tblPrEx>
              <w:trPr>
                <w:trHeight w:val="397"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7B7A82">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2025.03.04</w:t>
                  </w:r>
                </w:p>
              </w:tc>
              <w:tc>
                <w:tcPr>
                  <w:tcW w:w="8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2BFD74">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非甲烷总烃</w:t>
                  </w:r>
                </w:p>
              </w:tc>
              <w:tc>
                <w:tcPr>
                  <w:tcW w:w="806" w:type="pct"/>
                  <w:vMerge w:val="restart"/>
                  <w:tcBorders>
                    <w:top w:val="single" w:color="000000" w:sz="4" w:space="0"/>
                    <w:left w:val="single" w:color="000000" w:sz="4" w:space="0"/>
                    <w:right w:val="single" w:color="000000" w:sz="4" w:space="0"/>
                  </w:tcBorders>
                  <w:shd w:val="clear" w:color="auto" w:fill="auto"/>
                  <w:vAlign w:val="center"/>
                </w:tcPr>
                <w:p w14:paraId="2BB2E036">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G1</w:t>
                  </w: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3C94D">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Q250304A1-1-1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D2590">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0.23</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32BA6">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43526D53">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FD011">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83A28">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3114451C">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60C89">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Q250304A1-1-2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AF60E">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0.23</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1CF11">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7F07DC2E">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7801E">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B4BFF">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2819AB47">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59892">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Q250304A1-1-3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29F6B">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0.25</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561F5">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629B7180">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7561E">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A7272">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47A8BB1D">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BC423">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Q250304A1-1-4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DA03F">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0.25</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B1C5E">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5AACCFD9">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84FAE">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769C0">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6206F2D6">
                  <w:pPr>
                    <w:adjustRightInd/>
                    <w:snapToGrid/>
                    <w:jc w:val="center"/>
                    <w:textAlignment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9D186">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Q250304A1-2-1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43F43">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0.18</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DE3EB">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2587D532">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E832A">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167BD">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03F2C52C">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4F30F">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Q250304A1-2-2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C2382">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0.18</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DB3D4">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0AB57CCD">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FEC64">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87D3A">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57B35375">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ED751">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Q250304A1-2-3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79C11">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F9072">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4A1A4319">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72470">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9A542">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412B09D9">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BC6BD">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Q250304A1-2-4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FF12B">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0.18</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3A8E4">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5EF7A1B3">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7CCB4">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28762">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575A23EE">
                  <w:pPr>
                    <w:adjustRightInd/>
                    <w:snapToGrid/>
                    <w:jc w:val="center"/>
                    <w:textAlignment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2E355">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Q250304A1-3-1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46EF5">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0.22</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F1146">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262F6FC1">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8B025">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7D8E0">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27854ACA">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8E813">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Q250304A1-3-2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7A99A">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278D9">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50395FEE">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A5423">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48E6B">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2A10C2A1">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585EE">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Q250304A1-3-3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B550C">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0.22</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712E8">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77456843">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55753">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48DB5">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3286779C">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0BE72">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Q250304A1-3-4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439E2">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0.16</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D84D5">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17A7C8E0">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9487A">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10279">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6BAE31AC">
                  <w:pPr>
                    <w:adjustRightInd/>
                    <w:snapToGrid/>
                    <w:jc w:val="center"/>
                    <w:textAlignment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F4141">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Q250304A1-4-1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B3EAE">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9F60E">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30EFA06A">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35D49">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11D06">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6489092F">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4ACD0">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Q250304A1-4-2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EA43D">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0.15</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98F54">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6FAB67F1">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45233">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9EF18">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7BCA558A">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EFEB5">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Q250304A1-4-3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16FE2">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0.13</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DBC24">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76E81913">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45940">
                  <w:pPr>
                    <w:adjustRightInd/>
                    <w:snapToGrid/>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DC372">
                  <w:pPr>
                    <w:adjustRightInd/>
                    <w:snapToGrid/>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bottom w:val="single" w:color="000000" w:sz="4" w:space="0"/>
                    <w:right w:val="single" w:color="000000" w:sz="4" w:space="0"/>
                  </w:tcBorders>
                  <w:shd w:val="clear" w:color="auto" w:fill="auto"/>
                  <w:vAlign w:val="center"/>
                </w:tcPr>
                <w:p w14:paraId="26FEBCF2">
                  <w:pPr>
                    <w:adjustRightInd/>
                    <w:snapToGrid/>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F8CF4">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Q250304A1-4-4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9C6C9">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0.19</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FEBA8">
                  <w:pPr>
                    <w:adjustRightInd/>
                    <w:snapToGrid/>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1FC21689">
              <w:tblPrEx>
                <w:tblCellMar>
                  <w:top w:w="0" w:type="dxa"/>
                  <w:left w:w="108" w:type="dxa"/>
                  <w:bottom w:w="0" w:type="dxa"/>
                  <w:right w:w="108" w:type="dxa"/>
                </w:tblCellMar>
              </w:tblPrEx>
              <w:trPr>
                <w:trHeight w:val="397" w:hRule="atLeast"/>
              </w:trPr>
              <w:tc>
                <w:tcPr>
                  <w:tcW w:w="8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FA7959">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2025.03.05</w:t>
                  </w:r>
                </w:p>
              </w:tc>
              <w:tc>
                <w:tcPr>
                  <w:tcW w:w="8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0A4BC0">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非甲烷总烃</w:t>
                  </w:r>
                </w:p>
              </w:tc>
              <w:tc>
                <w:tcPr>
                  <w:tcW w:w="806" w:type="pct"/>
                  <w:vMerge w:val="restart"/>
                  <w:tcBorders>
                    <w:top w:val="single" w:color="000000" w:sz="4" w:space="0"/>
                    <w:left w:val="single" w:color="000000" w:sz="4" w:space="0"/>
                    <w:right w:val="single" w:color="000000" w:sz="4" w:space="0"/>
                  </w:tcBorders>
                  <w:shd w:val="clear" w:color="auto" w:fill="auto"/>
                  <w:vAlign w:val="center"/>
                </w:tcPr>
                <w:p w14:paraId="2A7C88AC">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G1</w:t>
                  </w: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59FB1">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Q250305A1-1-1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951BD">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0.17</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FC717">
                  <w:pPr>
                    <w:adjustRightInd/>
                    <w:snapToGrid/>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59D3E8D8">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DADE4">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3CE66">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0264F68D">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C18EF">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Q250305A1-1-2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D481F">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0.16</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370D9">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43285927">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C4A45">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60B89">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1E7BFD05">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3A908">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Q250305A1-1-3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74031">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0.17</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6B444">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4DAC5E0D">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933DC">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4ED31">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7AD464B3">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A0B94">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Q250305A1-1-4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3EE3E">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0.14</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79D20">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5CC2F429">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2BFAB">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3E384">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3FD51F1E">
                  <w:pPr>
                    <w:jc w:val="center"/>
                    <w:textAlignment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BEADD">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Q250305A1-2-1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6D695">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0.21</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9D8B6">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22F06BE1">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6C408">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40EE9">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5DFC04E1">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873BB">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Q250305A1-2-2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E78F1">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0.14</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EB6E8">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11B2AEEE">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3448C">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B0B12">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597165A3">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69EA8">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Q250305A1-2-3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888A6">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0.16</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2B48F">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2680F4CD">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C3988">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00274">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0760BC3C">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A8827">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Q250305A1-2-4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E511B">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0.15</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F6997">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557D2F74">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444AD">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8C88F">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6E43082A">
                  <w:pPr>
                    <w:jc w:val="center"/>
                    <w:textAlignment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FA7FE">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Q250305A1-3-1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E4843">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0.16</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AE327">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5B08A0AD">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F45F0">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A9105">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1B329E5F">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DACDA">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Q250305A1-3-2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BA821">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0.15</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1FC4A">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75CF61EB">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7B3F2">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67D75">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7FF7EA77">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616A2">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Q250305A1-3-3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2D90E">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0.13</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F498F">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7FB01B1E">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5F8B1">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BFC35">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63954749">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BD71B">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Q250305A1-3-4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5B7D8">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0.15</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05749">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100ECADA">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AC8D6">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038B3">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51F26107">
                  <w:pPr>
                    <w:jc w:val="center"/>
                    <w:textAlignment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7B508">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Q250305A1-4-1</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02452">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0.18</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DB3D5">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60C9305C">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94109">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5DC46">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04EF0709">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56A8E">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Q250305A1-4-2</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77741">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0.15</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C7807">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74A0E363">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DA6BC">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56F30">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right w:val="single" w:color="000000" w:sz="4" w:space="0"/>
                  </w:tcBorders>
                  <w:shd w:val="clear" w:color="auto" w:fill="auto"/>
                  <w:vAlign w:val="center"/>
                </w:tcPr>
                <w:p w14:paraId="0D59D515">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84ACC">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Q250305A1-4-3</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417BE">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0.18</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E1AC9">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r w14:paraId="424C9D1F">
              <w:tblPrEx>
                <w:tblCellMar>
                  <w:top w:w="0" w:type="dxa"/>
                  <w:left w:w="108" w:type="dxa"/>
                  <w:bottom w:w="0" w:type="dxa"/>
                  <w:right w:w="108" w:type="dxa"/>
                </w:tblCellMar>
              </w:tblPrEx>
              <w:trPr>
                <w:trHeight w:val="397" w:hRule="atLeast"/>
              </w:trPr>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81EEC">
                  <w:pPr>
                    <w:jc w:val="center"/>
                    <w:rPr>
                      <w:rStyle w:val="71"/>
                      <w:rFonts w:ascii="Times New Roman" w:hAnsi="Times New Roman" w:cs="Times New Roman"/>
                      <w:color w:val="auto"/>
                      <w:sz w:val="21"/>
                      <w:szCs w:val="21"/>
                      <w:highlight w:val="none"/>
                      <w:lang w:eastAsia="zh-CN" w:bidi="ar"/>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61686">
                  <w:pPr>
                    <w:jc w:val="center"/>
                    <w:rPr>
                      <w:rStyle w:val="71"/>
                      <w:rFonts w:ascii="Times New Roman" w:hAnsi="Times New Roman" w:cs="Times New Roman"/>
                      <w:color w:val="auto"/>
                      <w:sz w:val="21"/>
                      <w:szCs w:val="21"/>
                      <w:highlight w:val="none"/>
                      <w:lang w:eastAsia="zh-CN" w:bidi="ar"/>
                    </w:rPr>
                  </w:pPr>
                </w:p>
              </w:tc>
              <w:tc>
                <w:tcPr>
                  <w:tcW w:w="806" w:type="pct"/>
                  <w:vMerge w:val="continue"/>
                  <w:tcBorders>
                    <w:left w:val="single" w:color="000000" w:sz="4" w:space="0"/>
                    <w:bottom w:val="single" w:color="000000" w:sz="4" w:space="0"/>
                    <w:right w:val="single" w:color="000000" w:sz="4" w:space="0"/>
                  </w:tcBorders>
                  <w:shd w:val="clear" w:color="auto" w:fill="auto"/>
                  <w:vAlign w:val="center"/>
                </w:tcPr>
                <w:p w14:paraId="67A70764">
                  <w:pPr>
                    <w:jc w:val="center"/>
                    <w:rPr>
                      <w:rStyle w:val="71"/>
                      <w:rFonts w:ascii="Times New Roman" w:hAnsi="Times New Roman" w:cs="Times New Roman"/>
                      <w:color w:val="auto"/>
                      <w:sz w:val="21"/>
                      <w:szCs w:val="21"/>
                      <w:highlight w:val="none"/>
                      <w:lang w:eastAsia="zh-CN" w:bidi="ar"/>
                    </w:rPr>
                  </w:pP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45B12">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Q250305A1-4-4</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9933E">
                  <w:pPr>
                    <w:jc w:val="center"/>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0.16</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BAA1E">
                  <w:pPr>
                    <w:ind w:firstLine="210" w:firstLineChars="100"/>
                    <w:jc w:val="both"/>
                    <w:textAlignment w:val="center"/>
                    <w:rPr>
                      <w:rStyle w:val="71"/>
                      <w:rFonts w:ascii="Times New Roman" w:hAnsi="Times New Roman" w:cs="Times New Roman"/>
                      <w:color w:val="auto"/>
                      <w:sz w:val="21"/>
                      <w:szCs w:val="21"/>
                      <w:highlight w:val="none"/>
                      <w:lang w:eastAsia="zh-CN" w:bidi="ar"/>
                    </w:rPr>
                  </w:pPr>
                  <w:r>
                    <w:rPr>
                      <w:rStyle w:val="71"/>
                      <w:rFonts w:ascii="Times New Roman" w:hAnsi="Times New Roman" w:cs="Times New Roman"/>
                      <w:color w:val="auto"/>
                      <w:sz w:val="21"/>
                      <w:szCs w:val="21"/>
                      <w:highlight w:val="none"/>
                      <w:lang w:eastAsia="zh-CN" w:bidi="ar"/>
                    </w:rPr>
                    <w:t>mg/m³</w:t>
                  </w:r>
                </w:p>
              </w:tc>
            </w:tr>
          </w:tbl>
          <w:p w14:paraId="23898F17">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现状监测结果表明：非甲烷总烃监测浓度符合《大气污染物综合排放标准》详解中的要求；</w:t>
            </w:r>
          </w:p>
          <w:p w14:paraId="11C4369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本项目TSP</w:t>
            </w:r>
            <w:r>
              <w:rPr>
                <w:rFonts w:hint="eastAsia" w:cs="Times New Roman"/>
                <w:color w:val="auto"/>
                <w:sz w:val="24"/>
                <w:highlight w:val="none"/>
                <w:lang w:eastAsia="zh-CN"/>
              </w:rPr>
              <w:t>引用</w:t>
            </w:r>
            <w:r>
              <w:rPr>
                <w:rFonts w:hint="default" w:ascii="Times New Roman" w:hAnsi="Times New Roman" w:eastAsia="宋体" w:cs="Times New Roman"/>
                <w:color w:val="auto"/>
                <w:sz w:val="24"/>
                <w:szCs w:val="24"/>
                <w:highlight w:val="none"/>
              </w:rPr>
              <w:t>安徽皖北康复医院燃气锅炉建设项目现状监测数据，监测时间为2024年8月23日至2024年8月26日，位于项目东南侧约48</w:t>
            </w:r>
            <w:r>
              <w:rPr>
                <w:rFonts w:hint="eastAsia" w:ascii="Times New Roman" w:hAnsi="Times New Roman" w:eastAsia="宋体"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m</w:t>
            </w:r>
            <w:r>
              <w:rPr>
                <w:rFonts w:hint="eastAsia"/>
                <w:color w:val="auto"/>
                <w:highlight w:val="none"/>
                <w:lang w:eastAsia="zh-CN"/>
              </w:rPr>
              <w:t>，</w:t>
            </w:r>
            <w:r>
              <w:rPr>
                <w:rFonts w:hint="default" w:ascii="Times New Roman" w:hAnsi="Times New Roman" w:cs="Times New Roman"/>
                <w:color w:val="auto"/>
                <w:sz w:val="24"/>
                <w:highlight w:val="none"/>
              </w:rPr>
              <w:t>符合“引用建设项目周边5千米范围内近3年的现有监测数据”的要求</w:t>
            </w:r>
            <w:r>
              <w:rPr>
                <w:rFonts w:hint="default" w:ascii="Times New Roman" w:hAnsi="Times New Roman" w:eastAsia="宋体" w:cs="Times New Roman"/>
                <w:color w:val="auto"/>
                <w:sz w:val="24"/>
                <w:szCs w:val="24"/>
                <w:highlight w:val="none"/>
                <w:lang w:val="en-US" w:eastAsia="zh-CN"/>
              </w:rPr>
              <w:t>。</w:t>
            </w:r>
          </w:p>
          <w:p w14:paraId="70A125AB">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①监测点位</w:t>
            </w:r>
          </w:p>
          <w:p w14:paraId="6528F2D2">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szCs w:val="24"/>
                <w:highlight w:val="none"/>
                <w:lang w:eastAsia="zh-CN"/>
              </w:rPr>
              <w:t>表3-4</w:t>
            </w:r>
            <w:r>
              <w:rPr>
                <w:rFonts w:hint="eastAsia" w:ascii="Times New Roman" w:hAnsi="Times New Roman" w:eastAsia="宋体" w:cs="Times New Roman"/>
                <w:b/>
                <w:bCs/>
                <w:color w:val="auto"/>
                <w:sz w:val="24"/>
                <w:szCs w:val="24"/>
                <w:highlight w:val="none"/>
                <w:lang w:eastAsia="zh-CN"/>
              </w:rPr>
              <w:t xml:space="preserve"> </w:t>
            </w:r>
            <w:r>
              <w:rPr>
                <w:rFonts w:ascii="Times New Roman" w:hAnsi="Times New Roman" w:eastAsia="宋体" w:cs="Times New Roman"/>
                <w:b/>
                <w:bCs/>
                <w:color w:val="auto"/>
                <w:sz w:val="24"/>
                <w:szCs w:val="24"/>
                <w:highlight w:val="none"/>
                <w:lang w:eastAsia="zh-CN"/>
              </w:rPr>
              <w:t>监测点位分布</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984"/>
              <w:gridCol w:w="2048"/>
              <w:gridCol w:w="2048"/>
            </w:tblGrid>
            <w:tr w14:paraId="2FBF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Align w:val="center"/>
                </w:tcPr>
                <w:p w14:paraId="598D9E63">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3002" w:type="dxa"/>
                  <w:vAlign w:val="center"/>
                </w:tcPr>
                <w:p w14:paraId="6F9F1788">
                  <w:pPr>
                    <w:kinsoku/>
                    <w:jc w:val="center"/>
                    <w:rPr>
                      <w:rFonts w:ascii="Times New Roman" w:hAnsi="Times New Roman" w:eastAsia="宋体" w:cs="Times New Roman"/>
                      <w:color w:val="auto"/>
                      <w:highlight w:val="none"/>
                    </w:rPr>
                  </w:pPr>
                  <w:r>
                    <w:rPr>
                      <w:rFonts w:hint="eastAsia" w:cs="Times New Roman"/>
                      <w:color w:val="auto"/>
                      <w:highlight w:val="none"/>
                      <w:lang w:val="en-US" w:eastAsia="zh-CN"/>
                    </w:rPr>
                    <w:t>引用</w:t>
                  </w:r>
                  <w:r>
                    <w:rPr>
                      <w:rFonts w:ascii="Times New Roman" w:hAnsi="Times New Roman" w:eastAsia="宋体" w:cs="Times New Roman"/>
                      <w:color w:val="auto"/>
                      <w:highlight w:val="none"/>
                    </w:rPr>
                    <w:t>监测点位</w:t>
                  </w:r>
                </w:p>
              </w:tc>
              <w:tc>
                <w:tcPr>
                  <w:tcW w:w="2060" w:type="dxa"/>
                  <w:vAlign w:val="center"/>
                </w:tcPr>
                <w:p w14:paraId="4A6B5DF2">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方位</w:t>
                  </w:r>
                </w:p>
              </w:tc>
              <w:tc>
                <w:tcPr>
                  <w:tcW w:w="2060" w:type="dxa"/>
                  <w:vAlign w:val="center"/>
                </w:tcPr>
                <w:p w14:paraId="495AA5D3">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距离</w:t>
                  </w:r>
                </w:p>
              </w:tc>
            </w:tr>
            <w:tr w14:paraId="0CD3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Align w:val="center"/>
                </w:tcPr>
                <w:p w14:paraId="3AEE3AFC">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3002" w:type="dxa"/>
                  <w:vAlign w:val="center"/>
                </w:tcPr>
                <w:p w14:paraId="57D3FF70">
                  <w:pPr>
                    <w:kinsoku/>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rPr>
                    <w:t>安徽皖北康复医院</w:t>
                  </w:r>
                </w:p>
              </w:tc>
              <w:tc>
                <w:tcPr>
                  <w:tcW w:w="2060" w:type="dxa"/>
                  <w:vAlign w:val="center"/>
                </w:tcPr>
                <w:p w14:paraId="34487F85">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西南</w:t>
                  </w:r>
                </w:p>
              </w:tc>
              <w:tc>
                <w:tcPr>
                  <w:tcW w:w="2060" w:type="dxa"/>
                  <w:vAlign w:val="center"/>
                </w:tcPr>
                <w:p w14:paraId="23778530">
                  <w:pPr>
                    <w:kinsoku/>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4891</w:t>
                  </w:r>
                  <w:r>
                    <w:rPr>
                      <w:rFonts w:ascii="Times New Roman" w:hAnsi="Times New Roman" w:eastAsia="宋体" w:cs="Times New Roman"/>
                      <w:color w:val="auto"/>
                      <w:highlight w:val="none"/>
                    </w:rPr>
                    <w:t>m</w:t>
                  </w:r>
                </w:p>
              </w:tc>
            </w:tr>
          </w:tbl>
          <w:p w14:paraId="1E9B8A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color w:val="auto"/>
                <w:sz w:val="24"/>
                <w:highlight w:val="none"/>
                <w:lang w:eastAsia="zh-CN"/>
              </w:rPr>
            </w:pPr>
            <w:r>
              <w:rPr>
                <w:color w:val="auto"/>
                <w:highlight w:val="none"/>
              </w:rPr>
              <w:drawing>
                <wp:anchor distT="0" distB="0" distL="114300" distR="114300" simplePos="0" relativeHeight="251666432" behindDoc="0" locked="0" layoutInCell="1" allowOverlap="1">
                  <wp:simplePos x="0" y="0"/>
                  <wp:positionH relativeFrom="column">
                    <wp:posOffset>4571365</wp:posOffset>
                  </wp:positionH>
                  <wp:positionV relativeFrom="paragraph">
                    <wp:posOffset>64135</wp:posOffset>
                  </wp:positionV>
                  <wp:extent cx="497840" cy="526415"/>
                  <wp:effectExtent l="0" t="0" r="5080" b="6985"/>
                  <wp:wrapNone/>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14"/>
                          <a:stretch>
                            <a:fillRect/>
                          </a:stretch>
                        </pic:blipFill>
                        <pic:spPr>
                          <a:xfrm>
                            <a:off x="0" y="0"/>
                            <a:ext cx="497840" cy="526415"/>
                          </a:xfrm>
                          <a:prstGeom prst="rect">
                            <a:avLst/>
                          </a:prstGeom>
                          <a:noFill/>
                          <a:ln>
                            <a:noFill/>
                          </a:ln>
                        </pic:spPr>
                      </pic:pic>
                    </a:graphicData>
                  </a:graphic>
                </wp:anchor>
              </w:drawing>
            </w:r>
            <w:r>
              <w:rPr>
                <w:color w:val="auto"/>
                <w:highlight w:val="none"/>
                <w:lang w:eastAsia="zh-CN"/>
              </w:rPr>
              <mc:AlternateContent>
                <mc:Choice Requires="wps">
                  <w:drawing>
                    <wp:anchor distT="0" distB="0" distL="114300" distR="114300" simplePos="0" relativeHeight="251665408" behindDoc="0" locked="0" layoutInCell="1" allowOverlap="1">
                      <wp:simplePos x="0" y="0"/>
                      <wp:positionH relativeFrom="column">
                        <wp:posOffset>2504440</wp:posOffset>
                      </wp:positionH>
                      <wp:positionV relativeFrom="paragraph">
                        <wp:posOffset>1313180</wp:posOffset>
                      </wp:positionV>
                      <wp:extent cx="656590" cy="276225"/>
                      <wp:effectExtent l="0" t="0" r="0" b="0"/>
                      <wp:wrapNone/>
                      <wp:docPr id="68" name="文本框 68"/>
                      <wp:cNvGraphicFramePr/>
                      <a:graphic xmlns:a="http://schemas.openxmlformats.org/drawingml/2006/main">
                        <a:graphicData uri="http://schemas.microsoft.com/office/word/2010/wordprocessingShape">
                          <wps:wsp>
                            <wps:cNvSpPr txBox="1"/>
                            <wps:spPr>
                              <a:xfrm rot="1080000">
                                <a:off x="0" y="0"/>
                                <a:ext cx="656590" cy="276225"/>
                              </a:xfrm>
                              <a:prstGeom prst="rect">
                                <a:avLst/>
                              </a:prstGeom>
                              <a:noFill/>
                              <a:ln w="6350">
                                <a:noFill/>
                              </a:ln>
                              <a:effectLst/>
                            </wps:spPr>
                            <wps:txbx>
                              <w:txbxContent>
                                <w:p w14:paraId="5F3454D7">
                                  <w:pPr>
                                    <w:rPr>
                                      <w:color w:val="FF0000"/>
                                    </w:rPr>
                                  </w:pPr>
                                  <w:r>
                                    <w:rPr>
                                      <w:rFonts w:hint="eastAsia" w:eastAsia="宋体"/>
                                      <w:color w:val="FF0000"/>
                                      <w:lang w:val="en-US" w:eastAsia="zh-CN"/>
                                    </w:rPr>
                                    <w:t>4891</w:t>
                                  </w:r>
                                  <w:r>
                                    <w:rPr>
                                      <w:rFonts w:hint="eastAsia"/>
                                      <w:color w:val="FF0000"/>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2pt;margin-top:103.4pt;height:21.75pt;width:51.7pt;rotation:1179648f;z-index:251665408;mso-width-relative:page;mso-height-relative:page;" filled="f" stroked="f" coordsize="21600,21600" o:gfxdata="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UzbDO2wAAAAsBAAAPAAAAAAAA&#10;AAEAIAAAACIAAABkcnMvZG93bnJldi54bWxQSwECFAAUAAAACACHTuJAaAxKzkgCAACDBAAADgAA&#10;AAAAAAABACAAAAAqAQAAZHJzL2Uyb0RvYy54bWxQSwUGAAAAAAYABgBZAQAA5AUAAAAA&#10;">
                      <v:fill on="f" focussize="0,0"/>
                      <v:stroke on="f" weight="0.5pt"/>
                      <v:imagedata o:title=""/>
                      <o:lock v:ext="edit" aspectratio="f"/>
                      <v:textbox>
                        <w:txbxContent>
                          <w:p w14:paraId="5F3454D7">
                            <w:pPr>
                              <w:rPr>
                                <w:color w:val="FF0000"/>
                              </w:rPr>
                            </w:pPr>
                            <w:r>
                              <w:rPr>
                                <w:rFonts w:hint="eastAsia" w:eastAsia="宋体"/>
                                <w:color w:val="FF0000"/>
                                <w:lang w:val="en-US" w:eastAsia="zh-CN"/>
                              </w:rPr>
                              <w:t>4891</w:t>
                            </w:r>
                            <w:r>
                              <w:rPr>
                                <w:rFonts w:hint="eastAsia"/>
                                <w:color w:val="FF0000"/>
                              </w:rPr>
                              <w:t>m</w:t>
                            </w:r>
                          </w:p>
                        </w:txbxContent>
                      </v:textbox>
                    </v:shape>
                  </w:pict>
                </mc:Fallback>
              </mc:AlternateContent>
            </w: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401320</wp:posOffset>
                      </wp:positionH>
                      <wp:positionV relativeFrom="paragraph">
                        <wp:posOffset>435610</wp:posOffset>
                      </wp:positionV>
                      <wp:extent cx="3266440" cy="1704340"/>
                      <wp:effectExtent l="3175" t="5715" r="6985" b="12065"/>
                      <wp:wrapNone/>
                      <wp:docPr id="67" name="直接箭头连接符 67"/>
                      <wp:cNvGraphicFramePr/>
                      <a:graphic xmlns:a="http://schemas.openxmlformats.org/drawingml/2006/main">
                        <a:graphicData uri="http://schemas.microsoft.com/office/word/2010/wordprocessingShape">
                          <wps:wsp>
                            <wps:cNvCnPr/>
                            <wps:spPr>
                              <a:xfrm>
                                <a:off x="1356995" y="3794760"/>
                                <a:ext cx="3266440" cy="170434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1.6pt;margin-top:34.3pt;height:134.2pt;width:257.2pt;z-index:251664384;mso-width-relative:page;mso-height-relative:page;" filled="f" stroked="t" coordsize="21600,21600" o:gfxdata="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m0sZ3XAAAACQEA&#10;AA8AAAAAAAAAAQAgAAAAIgAAAGRycy9kb3ducmV2LnhtbFBLAQIUABQAAAAIAIdO4kC7XGZCGwIA&#10;APMDAAAOAAAAAAAAAAEAIAAAACYBAABkcnMvZTJvRG9jLnhtbFBLBQYAAAAABgAGAFkBAACzBQAA&#10;AAA=&#10;">
                      <v:fill on="f" focussize="0,0"/>
                      <v:stroke weight="1pt" color="#FF0000 [3204]" miterlimit="8" joinstyle="miter" endarrow="open"/>
                      <v:imagedata o:title=""/>
                      <o:lock v:ext="edit" aspectratio="f"/>
                    </v:shape>
                  </w:pict>
                </mc:Fallback>
              </mc:AlternateContent>
            </w:r>
            <w:r>
              <w:rPr>
                <w:color w:val="auto"/>
                <w:highlight w:val="none"/>
              </w:rPr>
              <w:drawing>
                <wp:inline distT="0" distB="0" distL="114300" distR="114300">
                  <wp:extent cx="5087620" cy="3219450"/>
                  <wp:effectExtent l="0" t="0" r="2540" b="1143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16"/>
                          <a:stretch>
                            <a:fillRect/>
                          </a:stretch>
                        </pic:blipFill>
                        <pic:spPr>
                          <a:xfrm>
                            <a:off x="0" y="0"/>
                            <a:ext cx="5087620" cy="3219450"/>
                          </a:xfrm>
                          <a:prstGeom prst="rect">
                            <a:avLst/>
                          </a:prstGeom>
                          <a:noFill/>
                          <a:ln>
                            <a:noFill/>
                          </a:ln>
                        </pic:spPr>
                      </pic:pic>
                    </a:graphicData>
                  </a:graphic>
                </wp:inline>
              </w:drawing>
            </w:r>
          </w:p>
          <w:p w14:paraId="00C5C9DC">
            <w:pPr>
              <w:ind w:firstLine="482"/>
              <w:jc w:val="center"/>
              <w:rPr>
                <w:rFonts w:hint="eastAsia"/>
                <w:b/>
                <w:bCs/>
                <w:color w:val="auto"/>
                <w:sz w:val="24"/>
                <w:szCs w:val="32"/>
                <w:highlight w:val="none"/>
              </w:rPr>
            </w:pPr>
            <w:r>
              <w:rPr>
                <w:rFonts w:ascii="Times New Roman" w:hAnsi="Times New Roman" w:eastAsia="宋体" w:cs="Times New Roman"/>
                <w:b/>
                <w:bCs/>
                <w:color w:val="auto"/>
                <w:sz w:val="24"/>
                <w:highlight w:val="none"/>
                <w:lang w:eastAsia="zh-CN"/>
              </w:rPr>
              <w:t>图3-2监测点位图</w:t>
            </w:r>
          </w:p>
          <w:p w14:paraId="679C71DC">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②</w:t>
            </w:r>
            <w:r>
              <w:rPr>
                <w:rFonts w:ascii="Times New Roman" w:hAnsi="Times New Roman" w:eastAsia="宋体" w:cs="Times New Roman"/>
                <w:color w:val="auto"/>
                <w:sz w:val="24"/>
                <w:highlight w:val="none"/>
                <w:lang w:eastAsia="zh-CN"/>
              </w:rPr>
              <w:t>检测因子</w:t>
            </w:r>
          </w:p>
          <w:p w14:paraId="378234A7">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TSP</w:t>
            </w:r>
          </w:p>
          <w:p w14:paraId="3C1B38AB">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③</w:t>
            </w:r>
            <w:r>
              <w:rPr>
                <w:rFonts w:ascii="Times New Roman" w:hAnsi="Times New Roman" w:eastAsia="宋体" w:cs="Times New Roman"/>
                <w:color w:val="auto"/>
                <w:sz w:val="24"/>
                <w:highlight w:val="none"/>
                <w:lang w:eastAsia="zh-CN"/>
              </w:rPr>
              <w:t>监测结果</w:t>
            </w:r>
          </w:p>
          <w:p w14:paraId="0CC52E17">
            <w:pPr>
              <w:kinsoku/>
              <w:adjustRightInd/>
              <w:snapToGrid/>
              <w:spacing w:line="360" w:lineRule="auto"/>
              <w:ind w:firstLine="480" w:firstLineChars="200"/>
              <w:rPr>
                <w:rFonts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lang w:eastAsia="zh-CN"/>
              </w:rPr>
              <w:t>监测数据如下：</w:t>
            </w:r>
          </w:p>
          <w:p w14:paraId="6C1F9EB4">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sz w:val="24"/>
                <w:szCs w:val="24"/>
                <w:highlight w:val="none"/>
                <w:lang w:eastAsia="zh-CN"/>
              </w:rPr>
              <w:t>表3-5</w:t>
            </w:r>
            <w:r>
              <w:rPr>
                <w:rFonts w:hint="eastAsia" w:ascii="Times New Roman" w:hAnsi="Times New Roman" w:eastAsia="宋体" w:cs="Times New Roman"/>
                <w:b/>
                <w:bCs/>
                <w:color w:val="auto"/>
                <w:sz w:val="24"/>
                <w:szCs w:val="24"/>
                <w:highlight w:val="none"/>
                <w:lang w:eastAsia="zh-CN"/>
              </w:rPr>
              <w:t xml:space="preserve"> </w:t>
            </w:r>
            <w:r>
              <w:rPr>
                <w:rFonts w:ascii="Times New Roman" w:hAnsi="Times New Roman" w:eastAsia="宋体" w:cs="Times New Roman"/>
                <w:b/>
                <w:bCs/>
                <w:color w:val="auto"/>
                <w:sz w:val="24"/>
                <w:szCs w:val="24"/>
                <w:highlight w:val="none"/>
                <w:lang w:eastAsia="zh-CN"/>
              </w:rPr>
              <w:t>现状监测结果表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696"/>
              <w:gridCol w:w="846"/>
              <w:gridCol w:w="2005"/>
              <w:gridCol w:w="1995"/>
              <w:gridCol w:w="1999"/>
            </w:tblGrid>
            <w:tr w14:paraId="7011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restart"/>
                  <w:vAlign w:val="center"/>
                </w:tcPr>
                <w:p w14:paraId="1CCAACF6">
                  <w:pPr>
                    <w:kinsoku/>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highlight w:val="none"/>
                      <w:lang w:eastAsia="zh-CN"/>
                    </w:rPr>
                    <w:t>检测点位</w:t>
                  </w:r>
                </w:p>
              </w:tc>
              <w:tc>
                <w:tcPr>
                  <w:tcW w:w="424" w:type="pct"/>
                  <w:vMerge w:val="restart"/>
                  <w:vAlign w:val="center"/>
                </w:tcPr>
                <w:p w14:paraId="01FBBFAC">
                  <w:pPr>
                    <w:kinsoku/>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highlight w:val="none"/>
                      <w:lang w:eastAsia="zh-CN"/>
                    </w:rPr>
                    <w:t>检测项目</w:t>
                  </w:r>
                </w:p>
              </w:tc>
              <w:tc>
                <w:tcPr>
                  <w:tcW w:w="516" w:type="pct"/>
                  <w:vMerge w:val="restart"/>
                  <w:vAlign w:val="center"/>
                </w:tcPr>
                <w:p w14:paraId="799073C6">
                  <w:pPr>
                    <w:kinsoku/>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highlight w:val="none"/>
                      <w:lang w:eastAsia="zh-CN"/>
                    </w:rPr>
                    <w:t>频次</w:t>
                  </w:r>
                </w:p>
              </w:tc>
              <w:tc>
                <w:tcPr>
                  <w:tcW w:w="3661" w:type="pct"/>
                  <w:gridSpan w:val="3"/>
                  <w:vAlign w:val="center"/>
                </w:tcPr>
                <w:p w14:paraId="683D5D8D">
                  <w:pPr>
                    <w:kinsoku/>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highlight w:val="none"/>
                      <w:lang w:eastAsia="zh-CN"/>
                    </w:rPr>
                    <w:t>检测结果（</w:t>
                  </w:r>
                  <w:r>
                    <w:rPr>
                      <w:rFonts w:hint="eastAsia" w:ascii="Times New Roman" w:hAnsi="Times New Roman" w:eastAsia="宋体" w:cs="Times New Roman"/>
                      <w:bCs/>
                      <w:color w:val="auto"/>
                      <w:highlight w:val="none"/>
                      <w:lang w:val="en-US" w:eastAsia="zh-CN"/>
                    </w:rPr>
                    <w:t>m</w:t>
                  </w:r>
                  <w:r>
                    <w:rPr>
                      <w:rFonts w:ascii="Times New Roman" w:hAnsi="Times New Roman" w:eastAsia="宋体" w:cs="Times New Roman"/>
                      <w:bCs/>
                      <w:color w:val="auto"/>
                      <w:highlight w:val="none"/>
                      <w:lang w:eastAsia="zh-CN"/>
                    </w:rPr>
                    <w:t>g/m</w:t>
                  </w:r>
                  <w:r>
                    <w:rPr>
                      <w:rFonts w:ascii="Times New Roman" w:hAnsi="Times New Roman" w:eastAsia="宋体" w:cs="Times New Roman"/>
                      <w:bCs/>
                      <w:color w:val="auto"/>
                      <w:highlight w:val="none"/>
                      <w:vertAlign w:val="superscript"/>
                      <w:lang w:eastAsia="zh-CN"/>
                    </w:rPr>
                    <w:t>3</w:t>
                  </w:r>
                  <w:r>
                    <w:rPr>
                      <w:rFonts w:ascii="Times New Roman" w:hAnsi="Times New Roman" w:eastAsia="宋体" w:cs="Times New Roman"/>
                      <w:bCs/>
                      <w:color w:val="auto"/>
                      <w:highlight w:val="none"/>
                      <w:lang w:eastAsia="zh-CN"/>
                    </w:rPr>
                    <w:t>）</w:t>
                  </w:r>
                </w:p>
              </w:tc>
            </w:tr>
            <w:tr w14:paraId="0154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Merge w:val="continue"/>
                  <w:vAlign w:val="center"/>
                </w:tcPr>
                <w:p w14:paraId="70CABDAA">
                  <w:pPr>
                    <w:kinsoku/>
                    <w:jc w:val="center"/>
                    <w:rPr>
                      <w:rFonts w:ascii="Times New Roman" w:hAnsi="Times New Roman" w:eastAsia="宋体" w:cs="Times New Roman"/>
                      <w:bCs/>
                      <w:color w:val="auto"/>
                      <w:highlight w:val="none"/>
                      <w:lang w:eastAsia="zh-CN"/>
                    </w:rPr>
                  </w:pPr>
                </w:p>
              </w:tc>
              <w:tc>
                <w:tcPr>
                  <w:tcW w:w="424" w:type="pct"/>
                  <w:vMerge w:val="continue"/>
                  <w:vAlign w:val="center"/>
                </w:tcPr>
                <w:p w14:paraId="06C7FC7B">
                  <w:pPr>
                    <w:kinsoku/>
                    <w:jc w:val="center"/>
                    <w:rPr>
                      <w:rFonts w:ascii="Times New Roman" w:hAnsi="Times New Roman" w:eastAsia="宋体" w:cs="Times New Roman"/>
                      <w:bCs/>
                      <w:color w:val="auto"/>
                      <w:highlight w:val="none"/>
                      <w:lang w:eastAsia="zh-CN"/>
                    </w:rPr>
                  </w:pPr>
                </w:p>
              </w:tc>
              <w:tc>
                <w:tcPr>
                  <w:tcW w:w="516" w:type="pct"/>
                  <w:vMerge w:val="continue"/>
                  <w:vAlign w:val="center"/>
                </w:tcPr>
                <w:p w14:paraId="1BA1F730">
                  <w:pPr>
                    <w:kinsoku/>
                    <w:jc w:val="center"/>
                    <w:rPr>
                      <w:rFonts w:ascii="Times New Roman" w:hAnsi="Times New Roman" w:eastAsia="宋体" w:cs="Times New Roman"/>
                      <w:bCs/>
                      <w:color w:val="auto"/>
                      <w:highlight w:val="none"/>
                      <w:lang w:eastAsia="zh-CN"/>
                    </w:rPr>
                  </w:pPr>
                </w:p>
              </w:tc>
              <w:tc>
                <w:tcPr>
                  <w:tcW w:w="1224" w:type="pct"/>
                  <w:vAlign w:val="center"/>
                </w:tcPr>
                <w:p w14:paraId="29CECB2E">
                  <w:pPr>
                    <w:pStyle w:val="23"/>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ind w:left="0" w:right="0"/>
                    <w:jc w:val="center"/>
                    <w:textAlignment w:val="auto"/>
                    <w:rPr>
                      <w:rFonts w:ascii="Times New Roman" w:hAnsi="Times New Roman" w:eastAsia="宋体" w:cs="Times New Roman"/>
                      <w:bCs/>
                      <w:color w:val="auto"/>
                      <w:highlight w:val="none"/>
                      <w:lang w:eastAsia="zh-CN"/>
                    </w:rPr>
                  </w:pPr>
                  <w:r>
                    <w:rPr>
                      <w:rFonts w:hint="default" w:ascii="Times New Roman" w:hAnsi="Times New Roman" w:cs="Times New Roman"/>
                      <w:color w:val="auto"/>
                      <w:sz w:val="21"/>
                      <w:szCs w:val="21"/>
                      <w:highlight w:val="none"/>
                    </w:rPr>
                    <w:t>2024.08.23~2024.08.24</w:t>
                  </w:r>
                </w:p>
              </w:tc>
              <w:tc>
                <w:tcPr>
                  <w:tcW w:w="1217" w:type="pct"/>
                  <w:vAlign w:val="center"/>
                </w:tcPr>
                <w:p w14:paraId="731FAAD4">
                  <w:pPr>
                    <w:pStyle w:val="2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right="0"/>
                    <w:jc w:val="center"/>
                    <w:rPr>
                      <w:rFonts w:ascii="Times New Roman" w:hAnsi="Times New Roman" w:eastAsia="宋体" w:cs="Times New Roman"/>
                      <w:bCs/>
                      <w:color w:val="auto"/>
                      <w:highlight w:val="none"/>
                      <w:lang w:eastAsia="zh-CN"/>
                    </w:rPr>
                  </w:pPr>
                  <w:r>
                    <w:rPr>
                      <w:rFonts w:hint="default" w:ascii="Times New Roman" w:hAnsi="Times New Roman" w:cs="Times New Roman"/>
                      <w:color w:val="auto"/>
                      <w:sz w:val="21"/>
                      <w:szCs w:val="21"/>
                      <w:highlight w:val="none"/>
                    </w:rPr>
                    <w:t>2024.08.24~2024.08.25</w:t>
                  </w:r>
                </w:p>
              </w:tc>
              <w:tc>
                <w:tcPr>
                  <w:tcW w:w="1220" w:type="pct"/>
                  <w:vAlign w:val="center"/>
                </w:tcPr>
                <w:p w14:paraId="2F8780E0">
                  <w:pPr>
                    <w:pStyle w:val="2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ind w:left="0" w:right="0"/>
                    <w:jc w:val="center"/>
                    <w:rPr>
                      <w:rFonts w:ascii="Times New Roman" w:hAnsi="Times New Roman" w:eastAsia="宋体" w:cs="Times New Roman"/>
                      <w:bCs/>
                      <w:color w:val="auto"/>
                      <w:highlight w:val="none"/>
                      <w:lang w:eastAsia="zh-CN"/>
                    </w:rPr>
                  </w:pPr>
                  <w:r>
                    <w:rPr>
                      <w:rFonts w:hint="default" w:ascii="Times New Roman" w:hAnsi="Times New Roman" w:cs="Times New Roman"/>
                      <w:color w:val="auto"/>
                      <w:sz w:val="21"/>
                      <w:szCs w:val="21"/>
                      <w:highlight w:val="none"/>
                    </w:rPr>
                    <w:t>2024.08.25~2024.08.26</w:t>
                  </w:r>
                </w:p>
              </w:tc>
            </w:tr>
            <w:tr w14:paraId="4218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vAlign w:val="center"/>
                </w:tcPr>
                <w:p w14:paraId="69312ACD">
                  <w:pPr>
                    <w:kinsoku/>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安徽皖北医院</w:t>
                  </w:r>
                </w:p>
              </w:tc>
              <w:tc>
                <w:tcPr>
                  <w:tcW w:w="424" w:type="pct"/>
                  <w:vAlign w:val="center"/>
                </w:tcPr>
                <w:p w14:paraId="40D1C4E7">
                  <w:pPr>
                    <w:kinsoku/>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highlight w:val="none"/>
                      <w:lang w:eastAsia="zh-CN"/>
                    </w:rPr>
                    <w:t>TSP</w:t>
                  </w:r>
                </w:p>
              </w:tc>
              <w:tc>
                <w:tcPr>
                  <w:tcW w:w="516" w:type="pct"/>
                  <w:vAlign w:val="center"/>
                </w:tcPr>
                <w:p w14:paraId="7960F557">
                  <w:pPr>
                    <w:kinsoku/>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highlight w:val="none"/>
                      <w:lang w:eastAsia="zh-CN"/>
                    </w:rPr>
                    <w:t>日均值</w:t>
                  </w:r>
                </w:p>
              </w:tc>
              <w:tc>
                <w:tcPr>
                  <w:tcW w:w="1224" w:type="pct"/>
                  <w:vAlign w:val="center"/>
                </w:tcPr>
                <w:p w14:paraId="0658DD19">
                  <w:pPr>
                    <w:kinsoku/>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0.082</w:t>
                  </w:r>
                </w:p>
              </w:tc>
              <w:tc>
                <w:tcPr>
                  <w:tcW w:w="1217" w:type="pct"/>
                  <w:vAlign w:val="center"/>
                </w:tcPr>
                <w:p w14:paraId="10014BE3">
                  <w:pPr>
                    <w:kinsoku/>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0.063</w:t>
                  </w:r>
                </w:p>
              </w:tc>
              <w:tc>
                <w:tcPr>
                  <w:tcW w:w="1220" w:type="pct"/>
                  <w:vAlign w:val="center"/>
                </w:tcPr>
                <w:p w14:paraId="4A47F307">
                  <w:pPr>
                    <w:kinsoku/>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0.069</w:t>
                  </w:r>
                </w:p>
              </w:tc>
            </w:tr>
          </w:tbl>
          <w:p w14:paraId="36F2C1F3">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eastAsia"/>
                <w:b/>
                <w:bCs/>
                <w:color w:val="auto"/>
                <w:sz w:val="24"/>
                <w:szCs w:val="32"/>
                <w:highlight w:val="none"/>
              </w:rPr>
            </w:pPr>
            <w:r>
              <w:rPr>
                <w:rFonts w:ascii="Times New Roman" w:hAnsi="Times New Roman" w:eastAsia="宋体" w:cs="Times New Roman"/>
                <w:color w:val="auto"/>
                <w:sz w:val="24"/>
                <w:highlight w:val="none"/>
                <w:lang w:eastAsia="zh-CN"/>
              </w:rPr>
              <w:t>现状监测结果表明：TSP满足《环境空气质量标准》（GB3095-2012）中二级标准中的标准限值要求。</w:t>
            </w:r>
          </w:p>
          <w:p w14:paraId="094A6AFF">
            <w:pPr>
              <w:ind w:firstLine="482"/>
              <w:rPr>
                <w:b/>
                <w:bCs/>
                <w:color w:val="auto"/>
                <w:sz w:val="24"/>
                <w:szCs w:val="32"/>
                <w:highlight w:val="none"/>
              </w:rPr>
            </w:pPr>
            <w:r>
              <w:rPr>
                <w:rFonts w:hint="eastAsia"/>
                <w:b/>
                <w:bCs/>
                <w:color w:val="auto"/>
                <w:sz w:val="24"/>
                <w:szCs w:val="32"/>
                <w:highlight w:val="none"/>
              </w:rPr>
              <w:t>2、地表水环境质量现状</w:t>
            </w:r>
            <w:bookmarkStart w:id="11" w:name="_Toc22044"/>
            <w:bookmarkStart w:id="12" w:name="_Toc32651"/>
            <w:bookmarkStart w:id="13" w:name="_Toc27404"/>
          </w:p>
          <w:bookmarkEnd w:id="11"/>
          <w:bookmarkEnd w:id="12"/>
          <w:bookmarkEnd w:id="13"/>
          <w:p w14:paraId="59393BD6">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本项目的纳污水体为老濉河，老濉河地表水环境质量数据引用《第二污水处理厂项目（一期）环境影响报告书》中的检测数据，检测单位为合肥森力检测技术服务有限公司，检测时间为2022年11月13日</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2022年11月15日，满足《建设项目环境影响报告表编制技术指南（污染影响类）》：引用与建设项目距离近的有效数据，包括近3年的规划环境影响评价的检测数据，所在流域控制单元内国家、地方控制断面</w:t>
            </w:r>
            <w:r>
              <w:rPr>
                <w:rFonts w:hint="eastAsia" w:cs="Times New Roman"/>
                <w:color w:val="auto"/>
                <w:kern w:val="0"/>
                <w:sz w:val="24"/>
                <w:highlight w:val="none"/>
                <w:lang w:val="en-US" w:eastAsia="zh-CN"/>
              </w:rPr>
              <w:t>监测数据</w:t>
            </w:r>
            <w:r>
              <w:rPr>
                <w:rFonts w:hint="default" w:ascii="Times New Roman" w:hAnsi="Times New Roman" w:eastAsia="宋体" w:cs="Times New Roman"/>
                <w:color w:val="auto"/>
                <w:kern w:val="0"/>
                <w:sz w:val="24"/>
                <w:highlight w:val="none"/>
                <w:lang w:val="en-US" w:eastAsia="zh-CN"/>
              </w:rPr>
              <w:t>，生态环境主管部门发布的水环境质量数据或地表水达标情况的结论</w:t>
            </w:r>
            <w:r>
              <w:rPr>
                <w:rFonts w:hint="eastAsia" w:ascii="Times New Roman" w:hAnsi="Times New Roman" w:eastAsia="宋体" w:cs="Times New Roman"/>
                <w:color w:val="auto"/>
                <w:kern w:val="0"/>
                <w:sz w:val="24"/>
                <w:highlight w:val="none"/>
                <w:lang w:val="en-US" w:eastAsia="zh-CN"/>
              </w:rPr>
              <w:t>。</w:t>
            </w:r>
          </w:p>
          <w:p w14:paraId="25CAFC78">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（1）检测因子</w:t>
            </w:r>
          </w:p>
          <w:p w14:paraId="37ECAEDE">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pH、COD、BOD5、NH3-N、总磷、总氮、石油类。</w:t>
            </w:r>
          </w:p>
          <w:p w14:paraId="5374129F">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（2）监测点位</w:t>
            </w:r>
          </w:p>
          <w:p w14:paraId="7BEF993C">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地表水监测断面一览表见下表。</w:t>
            </w:r>
          </w:p>
          <w:p w14:paraId="69B14DF6">
            <w:pPr>
              <w:pStyle w:val="40"/>
              <w:keepNext w:val="0"/>
              <w:keepLines w:val="0"/>
              <w:pageBreakBefore w:val="0"/>
              <w:widowControl w:val="0"/>
              <w:kinsoku/>
              <w:wordWrap/>
              <w:overflowPunct/>
              <w:topLinePunct w:val="0"/>
              <w:autoSpaceDE/>
              <w:autoSpaceDN/>
              <w:bidi w:val="0"/>
              <w:adjustRightInd/>
              <w:snapToGrid/>
              <w:textAlignment w:val="auto"/>
              <w:rPr>
                <w:rFonts w:hint="default"/>
                <w:color w:val="auto"/>
                <w:sz w:val="24"/>
                <w:szCs w:val="32"/>
                <w:highlight w:val="none"/>
              </w:rPr>
            </w:pPr>
            <w:r>
              <w:rPr>
                <w:color w:val="auto"/>
                <w:sz w:val="24"/>
                <w:szCs w:val="32"/>
                <w:highlight w:val="none"/>
              </w:rPr>
              <w:t>表3-</w:t>
            </w:r>
            <w:r>
              <w:rPr>
                <w:rFonts w:hint="eastAsia"/>
                <w:color w:val="auto"/>
                <w:sz w:val="24"/>
                <w:szCs w:val="32"/>
                <w:highlight w:val="none"/>
                <w:lang w:val="en-US" w:eastAsia="zh-CN"/>
              </w:rPr>
              <w:t>6</w:t>
            </w:r>
            <w:r>
              <w:rPr>
                <w:color w:val="auto"/>
                <w:sz w:val="24"/>
                <w:szCs w:val="32"/>
                <w:highlight w:val="none"/>
              </w:rPr>
              <w:t xml:space="preserve">  地表水现状监测断面设置一览表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178"/>
              <w:gridCol w:w="4416"/>
              <w:gridCol w:w="1663"/>
            </w:tblGrid>
            <w:tr w14:paraId="7E13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Align w:val="center"/>
                </w:tcPr>
                <w:p w14:paraId="1EF404DA">
                  <w:pPr>
                    <w:pStyle w:val="41"/>
                    <w:rPr>
                      <w:color w:val="auto"/>
                      <w:highlight w:val="none"/>
                    </w:rPr>
                  </w:pPr>
                  <w:r>
                    <w:rPr>
                      <w:color w:val="auto"/>
                      <w:highlight w:val="none"/>
                    </w:rPr>
                    <w:t>河流</w:t>
                  </w:r>
                </w:p>
              </w:tc>
              <w:tc>
                <w:tcPr>
                  <w:tcW w:w="719" w:type="pct"/>
                  <w:vAlign w:val="center"/>
                </w:tcPr>
                <w:p w14:paraId="45F6DABF">
                  <w:pPr>
                    <w:pStyle w:val="41"/>
                    <w:rPr>
                      <w:color w:val="auto"/>
                      <w:highlight w:val="none"/>
                    </w:rPr>
                  </w:pPr>
                  <w:r>
                    <w:rPr>
                      <w:color w:val="auto"/>
                      <w:highlight w:val="none"/>
                    </w:rPr>
                    <w:t>断面编号</w:t>
                  </w:r>
                </w:p>
              </w:tc>
              <w:tc>
                <w:tcPr>
                  <w:tcW w:w="2695" w:type="pct"/>
                  <w:vAlign w:val="center"/>
                </w:tcPr>
                <w:p w14:paraId="7B63DAA7">
                  <w:pPr>
                    <w:pStyle w:val="41"/>
                    <w:rPr>
                      <w:color w:val="auto"/>
                      <w:highlight w:val="none"/>
                    </w:rPr>
                  </w:pPr>
                  <w:r>
                    <w:rPr>
                      <w:color w:val="auto"/>
                      <w:highlight w:val="none"/>
                    </w:rPr>
                    <w:t>断面位置</w:t>
                  </w:r>
                </w:p>
              </w:tc>
              <w:tc>
                <w:tcPr>
                  <w:tcW w:w="1015" w:type="pct"/>
                  <w:vAlign w:val="center"/>
                </w:tcPr>
                <w:p w14:paraId="78EDE33F">
                  <w:pPr>
                    <w:pStyle w:val="41"/>
                    <w:rPr>
                      <w:color w:val="auto"/>
                      <w:highlight w:val="none"/>
                    </w:rPr>
                  </w:pPr>
                  <w:r>
                    <w:rPr>
                      <w:color w:val="auto"/>
                      <w:highlight w:val="none"/>
                    </w:rPr>
                    <w:t>监测项目</w:t>
                  </w:r>
                </w:p>
              </w:tc>
            </w:tr>
            <w:tr w14:paraId="1BEF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Merge w:val="restart"/>
                  <w:vAlign w:val="center"/>
                </w:tcPr>
                <w:p w14:paraId="5A1E1513">
                  <w:pPr>
                    <w:pStyle w:val="41"/>
                    <w:rPr>
                      <w:color w:val="auto"/>
                      <w:highlight w:val="none"/>
                    </w:rPr>
                  </w:pPr>
                  <w:r>
                    <w:rPr>
                      <w:color w:val="auto"/>
                      <w:highlight w:val="none"/>
                    </w:rPr>
                    <w:t>老濉河</w:t>
                  </w:r>
                </w:p>
              </w:tc>
              <w:tc>
                <w:tcPr>
                  <w:tcW w:w="719" w:type="pct"/>
                  <w:vAlign w:val="center"/>
                </w:tcPr>
                <w:p w14:paraId="62B69877">
                  <w:pPr>
                    <w:pStyle w:val="41"/>
                    <w:rPr>
                      <w:rFonts w:hint="default"/>
                      <w:color w:val="auto"/>
                      <w:highlight w:val="none"/>
                      <w:lang w:val="en-US" w:eastAsia="zh-CN"/>
                    </w:rPr>
                  </w:pPr>
                  <w:r>
                    <w:rPr>
                      <w:rFonts w:hint="eastAsia"/>
                      <w:color w:val="auto"/>
                      <w:highlight w:val="none"/>
                      <w:lang w:val="en-US" w:eastAsia="zh-CN"/>
                    </w:rPr>
                    <w:t>1#</w:t>
                  </w:r>
                </w:p>
              </w:tc>
              <w:tc>
                <w:tcPr>
                  <w:tcW w:w="2695" w:type="pct"/>
                  <w:vAlign w:val="center"/>
                </w:tcPr>
                <w:p w14:paraId="288C51E2">
                  <w:pPr>
                    <w:pStyle w:val="41"/>
                    <w:rPr>
                      <w:rFonts w:hint="eastAsia"/>
                      <w:color w:val="auto"/>
                      <w:highlight w:val="none"/>
                      <w:lang w:eastAsia="zh-CN"/>
                    </w:rPr>
                  </w:pPr>
                  <w:r>
                    <w:rPr>
                      <w:rFonts w:hint="eastAsia"/>
                      <w:color w:val="auto"/>
                      <w:highlight w:val="none"/>
                      <w:lang w:eastAsia="zh-CN"/>
                    </w:rPr>
                    <w:t>污水处理厂排污口上</w:t>
                  </w:r>
                  <w:r>
                    <w:rPr>
                      <w:color w:val="auto"/>
                      <w:highlight w:val="none"/>
                    </w:rPr>
                    <w:t>游 500m</w:t>
                  </w:r>
                </w:p>
              </w:tc>
              <w:tc>
                <w:tcPr>
                  <w:tcW w:w="1015" w:type="pct"/>
                  <w:vMerge w:val="restart"/>
                  <w:vAlign w:val="center"/>
                </w:tcPr>
                <w:p w14:paraId="51C8699F">
                  <w:pPr>
                    <w:pStyle w:val="41"/>
                    <w:rPr>
                      <w:color w:val="auto"/>
                      <w:highlight w:val="none"/>
                    </w:rPr>
                  </w:pPr>
                  <w:r>
                    <w:rPr>
                      <w:rFonts w:hint="eastAsia"/>
                      <w:color w:val="auto"/>
                      <w:highlight w:val="none"/>
                      <w:lang w:val="en-US" w:eastAsia="zh-CN"/>
                    </w:rPr>
                    <w:t>pH、COD、BOD</w:t>
                  </w:r>
                  <w:r>
                    <w:rPr>
                      <w:rFonts w:hint="eastAsia"/>
                      <w:color w:val="auto"/>
                      <w:highlight w:val="none"/>
                      <w:vertAlign w:val="subscript"/>
                      <w:lang w:val="en-US" w:eastAsia="zh-CN"/>
                    </w:rPr>
                    <w:t>5</w:t>
                  </w: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-N、总磷、总氮、石油类。</w:t>
                  </w:r>
                </w:p>
              </w:tc>
            </w:tr>
            <w:tr w14:paraId="29BD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Merge w:val="continue"/>
                  <w:vAlign w:val="center"/>
                </w:tcPr>
                <w:p w14:paraId="3C7FDB8A">
                  <w:pPr>
                    <w:pStyle w:val="41"/>
                    <w:rPr>
                      <w:color w:val="auto"/>
                      <w:highlight w:val="none"/>
                    </w:rPr>
                  </w:pPr>
                </w:p>
              </w:tc>
              <w:tc>
                <w:tcPr>
                  <w:tcW w:w="719" w:type="pct"/>
                  <w:vAlign w:val="center"/>
                </w:tcPr>
                <w:p w14:paraId="1574AE44">
                  <w:pPr>
                    <w:pStyle w:val="41"/>
                    <w:rPr>
                      <w:rFonts w:hint="default" w:eastAsia="宋体"/>
                      <w:color w:val="auto"/>
                      <w:highlight w:val="none"/>
                      <w:lang w:val="en-US" w:eastAsia="zh-CN"/>
                    </w:rPr>
                  </w:pPr>
                  <w:r>
                    <w:rPr>
                      <w:rFonts w:hint="eastAsia"/>
                      <w:color w:val="auto"/>
                      <w:highlight w:val="none"/>
                      <w:lang w:val="en-US" w:eastAsia="zh-CN"/>
                    </w:rPr>
                    <w:t>2#</w:t>
                  </w:r>
                </w:p>
              </w:tc>
              <w:tc>
                <w:tcPr>
                  <w:tcW w:w="2695" w:type="pct"/>
                  <w:vAlign w:val="center"/>
                </w:tcPr>
                <w:p w14:paraId="1A160265">
                  <w:pPr>
                    <w:pStyle w:val="41"/>
                    <w:rPr>
                      <w:rFonts w:hint="eastAsia" w:eastAsia="宋体"/>
                      <w:color w:val="auto"/>
                      <w:highlight w:val="none"/>
                      <w:lang w:eastAsia="zh-CN"/>
                    </w:rPr>
                  </w:pPr>
                  <w:r>
                    <w:rPr>
                      <w:rFonts w:hint="eastAsia"/>
                      <w:color w:val="auto"/>
                      <w:highlight w:val="none"/>
                      <w:lang w:eastAsia="zh-CN"/>
                    </w:rPr>
                    <w:t>污水处理厂排污口处</w:t>
                  </w:r>
                </w:p>
              </w:tc>
              <w:tc>
                <w:tcPr>
                  <w:tcW w:w="1015" w:type="pct"/>
                  <w:vMerge w:val="continue"/>
                  <w:vAlign w:val="center"/>
                </w:tcPr>
                <w:p w14:paraId="08BDF13D">
                  <w:pPr>
                    <w:pStyle w:val="41"/>
                    <w:rPr>
                      <w:color w:val="auto"/>
                      <w:highlight w:val="none"/>
                    </w:rPr>
                  </w:pPr>
                </w:p>
              </w:tc>
            </w:tr>
            <w:tr w14:paraId="5A91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Merge w:val="continue"/>
                  <w:vAlign w:val="center"/>
                </w:tcPr>
                <w:p w14:paraId="466A7C20">
                  <w:pPr>
                    <w:pStyle w:val="41"/>
                    <w:rPr>
                      <w:color w:val="auto"/>
                      <w:highlight w:val="none"/>
                    </w:rPr>
                  </w:pPr>
                </w:p>
              </w:tc>
              <w:tc>
                <w:tcPr>
                  <w:tcW w:w="719" w:type="pct"/>
                  <w:vAlign w:val="center"/>
                </w:tcPr>
                <w:p w14:paraId="182867E4">
                  <w:pPr>
                    <w:pStyle w:val="41"/>
                    <w:rPr>
                      <w:rFonts w:hint="default" w:eastAsia="宋体"/>
                      <w:color w:val="auto"/>
                      <w:highlight w:val="none"/>
                      <w:lang w:val="en-US" w:eastAsia="zh-CN"/>
                    </w:rPr>
                  </w:pPr>
                  <w:r>
                    <w:rPr>
                      <w:rFonts w:hint="eastAsia"/>
                      <w:color w:val="auto"/>
                      <w:highlight w:val="none"/>
                      <w:lang w:val="en-US" w:eastAsia="zh-CN"/>
                    </w:rPr>
                    <w:t>3#</w:t>
                  </w:r>
                </w:p>
              </w:tc>
              <w:tc>
                <w:tcPr>
                  <w:tcW w:w="2695" w:type="pct"/>
                  <w:vAlign w:val="center"/>
                </w:tcPr>
                <w:p w14:paraId="256DBB72">
                  <w:pPr>
                    <w:pStyle w:val="41"/>
                    <w:rPr>
                      <w:color w:val="auto"/>
                      <w:highlight w:val="none"/>
                    </w:rPr>
                  </w:pPr>
                  <w:r>
                    <w:rPr>
                      <w:rFonts w:hint="eastAsia"/>
                      <w:color w:val="auto"/>
                      <w:highlight w:val="none"/>
                      <w:lang w:eastAsia="zh-CN"/>
                    </w:rPr>
                    <w:t>污水处理厂排污口</w:t>
                  </w:r>
                  <w:r>
                    <w:rPr>
                      <w:color w:val="auto"/>
                      <w:highlight w:val="none"/>
                    </w:rPr>
                    <w:t>下游 500m</w:t>
                  </w:r>
                </w:p>
              </w:tc>
              <w:tc>
                <w:tcPr>
                  <w:tcW w:w="1015" w:type="pct"/>
                  <w:vMerge w:val="continue"/>
                  <w:vAlign w:val="center"/>
                </w:tcPr>
                <w:p w14:paraId="65329E9D">
                  <w:pPr>
                    <w:pStyle w:val="41"/>
                    <w:rPr>
                      <w:color w:val="auto"/>
                      <w:highlight w:val="none"/>
                    </w:rPr>
                  </w:pPr>
                </w:p>
              </w:tc>
            </w:tr>
            <w:tr w14:paraId="59A3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Merge w:val="continue"/>
                  <w:vAlign w:val="center"/>
                </w:tcPr>
                <w:p w14:paraId="76017296">
                  <w:pPr>
                    <w:pStyle w:val="41"/>
                    <w:rPr>
                      <w:color w:val="auto"/>
                      <w:highlight w:val="none"/>
                    </w:rPr>
                  </w:pPr>
                </w:p>
              </w:tc>
              <w:tc>
                <w:tcPr>
                  <w:tcW w:w="719" w:type="pct"/>
                  <w:vAlign w:val="center"/>
                </w:tcPr>
                <w:p w14:paraId="743BBF03">
                  <w:pPr>
                    <w:pStyle w:val="41"/>
                    <w:rPr>
                      <w:rFonts w:hint="default" w:eastAsia="宋体"/>
                      <w:color w:val="auto"/>
                      <w:highlight w:val="none"/>
                      <w:lang w:val="en-US" w:eastAsia="zh-CN"/>
                    </w:rPr>
                  </w:pPr>
                  <w:r>
                    <w:rPr>
                      <w:rFonts w:hint="eastAsia"/>
                      <w:color w:val="auto"/>
                      <w:highlight w:val="none"/>
                      <w:lang w:val="en-US" w:eastAsia="zh-CN"/>
                    </w:rPr>
                    <w:t>4#</w:t>
                  </w:r>
                </w:p>
              </w:tc>
              <w:tc>
                <w:tcPr>
                  <w:tcW w:w="2695" w:type="pct"/>
                  <w:vAlign w:val="center"/>
                </w:tcPr>
                <w:p w14:paraId="62DD560B">
                  <w:pPr>
                    <w:pStyle w:val="41"/>
                    <w:rPr>
                      <w:color w:val="auto"/>
                      <w:highlight w:val="none"/>
                    </w:rPr>
                  </w:pPr>
                  <w:r>
                    <w:rPr>
                      <w:rFonts w:hint="eastAsia"/>
                      <w:color w:val="auto"/>
                      <w:highlight w:val="none"/>
                      <w:lang w:eastAsia="zh-CN"/>
                    </w:rPr>
                    <w:t>污水处理厂排污口</w:t>
                  </w:r>
                  <w:r>
                    <w:rPr>
                      <w:color w:val="auto"/>
                      <w:highlight w:val="none"/>
                    </w:rPr>
                    <w:t xml:space="preserve">下游 1500m </w:t>
                  </w:r>
                </w:p>
              </w:tc>
              <w:tc>
                <w:tcPr>
                  <w:tcW w:w="1015" w:type="pct"/>
                  <w:vMerge w:val="continue"/>
                  <w:vAlign w:val="center"/>
                </w:tcPr>
                <w:p w14:paraId="52A202E8">
                  <w:pPr>
                    <w:pStyle w:val="41"/>
                    <w:rPr>
                      <w:color w:val="auto"/>
                      <w:highlight w:val="none"/>
                    </w:rPr>
                  </w:pPr>
                </w:p>
              </w:tc>
            </w:tr>
            <w:tr w14:paraId="5B3E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Merge w:val="continue"/>
                  <w:vAlign w:val="center"/>
                </w:tcPr>
                <w:p w14:paraId="3507EC2E">
                  <w:pPr>
                    <w:pStyle w:val="41"/>
                    <w:rPr>
                      <w:color w:val="auto"/>
                      <w:highlight w:val="none"/>
                    </w:rPr>
                  </w:pPr>
                </w:p>
              </w:tc>
              <w:tc>
                <w:tcPr>
                  <w:tcW w:w="719" w:type="pct"/>
                  <w:vAlign w:val="center"/>
                </w:tcPr>
                <w:p w14:paraId="2BBCCB92">
                  <w:pPr>
                    <w:pStyle w:val="41"/>
                    <w:rPr>
                      <w:rFonts w:hint="default"/>
                      <w:color w:val="auto"/>
                      <w:highlight w:val="none"/>
                      <w:lang w:val="en-US" w:eastAsia="zh-CN"/>
                    </w:rPr>
                  </w:pPr>
                  <w:r>
                    <w:rPr>
                      <w:rFonts w:hint="eastAsia"/>
                      <w:color w:val="auto"/>
                      <w:highlight w:val="none"/>
                      <w:lang w:val="en-US" w:eastAsia="zh-CN"/>
                    </w:rPr>
                    <w:t>5#</w:t>
                  </w:r>
                </w:p>
              </w:tc>
              <w:tc>
                <w:tcPr>
                  <w:tcW w:w="2695" w:type="pct"/>
                  <w:vAlign w:val="center"/>
                </w:tcPr>
                <w:p w14:paraId="74766C2B">
                  <w:pPr>
                    <w:pStyle w:val="41"/>
                    <w:rPr>
                      <w:color w:val="auto"/>
                      <w:highlight w:val="none"/>
                    </w:rPr>
                  </w:pPr>
                  <w:r>
                    <w:rPr>
                      <w:rFonts w:hint="eastAsia"/>
                      <w:color w:val="auto"/>
                      <w:highlight w:val="none"/>
                      <w:lang w:eastAsia="zh-CN"/>
                    </w:rPr>
                    <w:t>污水处理厂排污口</w:t>
                  </w:r>
                  <w:r>
                    <w:rPr>
                      <w:color w:val="auto"/>
                      <w:highlight w:val="none"/>
                    </w:rPr>
                    <w:t xml:space="preserve">下游 </w:t>
                  </w:r>
                  <w:r>
                    <w:rPr>
                      <w:rFonts w:hint="eastAsia"/>
                      <w:color w:val="auto"/>
                      <w:highlight w:val="none"/>
                      <w:lang w:val="en-US" w:eastAsia="zh-CN"/>
                    </w:rPr>
                    <w:t>30</w:t>
                  </w:r>
                  <w:r>
                    <w:rPr>
                      <w:color w:val="auto"/>
                      <w:highlight w:val="none"/>
                    </w:rPr>
                    <w:t xml:space="preserve">00m </w:t>
                  </w:r>
                </w:p>
              </w:tc>
              <w:tc>
                <w:tcPr>
                  <w:tcW w:w="1015" w:type="pct"/>
                  <w:vMerge w:val="continue"/>
                  <w:vAlign w:val="center"/>
                </w:tcPr>
                <w:p w14:paraId="3E9E9161">
                  <w:pPr>
                    <w:pStyle w:val="41"/>
                    <w:rPr>
                      <w:color w:val="auto"/>
                      <w:highlight w:val="none"/>
                    </w:rPr>
                  </w:pPr>
                </w:p>
              </w:tc>
            </w:tr>
          </w:tbl>
          <w:p w14:paraId="5950941F">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lang w:val="en-US" w:eastAsia="zh-CN"/>
              </w:rPr>
              <w:t>监测结果</w:t>
            </w:r>
          </w:p>
          <w:p w14:paraId="365F3F15">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监测结果见下表。</w:t>
            </w:r>
          </w:p>
          <w:p w14:paraId="5C9200DE">
            <w:pPr>
              <w:pStyle w:val="4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表3-</w:t>
            </w:r>
            <w:r>
              <w:rPr>
                <w:rFonts w:hint="eastAsia" w:cs="Times New Roman"/>
                <w:color w:val="auto"/>
                <w:sz w:val="24"/>
                <w:szCs w:val="32"/>
                <w:highlight w:val="none"/>
                <w:lang w:val="en-US" w:eastAsia="zh-CN"/>
              </w:rPr>
              <w:t>7</w:t>
            </w:r>
            <w:r>
              <w:rPr>
                <w:rFonts w:ascii="Times New Roman" w:hAnsi="Times New Roman" w:eastAsia="宋体" w:cs="Times New Roman"/>
                <w:color w:val="auto"/>
                <w:sz w:val="24"/>
                <w:szCs w:val="32"/>
                <w:highlight w:val="none"/>
              </w:rPr>
              <w:t xml:space="preserve">  地表水现状监测结果  单位：mg/L，pH无量纲</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212"/>
              <w:gridCol w:w="871"/>
              <w:gridCol w:w="871"/>
              <w:gridCol w:w="871"/>
              <w:gridCol w:w="871"/>
              <w:gridCol w:w="871"/>
              <w:gridCol w:w="872"/>
              <w:gridCol w:w="872"/>
            </w:tblGrid>
            <w:tr w14:paraId="2ACB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Align w:val="center"/>
                </w:tcPr>
                <w:p w14:paraId="3EB7CB9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断面</w:t>
                  </w:r>
                </w:p>
              </w:tc>
              <w:tc>
                <w:tcPr>
                  <w:tcW w:w="741" w:type="pct"/>
                  <w:vAlign w:val="center"/>
                </w:tcPr>
                <w:p w14:paraId="548B60D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监测日期</w:t>
                  </w:r>
                </w:p>
              </w:tc>
              <w:tc>
                <w:tcPr>
                  <w:tcW w:w="532" w:type="pct"/>
                  <w:vAlign w:val="center"/>
                </w:tcPr>
                <w:p w14:paraId="39A58B1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pH</w:t>
                  </w:r>
                </w:p>
              </w:tc>
              <w:tc>
                <w:tcPr>
                  <w:tcW w:w="532" w:type="pct"/>
                  <w:vAlign w:val="center"/>
                </w:tcPr>
                <w:p w14:paraId="3EA5F97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p>
              </w:tc>
              <w:tc>
                <w:tcPr>
                  <w:tcW w:w="532" w:type="pct"/>
                  <w:vAlign w:val="center"/>
                </w:tcPr>
                <w:p w14:paraId="03F888D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532" w:type="pct"/>
                  <w:vAlign w:val="center"/>
                </w:tcPr>
                <w:p w14:paraId="0339E48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532" w:type="pct"/>
                  <w:vAlign w:val="center"/>
                </w:tcPr>
                <w:p w14:paraId="0ED5CD8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N</w:t>
                  </w:r>
                </w:p>
              </w:tc>
              <w:tc>
                <w:tcPr>
                  <w:tcW w:w="533" w:type="pct"/>
                  <w:vAlign w:val="center"/>
                </w:tcPr>
                <w:p w14:paraId="1DE7744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TP</w:t>
                  </w:r>
                </w:p>
              </w:tc>
              <w:tc>
                <w:tcPr>
                  <w:tcW w:w="533" w:type="pct"/>
                  <w:vAlign w:val="center"/>
                </w:tcPr>
                <w:p w14:paraId="685A7A1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石油类</w:t>
                  </w:r>
                </w:p>
              </w:tc>
            </w:tr>
            <w:tr w14:paraId="1A12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restart"/>
                  <w:vAlign w:val="center"/>
                </w:tcPr>
                <w:p w14:paraId="78B8313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w:t>
                  </w:r>
                </w:p>
              </w:tc>
              <w:tc>
                <w:tcPr>
                  <w:tcW w:w="741" w:type="pct"/>
                  <w:vAlign w:val="center"/>
                </w:tcPr>
                <w:p w14:paraId="7212926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2022.11.13</w:t>
                  </w:r>
                </w:p>
              </w:tc>
              <w:tc>
                <w:tcPr>
                  <w:tcW w:w="532" w:type="pct"/>
                  <w:vAlign w:val="center"/>
                </w:tcPr>
                <w:p w14:paraId="4919FC7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w:t>
                  </w:r>
                </w:p>
              </w:tc>
              <w:tc>
                <w:tcPr>
                  <w:tcW w:w="532" w:type="pct"/>
                  <w:vAlign w:val="center"/>
                </w:tcPr>
                <w:p w14:paraId="64FA386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c>
                <w:tcPr>
                  <w:tcW w:w="532" w:type="pct"/>
                  <w:vAlign w:val="center"/>
                </w:tcPr>
                <w:p w14:paraId="2530FDB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532" w:type="pct"/>
                  <w:vAlign w:val="center"/>
                </w:tcPr>
                <w:p w14:paraId="5861EA3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0.717</w:t>
                  </w:r>
                </w:p>
              </w:tc>
              <w:tc>
                <w:tcPr>
                  <w:tcW w:w="532" w:type="pct"/>
                  <w:vAlign w:val="center"/>
                </w:tcPr>
                <w:p w14:paraId="033E820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0.94</w:t>
                  </w:r>
                </w:p>
              </w:tc>
              <w:tc>
                <w:tcPr>
                  <w:tcW w:w="533" w:type="pct"/>
                  <w:vAlign w:val="center"/>
                </w:tcPr>
                <w:p w14:paraId="42E6890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w:t>
                  </w:r>
                </w:p>
              </w:tc>
              <w:tc>
                <w:tcPr>
                  <w:tcW w:w="533" w:type="pct"/>
                  <w:vAlign w:val="center"/>
                </w:tcPr>
                <w:p w14:paraId="0C5FA10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3DD1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7D0DA78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vAlign w:val="center"/>
                </w:tcPr>
                <w:p w14:paraId="6F79756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2022.11.14</w:t>
                  </w:r>
                </w:p>
              </w:tc>
              <w:tc>
                <w:tcPr>
                  <w:tcW w:w="532" w:type="pct"/>
                  <w:vAlign w:val="center"/>
                </w:tcPr>
                <w:p w14:paraId="6C1B554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w:t>
                  </w:r>
                </w:p>
              </w:tc>
              <w:tc>
                <w:tcPr>
                  <w:tcW w:w="532" w:type="pct"/>
                  <w:vAlign w:val="center"/>
                </w:tcPr>
                <w:p w14:paraId="02F6424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c>
                <w:tcPr>
                  <w:tcW w:w="532" w:type="pct"/>
                  <w:vAlign w:val="center"/>
                </w:tcPr>
                <w:p w14:paraId="6ACDF88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532" w:type="pct"/>
                  <w:vAlign w:val="center"/>
                </w:tcPr>
                <w:p w14:paraId="44FF688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0.782</w:t>
                  </w:r>
                </w:p>
              </w:tc>
              <w:tc>
                <w:tcPr>
                  <w:tcW w:w="532" w:type="pct"/>
                  <w:vAlign w:val="center"/>
                </w:tcPr>
                <w:p w14:paraId="13AC448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0.97</w:t>
                  </w:r>
                </w:p>
              </w:tc>
              <w:tc>
                <w:tcPr>
                  <w:tcW w:w="533" w:type="pct"/>
                  <w:vAlign w:val="center"/>
                </w:tcPr>
                <w:p w14:paraId="65B7D78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533" w:type="pct"/>
                  <w:vAlign w:val="center"/>
                </w:tcPr>
                <w:p w14:paraId="5E827E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2267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158FDEC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vAlign w:val="center"/>
                </w:tcPr>
                <w:p w14:paraId="6289BA3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2022.11.15</w:t>
                  </w:r>
                </w:p>
              </w:tc>
              <w:tc>
                <w:tcPr>
                  <w:tcW w:w="532" w:type="pct"/>
                  <w:vAlign w:val="center"/>
                </w:tcPr>
                <w:p w14:paraId="59E30A6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7.6</w:t>
                  </w:r>
                </w:p>
              </w:tc>
              <w:tc>
                <w:tcPr>
                  <w:tcW w:w="532" w:type="pct"/>
                  <w:vAlign w:val="center"/>
                </w:tcPr>
                <w:p w14:paraId="3A19B36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532" w:type="pct"/>
                  <w:vAlign w:val="center"/>
                </w:tcPr>
                <w:p w14:paraId="7502418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532" w:type="pct"/>
                  <w:vAlign w:val="center"/>
                </w:tcPr>
                <w:p w14:paraId="4EF6D6E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0.664</w:t>
                  </w:r>
                </w:p>
              </w:tc>
              <w:tc>
                <w:tcPr>
                  <w:tcW w:w="532" w:type="pct"/>
                  <w:vAlign w:val="center"/>
                </w:tcPr>
                <w:p w14:paraId="56D7E88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0.89</w:t>
                  </w:r>
                </w:p>
              </w:tc>
              <w:tc>
                <w:tcPr>
                  <w:tcW w:w="533" w:type="pct"/>
                  <w:vAlign w:val="center"/>
                </w:tcPr>
                <w:p w14:paraId="574B570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w:t>
                  </w:r>
                </w:p>
              </w:tc>
              <w:tc>
                <w:tcPr>
                  <w:tcW w:w="533" w:type="pct"/>
                  <w:vAlign w:val="center"/>
                </w:tcPr>
                <w:p w14:paraId="426E18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2BD6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restart"/>
                  <w:vAlign w:val="center"/>
                </w:tcPr>
                <w:p w14:paraId="0A20B91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p>
              </w:tc>
              <w:tc>
                <w:tcPr>
                  <w:tcW w:w="741" w:type="pct"/>
                  <w:shd w:val="clear" w:color="auto" w:fill="auto"/>
                  <w:vAlign w:val="center"/>
                </w:tcPr>
                <w:p w14:paraId="5E42BDC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2022.11.13</w:t>
                  </w:r>
                </w:p>
              </w:tc>
              <w:tc>
                <w:tcPr>
                  <w:tcW w:w="532" w:type="pct"/>
                  <w:vAlign w:val="center"/>
                </w:tcPr>
                <w:p w14:paraId="1192D4B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w:t>
                  </w:r>
                </w:p>
              </w:tc>
              <w:tc>
                <w:tcPr>
                  <w:tcW w:w="532" w:type="pct"/>
                  <w:vAlign w:val="center"/>
                </w:tcPr>
                <w:p w14:paraId="2726EDA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p>
              </w:tc>
              <w:tc>
                <w:tcPr>
                  <w:tcW w:w="532" w:type="pct"/>
                  <w:vAlign w:val="center"/>
                </w:tcPr>
                <w:p w14:paraId="488DE1E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532" w:type="pct"/>
                  <w:vAlign w:val="center"/>
                </w:tcPr>
                <w:p w14:paraId="478001F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0.423</w:t>
                  </w:r>
                </w:p>
              </w:tc>
              <w:tc>
                <w:tcPr>
                  <w:tcW w:w="532" w:type="pct"/>
                  <w:vAlign w:val="center"/>
                </w:tcPr>
                <w:p w14:paraId="574F0EA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0.66</w:t>
                  </w:r>
                </w:p>
              </w:tc>
              <w:tc>
                <w:tcPr>
                  <w:tcW w:w="533" w:type="pct"/>
                  <w:vAlign w:val="center"/>
                </w:tcPr>
                <w:p w14:paraId="61D0A82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tc>
              <w:tc>
                <w:tcPr>
                  <w:tcW w:w="533" w:type="pct"/>
                  <w:vAlign w:val="center"/>
                </w:tcPr>
                <w:p w14:paraId="5EDF8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2809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7EE0770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shd w:val="clear" w:color="auto" w:fill="auto"/>
                  <w:vAlign w:val="center"/>
                </w:tcPr>
                <w:p w14:paraId="2A0B53F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2022.11.14</w:t>
                  </w:r>
                </w:p>
              </w:tc>
              <w:tc>
                <w:tcPr>
                  <w:tcW w:w="532" w:type="pct"/>
                  <w:vAlign w:val="center"/>
                </w:tcPr>
                <w:p w14:paraId="60843F9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w:t>
                  </w:r>
                </w:p>
              </w:tc>
              <w:tc>
                <w:tcPr>
                  <w:tcW w:w="532" w:type="pct"/>
                  <w:vAlign w:val="center"/>
                </w:tcPr>
                <w:p w14:paraId="742482D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532" w:type="pct"/>
                  <w:vAlign w:val="center"/>
                </w:tcPr>
                <w:p w14:paraId="70697C2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532" w:type="pct"/>
                  <w:vAlign w:val="center"/>
                </w:tcPr>
                <w:p w14:paraId="4F53551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0.446</w:t>
                  </w:r>
                </w:p>
              </w:tc>
              <w:tc>
                <w:tcPr>
                  <w:tcW w:w="532" w:type="pct"/>
                  <w:vAlign w:val="center"/>
                </w:tcPr>
                <w:p w14:paraId="6C9AC93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0.73</w:t>
                  </w:r>
                </w:p>
              </w:tc>
              <w:tc>
                <w:tcPr>
                  <w:tcW w:w="533" w:type="pct"/>
                  <w:vAlign w:val="center"/>
                </w:tcPr>
                <w:p w14:paraId="3C7DF35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w:t>
                  </w:r>
                </w:p>
              </w:tc>
              <w:tc>
                <w:tcPr>
                  <w:tcW w:w="533" w:type="pct"/>
                  <w:vAlign w:val="center"/>
                </w:tcPr>
                <w:p w14:paraId="4B1E9C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1151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2F56303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shd w:val="clear" w:color="auto" w:fill="auto"/>
                  <w:vAlign w:val="center"/>
                </w:tcPr>
                <w:p w14:paraId="0579696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2022.11.15</w:t>
                  </w:r>
                </w:p>
              </w:tc>
              <w:tc>
                <w:tcPr>
                  <w:tcW w:w="532" w:type="pct"/>
                  <w:vAlign w:val="center"/>
                </w:tcPr>
                <w:p w14:paraId="765B671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532" w:type="pct"/>
                  <w:vAlign w:val="center"/>
                </w:tcPr>
                <w:p w14:paraId="79B70FF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c>
                <w:tcPr>
                  <w:tcW w:w="532" w:type="pct"/>
                  <w:vAlign w:val="center"/>
                </w:tcPr>
                <w:p w14:paraId="392FCC5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532" w:type="pct"/>
                  <w:vAlign w:val="center"/>
                </w:tcPr>
                <w:p w14:paraId="7CE7B93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0.411</w:t>
                  </w:r>
                </w:p>
              </w:tc>
              <w:tc>
                <w:tcPr>
                  <w:tcW w:w="532" w:type="pct"/>
                  <w:vAlign w:val="center"/>
                </w:tcPr>
                <w:p w14:paraId="48CFD2F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0.69</w:t>
                  </w:r>
                </w:p>
              </w:tc>
              <w:tc>
                <w:tcPr>
                  <w:tcW w:w="533" w:type="pct"/>
                  <w:vAlign w:val="center"/>
                </w:tcPr>
                <w:p w14:paraId="01D5299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0.12</w:t>
                  </w:r>
                </w:p>
              </w:tc>
              <w:tc>
                <w:tcPr>
                  <w:tcW w:w="533" w:type="pct"/>
                  <w:vAlign w:val="center"/>
                </w:tcPr>
                <w:p w14:paraId="186E2D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7DE1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restart"/>
                  <w:vAlign w:val="center"/>
                </w:tcPr>
                <w:p w14:paraId="470BD6A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p>
              </w:tc>
              <w:tc>
                <w:tcPr>
                  <w:tcW w:w="741" w:type="pct"/>
                  <w:shd w:val="clear" w:color="auto" w:fill="auto"/>
                  <w:vAlign w:val="center"/>
                </w:tcPr>
                <w:p w14:paraId="6643022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2022.11.13</w:t>
                  </w:r>
                </w:p>
              </w:tc>
              <w:tc>
                <w:tcPr>
                  <w:tcW w:w="532" w:type="pct"/>
                  <w:vAlign w:val="center"/>
                </w:tcPr>
                <w:p w14:paraId="3061A4F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532" w:type="pct"/>
                  <w:vAlign w:val="center"/>
                </w:tcPr>
                <w:p w14:paraId="488180A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532" w:type="pct"/>
                  <w:vAlign w:val="center"/>
                </w:tcPr>
                <w:p w14:paraId="42D95D3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532" w:type="pct"/>
                  <w:vAlign w:val="center"/>
                </w:tcPr>
                <w:p w14:paraId="19EEC0E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0.282</w:t>
                  </w:r>
                </w:p>
              </w:tc>
              <w:tc>
                <w:tcPr>
                  <w:tcW w:w="532" w:type="pct"/>
                  <w:vAlign w:val="center"/>
                </w:tcPr>
                <w:p w14:paraId="013E0F4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0.41</w:t>
                  </w:r>
                </w:p>
              </w:tc>
              <w:tc>
                <w:tcPr>
                  <w:tcW w:w="533" w:type="pct"/>
                  <w:vAlign w:val="center"/>
                </w:tcPr>
                <w:p w14:paraId="595C99A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533" w:type="pct"/>
                  <w:vAlign w:val="center"/>
                </w:tcPr>
                <w:p w14:paraId="2B8FD4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490D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4C73351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shd w:val="clear" w:color="auto" w:fill="auto"/>
                  <w:vAlign w:val="center"/>
                </w:tcPr>
                <w:p w14:paraId="0AC3BB1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2022.11.14</w:t>
                  </w:r>
                </w:p>
              </w:tc>
              <w:tc>
                <w:tcPr>
                  <w:tcW w:w="532" w:type="pct"/>
                  <w:vAlign w:val="center"/>
                </w:tcPr>
                <w:p w14:paraId="3002F28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7.6</w:t>
                  </w:r>
                </w:p>
              </w:tc>
              <w:tc>
                <w:tcPr>
                  <w:tcW w:w="532" w:type="pct"/>
                  <w:vAlign w:val="center"/>
                </w:tcPr>
                <w:p w14:paraId="025F88C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w:t>
                  </w:r>
                </w:p>
              </w:tc>
              <w:tc>
                <w:tcPr>
                  <w:tcW w:w="532" w:type="pct"/>
                  <w:vAlign w:val="center"/>
                </w:tcPr>
                <w:p w14:paraId="37A9CC6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532" w:type="pct"/>
                  <w:vAlign w:val="center"/>
                </w:tcPr>
                <w:p w14:paraId="1FD60A3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0.305</w:t>
                  </w:r>
                </w:p>
              </w:tc>
              <w:tc>
                <w:tcPr>
                  <w:tcW w:w="532" w:type="pct"/>
                  <w:vAlign w:val="center"/>
                </w:tcPr>
                <w:p w14:paraId="480D785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0.38</w:t>
                  </w:r>
                </w:p>
              </w:tc>
              <w:tc>
                <w:tcPr>
                  <w:tcW w:w="533" w:type="pct"/>
                  <w:vAlign w:val="center"/>
                </w:tcPr>
                <w:p w14:paraId="60C5DDD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533" w:type="pct"/>
                  <w:vAlign w:val="center"/>
                </w:tcPr>
                <w:p w14:paraId="241509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5F5A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791FCC4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shd w:val="clear" w:color="auto" w:fill="auto"/>
                  <w:vAlign w:val="center"/>
                </w:tcPr>
                <w:p w14:paraId="2DAE3F2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2022.11.15</w:t>
                  </w:r>
                </w:p>
              </w:tc>
              <w:tc>
                <w:tcPr>
                  <w:tcW w:w="532" w:type="pct"/>
                  <w:vAlign w:val="center"/>
                </w:tcPr>
                <w:p w14:paraId="748FF7A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w:t>
                  </w:r>
                </w:p>
              </w:tc>
              <w:tc>
                <w:tcPr>
                  <w:tcW w:w="532" w:type="pct"/>
                  <w:vAlign w:val="center"/>
                </w:tcPr>
                <w:p w14:paraId="60CF9BB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c>
                <w:tcPr>
                  <w:tcW w:w="532" w:type="pct"/>
                  <w:vAlign w:val="center"/>
                </w:tcPr>
                <w:p w14:paraId="6E32109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532" w:type="pct"/>
                  <w:vAlign w:val="center"/>
                </w:tcPr>
                <w:p w14:paraId="469AEF3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0.299</w:t>
                  </w:r>
                </w:p>
              </w:tc>
              <w:tc>
                <w:tcPr>
                  <w:tcW w:w="532" w:type="pct"/>
                  <w:vAlign w:val="center"/>
                </w:tcPr>
                <w:p w14:paraId="7B1D68C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0.44</w:t>
                  </w:r>
                </w:p>
              </w:tc>
              <w:tc>
                <w:tcPr>
                  <w:tcW w:w="533" w:type="pct"/>
                  <w:vAlign w:val="center"/>
                </w:tcPr>
                <w:p w14:paraId="57183E7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533" w:type="pct"/>
                  <w:vAlign w:val="center"/>
                </w:tcPr>
                <w:p w14:paraId="436B01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0A71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restart"/>
                  <w:vAlign w:val="center"/>
                </w:tcPr>
                <w:p w14:paraId="319D9BB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p>
              </w:tc>
              <w:tc>
                <w:tcPr>
                  <w:tcW w:w="741" w:type="pct"/>
                  <w:shd w:val="clear" w:color="auto" w:fill="auto"/>
                  <w:vAlign w:val="center"/>
                </w:tcPr>
                <w:p w14:paraId="5B39E06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2022.11.13</w:t>
                  </w:r>
                </w:p>
              </w:tc>
              <w:tc>
                <w:tcPr>
                  <w:tcW w:w="532" w:type="pct"/>
                  <w:vAlign w:val="center"/>
                </w:tcPr>
                <w:p w14:paraId="0F95105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w:t>
                  </w:r>
                </w:p>
              </w:tc>
              <w:tc>
                <w:tcPr>
                  <w:tcW w:w="532" w:type="pct"/>
                  <w:vAlign w:val="center"/>
                </w:tcPr>
                <w:p w14:paraId="4A77982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p>
              </w:tc>
              <w:tc>
                <w:tcPr>
                  <w:tcW w:w="532" w:type="pct"/>
                  <w:vAlign w:val="center"/>
                </w:tcPr>
                <w:p w14:paraId="7B9B6DA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532" w:type="pct"/>
                  <w:vAlign w:val="center"/>
                </w:tcPr>
                <w:p w14:paraId="746D677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0.499</w:t>
                  </w:r>
                </w:p>
              </w:tc>
              <w:tc>
                <w:tcPr>
                  <w:tcW w:w="532" w:type="pct"/>
                  <w:vAlign w:val="center"/>
                </w:tcPr>
                <w:p w14:paraId="4E06B91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0.59</w:t>
                  </w:r>
                </w:p>
              </w:tc>
              <w:tc>
                <w:tcPr>
                  <w:tcW w:w="533" w:type="pct"/>
                  <w:vAlign w:val="center"/>
                </w:tcPr>
                <w:p w14:paraId="3C37F40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533" w:type="pct"/>
                  <w:vAlign w:val="center"/>
                </w:tcPr>
                <w:p w14:paraId="7E6C6A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0A80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6D2A223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shd w:val="clear" w:color="auto" w:fill="auto"/>
                  <w:vAlign w:val="center"/>
                </w:tcPr>
                <w:p w14:paraId="5608350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2022.11.14</w:t>
                  </w:r>
                </w:p>
              </w:tc>
              <w:tc>
                <w:tcPr>
                  <w:tcW w:w="532" w:type="pct"/>
                  <w:vAlign w:val="center"/>
                </w:tcPr>
                <w:p w14:paraId="03AEEF3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532" w:type="pct"/>
                  <w:vAlign w:val="center"/>
                </w:tcPr>
                <w:p w14:paraId="4318046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532" w:type="pct"/>
                  <w:vAlign w:val="center"/>
                </w:tcPr>
                <w:p w14:paraId="11B37B0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532" w:type="pct"/>
                  <w:vAlign w:val="center"/>
                </w:tcPr>
                <w:p w14:paraId="26D7A6A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0.552</w:t>
                  </w:r>
                </w:p>
              </w:tc>
              <w:tc>
                <w:tcPr>
                  <w:tcW w:w="532" w:type="pct"/>
                  <w:vAlign w:val="center"/>
                </w:tcPr>
                <w:p w14:paraId="3CBF68E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0.63</w:t>
                  </w:r>
                </w:p>
              </w:tc>
              <w:tc>
                <w:tcPr>
                  <w:tcW w:w="533" w:type="pct"/>
                  <w:vAlign w:val="center"/>
                </w:tcPr>
                <w:p w14:paraId="7DE2282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tc>
              <w:tc>
                <w:tcPr>
                  <w:tcW w:w="533" w:type="pct"/>
                  <w:vAlign w:val="center"/>
                </w:tcPr>
                <w:p w14:paraId="63EB0D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3554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6AFFA7C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shd w:val="clear" w:color="auto" w:fill="auto"/>
                  <w:vAlign w:val="center"/>
                </w:tcPr>
                <w:p w14:paraId="046212D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2022.11.15</w:t>
                  </w:r>
                </w:p>
              </w:tc>
              <w:tc>
                <w:tcPr>
                  <w:tcW w:w="532" w:type="pct"/>
                  <w:vAlign w:val="center"/>
                </w:tcPr>
                <w:p w14:paraId="316EF11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w:t>
                  </w:r>
                </w:p>
              </w:tc>
              <w:tc>
                <w:tcPr>
                  <w:tcW w:w="532" w:type="pct"/>
                  <w:vAlign w:val="center"/>
                </w:tcPr>
                <w:p w14:paraId="1885477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c>
                <w:tcPr>
                  <w:tcW w:w="532" w:type="pct"/>
                  <w:vAlign w:val="center"/>
                </w:tcPr>
                <w:p w14:paraId="566AE4C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532" w:type="pct"/>
                  <w:vAlign w:val="center"/>
                </w:tcPr>
                <w:p w14:paraId="51832F7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0.511</w:t>
                  </w:r>
                </w:p>
              </w:tc>
              <w:tc>
                <w:tcPr>
                  <w:tcW w:w="532" w:type="pct"/>
                  <w:vAlign w:val="center"/>
                </w:tcPr>
                <w:p w14:paraId="1DAE576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0.66</w:t>
                  </w:r>
                </w:p>
              </w:tc>
              <w:tc>
                <w:tcPr>
                  <w:tcW w:w="533" w:type="pct"/>
                  <w:vAlign w:val="center"/>
                </w:tcPr>
                <w:p w14:paraId="651144F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w:t>
                  </w:r>
                </w:p>
              </w:tc>
              <w:tc>
                <w:tcPr>
                  <w:tcW w:w="533" w:type="pct"/>
                  <w:vAlign w:val="center"/>
                </w:tcPr>
                <w:p w14:paraId="5EA9E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64D8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restart"/>
                  <w:vAlign w:val="center"/>
                </w:tcPr>
                <w:p w14:paraId="7842583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p>
              </w:tc>
              <w:tc>
                <w:tcPr>
                  <w:tcW w:w="741" w:type="pct"/>
                  <w:shd w:val="clear" w:color="auto" w:fill="auto"/>
                  <w:vAlign w:val="center"/>
                </w:tcPr>
                <w:p w14:paraId="1659DCA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2022.11.13</w:t>
                  </w:r>
                </w:p>
              </w:tc>
              <w:tc>
                <w:tcPr>
                  <w:tcW w:w="532" w:type="pct"/>
                  <w:vAlign w:val="center"/>
                </w:tcPr>
                <w:p w14:paraId="4325189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w:t>
                  </w:r>
                </w:p>
              </w:tc>
              <w:tc>
                <w:tcPr>
                  <w:tcW w:w="532" w:type="pct"/>
                  <w:vAlign w:val="center"/>
                </w:tcPr>
                <w:p w14:paraId="7874D85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p>
              </w:tc>
              <w:tc>
                <w:tcPr>
                  <w:tcW w:w="532" w:type="pct"/>
                  <w:vAlign w:val="center"/>
                </w:tcPr>
                <w:p w14:paraId="52AA30E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532" w:type="pct"/>
                  <w:vAlign w:val="center"/>
                </w:tcPr>
                <w:p w14:paraId="3995FBD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0.382</w:t>
                  </w:r>
                </w:p>
              </w:tc>
              <w:tc>
                <w:tcPr>
                  <w:tcW w:w="532" w:type="pct"/>
                  <w:vAlign w:val="center"/>
                </w:tcPr>
                <w:p w14:paraId="7BADE39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0.53</w:t>
                  </w:r>
                </w:p>
              </w:tc>
              <w:tc>
                <w:tcPr>
                  <w:tcW w:w="533" w:type="pct"/>
                  <w:vAlign w:val="center"/>
                </w:tcPr>
                <w:p w14:paraId="340109D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w:t>
                  </w:r>
                </w:p>
              </w:tc>
              <w:tc>
                <w:tcPr>
                  <w:tcW w:w="533" w:type="pct"/>
                  <w:vAlign w:val="center"/>
                </w:tcPr>
                <w:p w14:paraId="019D4A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4E6E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461F7C7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shd w:val="clear" w:color="auto" w:fill="auto"/>
                  <w:vAlign w:val="center"/>
                </w:tcPr>
                <w:p w14:paraId="17C943B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2022.11.14</w:t>
                  </w:r>
                </w:p>
              </w:tc>
              <w:tc>
                <w:tcPr>
                  <w:tcW w:w="532" w:type="pct"/>
                  <w:vAlign w:val="center"/>
                </w:tcPr>
                <w:p w14:paraId="13F6B23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w:t>
                  </w:r>
                </w:p>
              </w:tc>
              <w:tc>
                <w:tcPr>
                  <w:tcW w:w="532" w:type="pct"/>
                  <w:vAlign w:val="center"/>
                </w:tcPr>
                <w:p w14:paraId="4D67550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532" w:type="pct"/>
                  <w:vAlign w:val="center"/>
                </w:tcPr>
                <w:p w14:paraId="7FADDF8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532" w:type="pct"/>
                  <w:vAlign w:val="center"/>
                </w:tcPr>
                <w:p w14:paraId="6BC810F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0.382</w:t>
                  </w:r>
                </w:p>
              </w:tc>
              <w:tc>
                <w:tcPr>
                  <w:tcW w:w="532" w:type="pct"/>
                  <w:vAlign w:val="center"/>
                </w:tcPr>
                <w:p w14:paraId="03E71BC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0.49</w:t>
                  </w:r>
                </w:p>
              </w:tc>
              <w:tc>
                <w:tcPr>
                  <w:tcW w:w="533" w:type="pct"/>
                  <w:vAlign w:val="center"/>
                </w:tcPr>
                <w:p w14:paraId="3326DF5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533" w:type="pct"/>
                  <w:vAlign w:val="center"/>
                </w:tcPr>
                <w:p w14:paraId="7CF381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r w14:paraId="737D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0F8EF10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pct"/>
                  <w:shd w:val="clear" w:color="auto" w:fill="auto"/>
                  <w:vAlign w:val="center"/>
                </w:tcPr>
                <w:p w14:paraId="4B24369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2022.11.15</w:t>
                  </w:r>
                </w:p>
              </w:tc>
              <w:tc>
                <w:tcPr>
                  <w:tcW w:w="532" w:type="pct"/>
                  <w:vAlign w:val="center"/>
                </w:tcPr>
                <w:p w14:paraId="02385B5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w:t>
                  </w:r>
                </w:p>
              </w:tc>
              <w:tc>
                <w:tcPr>
                  <w:tcW w:w="532" w:type="pct"/>
                  <w:vAlign w:val="center"/>
                </w:tcPr>
                <w:p w14:paraId="0522805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p>
              </w:tc>
              <w:tc>
                <w:tcPr>
                  <w:tcW w:w="532" w:type="pct"/>
                  <w:vAlign w:val="center"/>
                </w:tcPr>
                <w:p w14:paraId="7EE4ECD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532" w:type="pct"/>
                  <w:vAlign w:val="center"/>
                </w:tcPr>
                <w:p w14:paraId="3A306BA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0.423</w:t>
                  </w:r>
                </w:p>
              </w:tc>
              <w:tc>
                <w:tcPr>
                  <w:tcW w:w="532" w:type="pct"/>
                  <w:vAlign w:val="center"/>
                </w:tcPr>
                <w:p w14:paraId="133ED7D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0.56</w:t>
                  </w:r>
                </w:p>
              </w:tc>
              <w:tc>
                <w:tcPr>
                  <w:tcW w:w="533" w:type="pct"/>
                  <w:vAlign w:val="center"/>
                </w:tcPr>
                <w:p w14:paraId="4AD19B0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w:t>
                  </w:r>
                </w:p>
              </w:tc>
              <w:tc>
                <w:tcPr>
                  <w:tcW w:w="533" w:type="pct"/>
                  <w:vAlign w:val="center"/>
                </w:tcPr>
                <w:p w14:paraId="2096E4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0.01</w:t>
                  </w:r>
                </w:p>
              </w:tc>
            </w:tr>
          </w:tbl>
          <w:p w14:paraId="39352175">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由监测结果可知：老濉河的各项监测指标均能满足《地表水环境质量标准》（GB3838-2002）中的</w:t>
            </w:r>
            <w:r>
              <w:rPr>
                <w:rFonts w:hint="eastAsia" w:cs="Times New Roman"/>
                <w:color w:val="auto"/>
                <w:kern w:val="0"/>
                <w:sz w:val="24"/>
                <w:highlight w:val="none"/>
                <w:lang w:val="en-US" w:eastAsia="zh-CN"/>
              </w:rPr>
              <w:t>III</w:t>
            </w:r>
            <w:r>
              <w:rPr>
                <w:rFonts w:hint="default" w:ascii="Times New Roman" w:hAnsi="Times New Roman" w:eastAsia="宋体" w:cs="Times New Roman"/>
                <w:color w:val="auto"/>
                <w:kern w:val="0"/>
                <w:sz w:val="24"/>
                <w:highlight w:val="none"/>
                <w:lang w:val="en-US" w:eastAsia="zh-CN"/>
              </w:rPr>
              <w:t>类水标准要求。</w:t>
            </w:r>
          </w:p>
          <w:p w14:paraId="2FCF14EB">
            <w:pPr>
              <w:ind w:firstLine="482"/>
              <w:rPr>
                <w:rFonts w:hint="eastAsia"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3、声环境质量现状</w:t>
            </w:r>
          </w:p>
          <w:p w14:paraId="52820EEC">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项目位于</w:t>
            </w:r>
            <w:r>
              <w:rPr>
                <w:rFonts w:ascii="Times New Roman" w:hAnsi="Times New Roman" w:eastAsia="宋体" w:cs="Times New Roman"/>
                <w:color w:val="auto"/>
                <w:sz w:val="24"/>
                <w:szCs w:val="24"/>
                <w:highlight w:val="none"/>
                <w:lang w:eastAsia="zh-CN"/>
              </w:rPr>
              <w:t>安徽淮北相山经济开发区</w:t>
            </w:r>
            <w:r>
              <w:rPr>
                <w:rFonts w:hint="default" w:ascii="Times New Roman" w:hAnsi="Times New Roman" w:cs="Times New Roman"/>
                <w:color w:val="auto"/>
                <w:sz w:val="24"/>
                <w:szCs w:val="24"/>
                <w:highlight w:val="none"/>
              </w:rPr>
              <w:t>凤霞路9号</w:t>
            </w:r>
            <w:r>
              <w:rPr>
                <w:rFonts w:hint="default" w:ascii="Times New Roman" w:hAnsi="Times New Roman" w:eastAsia="宋体" w:cs="Times New Roman"/>
                <w:color w:val="auto"/>
                <w:kern w:val="0"/>
                <w:sz w:val="24"/>
                <w:highlight w:val="none"/>
                <w:lang w:val="en-US" w:eastAsia="zh-CN"/>
              </w:rPr>
              <w:t>，周边50m范围内无敏感保护目标，无需开展噪声现状监测</w:t>
            </w:r>
            <w:r>
              <w:rPr>
                <w:rFonts w:hint="eastAsia" w:ascii="Times New Roman" w:hAnsi="Times New Roman" w:eastAsia="宋体" w:cs="Times New Roman"/>
                <w:color w:val="auto"/>
                <w:kern w:val="0"/>
                <w:sz w:val="24"/>
                <w:highlight w:val="none"/>
                <w:lang w:val="en-US" w:eastAsia="zh-CN"/>
              </w:rPr>
              <w:t>。</w:t>
            </w:r>
          </w:p>
          <w:p w14:paraId="79EAE730">
            <w:pPr>
              <w:ind w:firstLine="482"/>
              <w:rPr>
                <w:rFonts w:hint="eastAsia"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4、生态环境</w:t>
            </w:r>
          </w:p>
          <w:p w14:paraId="147CE7F0">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highlight w:val="none"/>
                <w:lang w:val="en-US" w:eastAsia="zh-CN"/>
              </w:rPr>
            </w:pPr>
            <w:r>
              <w:rPr>
                <w:rFonts w:ascii="Times New Roman" w:hAnsi="Times New Roman" w:eastAsia="宋体" w:cs="Times New Roman"/>
                <w:color w:val="auto"/>
                <w:sz w:val="24"/>
                <w:highlight w:val="none"/>
                <w:lang w:eastAsia="zh-CN"/>
              </w:rPr>
              <w:t>本项目</w:t>
            </w:r>
            <w:r>
              <w:rPr>
                <w:rFonts w:hint="eastAsia" w:cs="Times New Roman"/>
                <w:color w:val="auto"/>
                <w:sz w:val="24"/>
                <w:highlight w:val="none"/>
                <w:lang w:val="en-US" w:eastAsia="zh-CN"/>
              </w:rPr>
              <w:t>位于</w:t>
            </w:r>
            <w:r>
              <w:rPr>
                <w:rFonts w:ascii="Times New Roman" w:hAnsi="Times New Roman" w:eastAsia="宋体" w:cs="Times New Roman"/>
                <w:color w:val="auto"/>
                <w:sz w:val="24"/>
                <w:szCs w:val="24"/>
                <w:highlight w:val="none"/>
                <w:lang w:eastAsia="zh-CN"/>
              </w:rPr>
              <w:t>安徽淮北相山经济开发区</w:t>
            </w:r>
            <w:r>
              <w:rPr>
                <w:rFonts w:hint="default" w:ascii="Times New Roman" w:hAnsi="Times New Roman" w:cs="Times New Roman"/>
                <w:color w:val="auto"/>
                <w:sz w:val="24"/>
                <w:szCs w:val="24"/>
                <w:highlight w:val="none"/>
              </w:rPr>
              <w:t>凤霞路9号</w:t>
            </w:r>
            <w:r>
              <w:rPr>
                <w:rFonts w:hint="eastAsia"/>
                <w:color w:val="auto"/>
                <w:sz w:val="24"/>
                <w:highlight w:val="none"/>
                <w:lang w:val="en-US" w:eastAsia="zh-CN"/>
              </w:rPr>
              <w:t>，项目租赁已建厂房，不新增用地且所在用地范围内</w:t>
            </w:r>
            <w:r>
              <w:rPr>
                <w:rFonts w:ascii="Times New Roman" w:hAnsi="Times New Roman" w:eastAsia="宋体" w:cs="Times New Roman"/>
                <w:color w:val="auto"/>
                <w:sz w:val="24"/>
                <w:highlight w:val="none"/>
                <w:lang w:eastAsia="zh-CN"/>
              </w:rPr>
              <w:t>无生态环境保护目标，</w:t>
            </w:r>
            <w:r>
              <w:rPr>
                <w:rFonts w:hint="eastAsia" w:cs="Times New Roman"/>
                <w:color w:val="auto"/>
                <w:sz w:val="24"/>
                <w:highlight w:val="none"/>
                <w:lang w:val="en-US" w:eastAsia="zh-CN"/>
              </w:rPr>
              <w:t>可</w:t>
            </w:r>
            <w:r>
              <w:rPr>
                <w:rFonts w:ascii="Times New Roman" w:hAnsi="Times New Roman" w:eastAsia="宋体" w:cs="Times New Roman"/>
                <w:color w:val="auto"/>
                <w:sz w:val="24"/>
                <w:highlight w:val="none"/>
                <w:lang w:eastAsia="zh-CN"/>
              </w:rPr>
              <w:t>不进行生态现状调查。</w:t>
            </w:r>
          </w:p>
          <w:p w14:paraId="6CB54E99">
            <w:pPr>
              <w:ind w:firstLine="482"/>
              <w:rPr>
                <w:rFonts w:hint="eastAsia"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5、电磁辐射</w:t>
            </w:r>
          </w:p>
          <w:p w14:paraId="27CBAF21">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本项目不涉及电磁辐射，不属于电磁辐射类项目，无需根据相关技术导则对项目电磁辐射现状开展监测与评价。</w:t>
            </w:r>
          </w:p>
          <w:p w14:paraId="685916DA">
            <w:pPr>
              <w:ind w:firstLine="482"/>
              <w:rPr>
                <w:rFonts w:hint="eastAsia"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6、地下水、土壤环境</w:t>
            </w:r>
          </w:p>
          <w:p w14:paraId="2011CD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rPr>
            </w:pPr>
            <w:r>
              <w:rPr>
                <w:rFonts w:hint="default" w:ascii="Times New Roman" w:hAnsi="Times New Roman" w:eastAsia="宋体" w:cs="Times New Roman"/>
                <w:color w:val="auto"/>
                <w:sz w:val="24"/>
                <w:highlight w:val="none"/>
                <w:lang w:eastAsia="zh-CN"/>
              </w:rPr>
              <w:t>本项目位于</w:t>
            </w:r>
            <w:r>
              <w:rPr>
                <w:rFonts w:ascii="Times New Roman" w:hAnsi="Times New Roman" w:eastAsia="宋体" w:cs="Times New Roman"/>
                <w:color w:val="auto"/>
                <w:sz w:val="24"/>
                <w:szCs w:val="24"/>
                <w:highlight w:val="none"/>
                <w:lang w:eastAsia="zh-CN"/>
              </w:rPr>
              <w:t>安徽淮北相山经济开发区</w:t>
            </w:r>
            <w:r>
              <w:rPr>
                <w:rFonts w:hint="default" w:ascii="Times New Roman" w:hAnsi="Times New Roman" w:cs="Times New Roman"/>
                <w:color w:val="auto"/>
                <w:sz w:val="24"/>
                <w:szCs w:val="24"/>
                <w:highlight w:val="none"/>
              </w:rPr>
              <w:t>凤霞路9号</w:t>
            </w:r>
            <w:r>
              <w:rPr>
                <w:rFonts w:hint="default" w:ascii="Times New Roman" w:hAnsi="Times New Roman" w:eastAsia="宋体" w:cs="Times New Roman"/>
                <w:color w:val="auto"/>
                <w:sz w:val="24"/>
                <w:highlight w:val="none"/>
                <w:lang w:eastAsia="zh-CN"/>
              </w:rPr>
              <w:t>，属于</w:t>
            </w:r>
            <w:r>
              <w:rPr>
                <w:rFonts w:hint="default" w:ascii="Times New Roman" w:hAnsi="Times New Roman" w:eastAsia="宋体" w:cs="Times New Roman"/>
                <w:color w:val="auto"/>
                <w:sz w:val="24"/>
                <w:highlight w:val="none"/>
                <w:lang w:val="en-US" w:eastAsia="zh-CN"/>
              </w:rPr>
              <w:t>工业用地</w:t>
            </w:r>
            <w:r>
              <w:rPr>
                <w:rFonts w:hint="default" w:ascii="Times New Roman" w:hAnsi="Times New Roman" w:eastAsia="宋体" w:cs="Times New Roman"/>
                <w:color w:val="auto"/>
                <w:sz w:val="24"/>
                <w:highlight w:val="none"/>
                <w:lang w:eastAsia="zh-CN"/>
              </w:rPr>
              <w:t>，周边为工业园区</w:t>
            </w:r>
            <w:r>
              <w:rPr>
                <w:rFonts w:hint="default" w:ascii="Times New Roman" w:hAnsi="Times New Roman" w:eastAsia="宋体" w:cs="Times New Roman"/>
                <w:color w:val="auto"/>
                <w:sz w:val="24"/>
                <w:highlight w:val="none"/>
                <w:lang w:val="en-US" w:eastAsia="zh-CN"/>
              </w:rPr>
              <w:t>内厂房</w:t>
            </w:r>
            <w:r>
              <w:rPr>
                <w:rFonts w:hint="default" w:ascii="Times New Roman" w:hAnsi="Times New Roman" w:eastAsia="宋体" w:cs="Times New Roman"/>
                <w:color w:val="auto"/>
                <w:sz w:val="24"/>
                <w:highlight w:val="none"/>
                <w:lang w:eastAsia="zh-CN"/>
              </w:rPr>
              <w:t>，本项目</w:t>
            </w:r>
            <w:r>
              <w:rPr>
                <w:rFonts w:hint="eastAsia" w:cs="Times New Roman"/>
                <w:color w:val="auto"/>
                <w:sz w:val="24"/>
                <w:highlight w:val="none"/>
                <w:lang w:val="en-US" w:eastAsia="zh-CN"/>
              </w:rPr>
              <w:t>生产车间已做了基础防渗</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现厂区车间使用C30混凝土建设20cm硬化地面</w:t>
            </w:r>
            <w:r>
              <w:rPr>
                <w:rFonts w:hint="eastAsia" w:ascii="Times New Roman" w:hAnsi="Times New Roman" w:eastAsia="宋体" w:cs="Times New Roman"/>
                <w:color w:val="auto"/>
                <w:sz w:val="24"/>
                <w:highlight w:val="none"/>
                <w:lang w:val="en-US" w:eastAsia="zh-CN"/>
              </w:rPr>
              <w:t>，项目针对</w:t>
            </w:r>
            <w:r>
              <w:rPr>
                <w:rFonts w:hint="default" w:ascii="Times New Roman" w:hAnsi="Times New Roman" w:eastAsia="宋体" w:cs="Times New Roman"/>
                <w:color w:val="auto"/>
                <w:sz w:val="24"/>
                <w:highlight w:val="none"/>
                <w:lang w:eastAsia="zh-CN"/>
              </w:rPr>
              <w:t>危废暂存间、</w:t>
            </w:r>
            <w:r>
              <w:rPr>
                <w:rFonts w:hint="eastAsia" w:ascii="Times New Roman" w:hAnsi="Times New Roman" w:eastAsia="宋体" w:cs="Times New Roman"/>
                <w:color w:val="auto"/>
                <w:sz w:val="24"/>
                <w:highlight w:val="none"/>
                <w:lang w:val="en-US" w:eastAsia="zh-CN"/>
              </w:rPr>
              <w:t>化学品库</w:t>
            </w:r>
            <w:r>
              <w:rPr>
                <w:rFonts w:hint="default" w:ascii="Times New Roman" w:hAnsi="Times New Roman" w:eastAsia="宋体" w:cs="Times New Roman"/>
                <w:color w:val="auto"/>
                <w:sz w:val="24"/>
                <w:highlight w:val="none"/>
                <w:lang w:eastAsia="zh-CN"/>
              </w:rPr>
              <w:t>、喷漆房</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清洗区域</w:t>
            </w:r>
            <w:r>
              <w:rPr>
                <w:rFonts w:hint="eastAsia" w:cs="Times New Roman"/>
                <w:color w:val="auto"/>
                <w:sz w:val="24"/>
                <w:highlight w:val="none"/>
                <w:lang w:val="en-US" w:eastAsia="zh-CN"/>
              </w:rPr>
              <w:t>、事故池、喷塑房、固化区域为</w:t>
            </w:r>
            <w:r>
              <w:rPr>
                <w:rFonts w:hint="default" w:ascii="Times New Roman" w:hAnsi="Times New Roman" w:eastAsia="宋体" w:cs="Times New Roman"/>
                <w:color w:val="auto"/>
                <w:sz w:val="24"/>
                <w:highlight w:val="none"/>
                <w:lang w:eastAsia="zh-CN"/>
              </w:rPr>
              <w:t>重点防渗区，</w:t>
            </w:r>
            <w:r>
              <w:rPr>
                <w:rFonts w:hint="eastAsia" w:cs="Times New Roman"/>
                <w:color w:val="auto"/>
                <w:sz w:val="24"/>
                <w:highlight w:val="none"/>
                <w:lang w:val="en-US" w:eastAsia="zh-CN"/>
              </w:rPr>
              <w:t>采用环氧地坪漆进行防渗处理</w:t>
            </w:r>
            <w:r>
              <w:rPr>
                <w:rFonts w:hint="default" w:ascii="Times New Roman" w:hAnsi="Times New Roman" w:eastAsia="宋体" w:cs="Times New Roman"/>
                <w:color w:val="auto"/>
                <w:sz w:val="24"/>
                <w:highlight w:val="none"/>
                <w:lang w:eastAsia="zh-CN"/>
              </w:rPr>
              <w:t>，且液体</w:t>
            </w:r>
            <w:r>
              <w:rPr>
                <w:rFonts w:hint="default" w:ascii="Times New Roman" w:hAnsi="Times New Roman" w:eastAsia="宋体" w:cs="Times New Roman"/>
                <w:color w:val="auto"/>
                <w:sz w:val="24"/>
                <w:highlight w:val="none"/>
                <w:lang w:val="en-US" w:eastAsia="zh-CN"/>
              </w:rPr>
              <w:t>危险废物</w:t>
            </w:r>
            <w:r>
              <w:rPr>
                <w:rFonts w:hint="default" w:ascii="Times New Roman" w:hAnsi="Times New Roman" w:eastAsia="宋体" w:cs="Times New Roman"/>
                <w:color w:val="auto"/>
                <w:sz w:val="24"/>
                <w:highlight w:val="none"/>
                <w:lang w:eastAsia="zh-CN"/>
              </w:rPr>
              <w:t>设置托盘，泄漏后进入可由托盘进行收集，无直接泄漏至地下水和土壤的途径，故本次评价不对地下水和土壤进行现状监测。</w:t>
            </w:r>
            <w:r>
              <w:rPr>
                <w:rFonts w:hint="eastAsia"/>
                <w:color w:val="auto"/>
                <w:highlight w:val="none"/>
              </w:rPr>
              <w:tab/>
            </w:r>
          </w:p>
        </w:tc>
      </w:tr>
      <w:tr w14:paraId="2CA34C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72" w:type="pct"/>
            <w:tcBorders>
              <w:tl2br w:val="nil"/>
              <w:tr2bl w:val="nil"/>
            </w:tcBorders>
            <w:vAlign w:val="center"/>
          </w:tcPr>
          <w:p w14:paraId="3C0C82DD">
            <w:pPr>
              <w:adjustRightInd w:val="0"/>
              <w:snapToGrid w:val="0"/>
              <w:ind w:firstLine="0" w:firstLineChars="0"/>
              <w:jc w:val="center"/>
              <w:rPr>
                <w:rFonts w:ascii="宋体" w:hAnsi="宋体" w:cs="宋体"/>
                <w:color w:val="auto"/>
                <w:highlight w:val="none"/>
              </w:rPr>
            </w:pPr>
            <w:r>
              <w:rPr>
                <w:rFonts w:hint="eastAsia" w:ascii="宋体" w:hAnsi="宋体" w:cs="宋体"/>
                <w:color w:val="auto"/>
                <w:highlight w:val="none"/>
              </w:rPr>
              <w:t>环境</w:t>
            </w:r>
          </w:p>
          <w:p w14:paraId="2B5CB8DD">
            <w:pPr>
              <w:adjustRightInd w:val="0"/>
              <w:snapToGrid w:val="0"/>
              <w:ind w:firstLine="0" w:firstLineChars="0"/>
              <w:jc w:val="center"/>
              <w:rPr>
                <w:rFonts w:ascii="宋体" w:hAnsi="宋体" w:cs="宋体"/>
                <w:color w:val="auto"/>
                <w:highlight w:val="none"/>
              </w:rPr>
            </w:pPr>
            <w:r>
              <w:rPr>
                <w:rFonts w:hint="eastAsia" w:ascii="宋体" w:hAnsi="宋体" w:cs="宋体"/>
                <w:color w:val="auto"/>
                <w:highlight w:val="none"/>
              </w:rPr>
              <w:t>保护</w:t>
            </w:r>
          </w:p>
          <w:p w14:paraId="1AC5C22A">
            <w:pPr>
              <w:adjustRightInd w:val="0"/>
              <w:snapToGrid w:val="0"/>
              <w:ind w:firstLine="0" w:firstLineChars="0"/>
              <w:jc w:val="center"/>
              <w:rPr>
                <w:rFonts w:hint="eastAsia" w:ascii="宋体" w:hAnsi="宋体" w:cs="宋体"/>
                <w:color w:val="auto"/>
                <w:highlight w:val="none"/>
              </w:rPr>
            </w:pPr>
            <w:r>
              <w:rPr>
                <w:rFonts w:hint="eastAsia" w:ascii="宋体" w:hAnsi="宋体" w:cs="宋体"/>
                <w:color w:val="auto"/>
                <w:highlight w:val="none"/>
              </w:rPr>
              <w:t>目标</w:t>
            </w:r>
          </w:p>
        </w:tc>
        <w:tc>
          <w:tcPr>
            <w:tcW w:w="4627" w:type="pct"/>
            <w:tcBorders>
              <w:tl2br w:val="nil"/>
              <w:tr2bl w:val="nil"/>
            </w:tcBorders>
            <w:vAlign w:val="center"/>
          </w:tcPr>
          <w:p w14:paraId="17E7BE1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rPr>
              <w:t>1、大气环境保护目标</w:t>
            </w:r>
          </w:p>
          <w:p w14:paraId="2EB5E2AD">
            <w:pPr>
              <w:widowControl w:val="0"/>
              <w:kinsoku/>
              <w:autoSpaceDE/>
              <w:autoSpaceDN/>
              <w:adjustRightInd/>
              <w:snapToGrid/>
              <w:jc w:val="center"/>
              <w:textAlignment w:val="auto"/>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表3-8  大气环境保护目标一览表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37"/>
              <w:gridCol w:w="640"/>
              <w:gridCol w:w="707"/>
              <w:gridCol w:w="1169"/>
              <w:gridCol w:w="2358"/>
              <w:gridCol w:w="906"/>
              <w:gridCol w:w="1059"/>
            </w:tblGrid>
            <w:tr w14:paraId="0308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4" w:type="pct"/>
                  <w:vMerge w:val="restart"/>
                  <w:vAlign w:val="center"/>
                </w:tcPr>
                <w:p w14:paraId="12C5C185">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名称</w:t>
                  </w:r>
                </w:p>
              </w:tc>
              <w:tc>
                <w:tcPr>
                  <w:tcW w:w="779" w:type="pct"/>
                  <w:gridSpan w:val="2"/>
                  <w:vAlign w:val="center"/>
                </w:tcPr>
                <w:p w14:paraId="479DC769">
                  <w:pPr>
                    <w:widowControl w:val="0"/>
                    <w:kinsoku/>
                    <w:autoSpaceDE/>
                    <w:autoSpaceDN/>
                    <w:adjustRightInd/>
                    <w:snapToGrid/>
                    <w:jc w:val="center"/>
                    <w:textAlignment w:val="auto"/>
                    <w:rPr>
                      <w:rFonts w:hint="eastAsia" w:ascii="Times New Roman" w:hAnsi="Times New Roman" w:eastAsia="宋体" w:cs="Times New Roman"/>
                      <w:color w:val="auto"/>
                      <w:lang w:eastAsia="zh-CN"/>
                    </w:rPr>
                  </w:pPr>
                  <w:r>
                    <w:rPr>
                      <w:rFonts w:ascii="Times New Roman" w:hAnsi="Times New Roman" w:eastAsia="宋体" w:cs="Times New Roman"/>
                      <w:color w:val="auto"/>
                      <w:lang w:eastAsia="zh-CN"/>
                    </w:rPr>
                    <w:t>坐标/m</w:t>
                  </w:r>
                </w:p>
              </w:tc>
              <w:tc>
                <w:tcPr>
                  <w:tcW w:w="431" w:type="pct"/>
                  <w:vMerge w:val="restart"/>
                  <w:vAlign w:val="center"/>
                </w:tcPr>
                <w:p w14:paraId="0AF7D48D">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坐标/m</w:t>
                  </w:r>
                </w:p>
              </w:tc>
              <w:tc>
                <w:tcPr>
                  <w:tcW w:w="713" w:type="pct"/>
                  <w:vMerge w:val="restart"/>
                  <w:vAlign w:val="center"/>
                </w:tcPr>
                <w:p w14:paraId="60A1CAAF">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保护对象</w:t>
                  </w:r>
                </w:p>
              </w:tc>
              <w:tc>
                <w:tcPr>
                  <w:tcW w:w="1439" w:type="pct"/>
                  <w:vMerge w:val="restart"/>
                  <w:vAlign w:val="center"/>
                </w:tcPr>
                <w:p w14:paraId="39E994E2">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环境功能区</w:t>
                  </w:r>
                </w:p>
              </w:tc>
              <w:tc>
                <w:tcPr>
                  <w:tcW w:w="553" w:type="pct"/>
                  <w:vMerge w:val="restart"/>
                  <w:vAlign w:val="center"/>
                </w:tcPr>
                <w:p w14:paraId="51017EDD">
                  <w:pPr>
                    <w:widowControl w:val="0"/>
                    <w:kinsoku/>
                    <w:autoSpaceDE/>
                    <w:autoSpaceDN/>
                    <w:adjustRightInd/>
                    <w:snapToGrid/>
                    <w:jc w:val="left"/>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相对厂区方位</w:t>
                  </w:r>
                </w:p>
              </w:tc>
              <w:tc>
                <w:tcPr>
                  <w:tcW w:w="646" w:type="pct"/>
                  <w:vMerge w:val="restart"/>
                  <w:vAlign w:val="center"/>
                </w:tcPr>
                <w:p w14:paraId="416CB92E">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相对厂界距离/m</w:t>
                  </w:r>
                </w:p>
              </w:tc>
            </w:tr>
            <w:tr w14:paraId="72A4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4" w:type="pct"/>
                  <w:vMerge w:val="continue"/>
                  <w:vAlign w:val="center"/>
                </w:tcPr>
                <w:p w14:paraId="084C2738">
                  <w:pPr>
                    <w:widowControl w:val="0"/>
                    <w:kinsoku/>
                    <w:autoSpaceDE/>
                    <w:autoSpaceDN/>
                    <w:adjustRightInd/>
                    <w:snapToGrid/>
                    <w:jc w:val="center"/>
                    <w:textAlignment w:val="auto"/>
                    <w:rPr>
                      <w:rFonts w:ascii="Times New Roman" w:hAnsi="Times New Roman" w:eastAsia="宋体" w:cs="Times New Roman"/>
                      <w:color w:val="auto"/>
                      <w:lang w:eastAsia="zh-CN"/>
                    </w:rPr>
                  </w:pPr>
                </w:p>
              </w:tc>
              <w:tc>
                <w:tcPr>
                  <w:tcW w:w="388" w:type="pct"/>
                  <w:vAlign w:val="center"/>
                </w:tcPr>
                <w:p w14:paraId="6C8944D8">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x</w:t>
                  </w:r>
                </w:p>
              </w:tc>
              <w:tc>
                <w:tcPr>
                  <w:tcW w:w="390" w:type="pct"/>
                  <w:vAlign w:val="center"/>
                </w:tcPr>
                <w:p w14:paraId="6922F776">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y</w:t>
                  </w:r>
                </w:p>
              </w:tc>
              <w:tc>
                <w:tcPr>
                  <w:tcW w:w="431" w:type="pct"/>
                  <w:vMerge w:val="continue"/>
                  <w:vAlign w:val="center"/>
                </w:tcPr>
                <w:p w14:paraId="7D7C553C">
                  <w:pPr>
                    <w:widowControl w:val="0"/>
                    <w:kinsoku/>
                    <w:autoSpaceDE/>
                    <w:autoSpaceDN/>
                    <w:adjustRightInd/>
                    <w:snapToGrid/>
                    <w:jc w:val="center"/>
                    <w:textAlignment w:val="auto"/>
                    <w:rPr>
                      <w:rFonts w:ascii="Times New Roman" w:hAnsi="Times New Roman" w:eastAsia="宋体" w:cs="Times New Roman"/>
                      <w:color w:val="auto"/>
                      <w:lang w:eastAsia="zh-CN"/>
                    </w:rPr>
                  </w:pPr>
                </w:p>
              </w:tc>
              <w:tc>
                <w:tcPr>
                  <w:tcW w:w="713" w:type="pct"/>
                  <w:vMerge w:val="continue"/>
                  <w:vAlign w:val="center"/>
                </w:tcPr>
                <w:p w14:paraId="25DEEA2A">
                  <w:pPr>
                    <w:widowControl w:val="0"/>
                    <w:kinsoku/>
                    <w:autoSpaceDE/>
                    <w:autoSpaceDN/>
                    <w:adjustRightInd/>
                    <w:snapToGrid/>
                    <w:jc w:val="center"/>
                    <w:textAlignment w:val="auto"/>
                    <w:rPr>
                      <w:rFonts w:ascii="Times New Roman" w:hAnsi="Times New Roman" w:eastAsia="宋体" w:cs="Times New Roman"/>
                      <w:color w:val="auto"/>
                      <w:lang w:eastAsia="zh-CN"/>
                    </w:rPr>
                  </w:pPr>
                </w:p>
              </w:tc>
              <w:tc>
                <w:tcPr>
                  <w:tcW w:w="1439" w:type="pct"/>
                  <w:vMerge w:val="continue"/>
                  <w:vAlign w:val="center"/>
                </w:tcPr>
                <w:p w14:paraId="73CA2166">
                  <w:pPr>
                    <w:widowControl w:val="0"/>
                    <w:kinsoku/>
                    <w:autoSpaceDE/>
                    <w:autoSpaceDN/>
                    <w:adjustRightInd/>
                    <w:snapToGrid/>
                    <w:jc w:val="center"/>
                    <w:textAlignment w:val="auto"/>
                    <w:rPr>
                      <w:rFonts w:ascii="Times New Roman" w:hAnsi="Times New Roman" w:eastAsia="宋体" w:cs="Times New Roman"/>
                      <w:color w:val="auto"/>
                      <w:lang w:eastAsia="zh-CN"/>
                    </w:rPr>
                  </w:pPr>
                </w:p>
              </w:tc>
              <w:tc>
                <w:tcPr>
                  <w:tcW w:w="553" w:type="pct"/>
                  <w:vMerge w:val="continue"/>
                  <w:vAlign w:val="center"/>
                </w:tcPr>
                <w:p w14:paraId="2C704596">
                  <w:pPr>
                    <w:widowControl w:val="0"/>
                    <w:kinsoku/>
                    <w:autoSpaceDE/>
                    <w:autoSpaceDN/>
                    <w:adjustRightInd/>
                    <w:snapToGrid/>
                    <w:jc w:val="center"/>
                    <w:textAlignment w:val="auto"/>
                    <w:rPr>
                      <w:rFonts w:ascii="Times New Roman" w:hAnsi="Times New Roman" w:eastAsia="宋体" w:cs="Times New Roman"/>
                      <w:color w:val="auto"/>
                      <w:lang w:eastAsia="zh-CN"/>
                    </w:rPr>
                  </w:pPr>
                </w:p>
              </w:tc>
              <w:tc>
                <w:tcPr>
                  <w:tcW w:w="646" w:type="pct"/>
                  <w:vMerge w:val="continue"/>
                  <w:vAlign w:val="center"/>
                </w:tcPr>
                <w:p w14:paraId="6A2A44F6">
                  <w:pPr>
                    <w:widowControl w:val="0"/>
                    <w:kinsoku/>
                    <w:autoSpaceDE/>
                    <w:autoSpaceDN/>
                    <w:adjustRightInd/>
                    <w:snapToGrid/>
                    <w:jc w:val="center"/>
                    <w:textAlignment w:val="auto"/>
                    <w:rPr>
                      <w:rFonts w:ascii="Times New Roman" w:hAnsi="Times New Roman" w:eastAsia="宋体" w:cs="Times New Roman"/>
                      <w:color w:val="auto"/>
                      <w:lang w:eastAsia="zh-CN"/>
                    </w:rPr>
                  </w:pPr>
                </w:p>
              </w:tc>
            </w:tr>
            <w:tr w14:paraId="4205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4" w:type="pct"/>
                  <w:vAlign w:val="center"/>
                </w:tcPr>
                <w:p w14:paraId="2A862CD9">
                  <w:pPr>
                    <w:widowControl w:val="0"/>
                    <w:kinsoku/>
                    <w:autoSpaceDE/>
                    <w:autoSpaceDN/>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丁圩孜</w:t>
                  </w:r>
                </w:p>
              </w:tc>
              <w:tc>
                <w:tcPr>
                  <w:tcW w:w="388" w:type="pct"/>
                  <w:vAlign w:val="center"/>
                </w:tcPr>
                <w:p w14:paraId="787346BD">
                  <w:pPr>
                    <w:widowControl w:val="0"/>
                    <w:kinsoku/>
                    <w:autoSpaceDE/>
                    <w:autoSpaceDN/>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-322</w:t>
                  </w:r>
                </w:p>
              </w:tc>
              <w:tc>
                <w:tcPr>
                  <w:tcW w:w="390" w:type="pct"/>
                  <w:vAlign w:val="center"/>
                </w:tcPr>
                <w:p w14:paraId="796DAC8E">
                  <w:pPr>
                    <w:widowControl w:val="0"/>
                    <w:kinsoku/>
                    <w:autoSpaceDE/>
                    <w:autoSpaceDN/>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273</w:t>
                  </w:r>
                </w:p>
              </w:tc>
              <w:tc>
                <w:tcPr>
                  <w:tcW w:w="431" w:type="pct"/>
                  <w:vAlign w:val="center"/>
                </w:tcPr>
                <w:p w14:paraId="7F81B300">
                  <w:pPr>
                    <w:widowControl/>
                    <w:kinsoku/>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居民点</w:t>
                  </w:r>
                </w:p>
              </w:tc>
              <w:tc>
                <w:tcPr>
                  <w:tcW w:w="713" w:type="pct"/>
                  <w:vAlign w:val="center"/>
                </w:tcPr>
                <w:p w14:paraId="2DBD0B1A">
                  <w:pPr>
                    <w:widowControl/>
                    <w:kinsoku/>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5</w:t>
                  </w:r>
                  <w:r>
                    <w:rPr>
                      <w:rFonts w:ascii="Times New Roman" w:hAnsi="Times New Roman" w:eastAsia="宋体" w:cs="Times New Roman"/>
                      <w:color w:val="auto"/>
                    </w:rPr>
                    <w:t>户/</w:t>
                  </w:r>
                  <w:r>
                    <w:rPr>
                      <w:rFonts w:hint="eastAsia" w:ascii="Times New Roman" w:hAnsi="Times New Roman" w:eastAsia="宋体" w:cs="Times New Roman"/>
                      <w:color w:val="auto"/>
                      <w:lang w:val="en-US" w:eastAsia="zh-CN"/>
                    </w:rPr>
                    <w:t>15</w:t>
                  </w:r>
                  <w:r>
                    <w:rPr>
                      <w:rFonts w:ascii="Times New Roman" w:hAnsi="Times New Roman" w:eastAsia="宋体" w:cs="Times New Roman"/>
                      <w:color w:val="auto"/>
                    </w:rPr>
                    <w:t>人</w:t>
                  </w:r>
                </w:p>
              </w:tc>
              <w:tc>
                <w:tcPr>
                  <w:tcW w:w="1439" w:type="pct"/>
                  <w:vAlign w:val="center"/>
                </w:tcPr>
                <w:p w14:paraId="485FA0EA">
                  <w:pPr>
                    <w:pStyle w:val="52"/>
                    <w:widowControl/>
                    <w:kinsoku/>
                    <w:adjustRightInd/>
                    <w:snapToGrid/>
                    <w:spacing w:line="240" w:lineRule="auto"/>
                    <w:ind w:left="0" w:firstLine="0" w:firstLineChars="0"/>
                    <w:rPr>
                      <w:rFonts w:ascii="Times New Roman" w:hAnsi="Times New Roman" w:cs="Times New Roman"/>
                      <w:b w:val="0"/>
                      <w:color w:val="auto"/>
                      <w:lang w:eastAsia="zh-CN"/>
                    </w:rPr>
                  </w:pPr>
                  <w:r>
                    <w:rPr>
                      <w:rFonts w:ascii="Times New Roman" w:hAnsi="Times New Roman" w:cs="Times New Roman"/>
                      <w:b w:val="0"/>
                      <w:bCs/>
                      <w:color w:val="auto"/>
                      <w:lang w:eastAsia="zh-CN"/>
                    </w:rPr>
                    <w:t>《环境空气质量标准》（GB3095-2012）及其修改单中的二级标准</w:t>
                  </w:r>
                </w:p>
              </w:tc>
              <w:tc>
                <w:tcPr>
                  <w:tcW w:w="553" w:type="pct"/>
                  <w:vAlign w:val="center"/>
                </w:tcPr>
                <w:p w14:paraId="17ACFAE4">
                  <w:pPr>
                    <w:widowControl/>
                    <w:kinsoku/>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西北</w:t>
                  </w:r>
                </w:p>
              </w:tc>
              <w:tc>
                <w:tcPr>
                  <w:tcW w:w="646" w:type="pct"/>
                  <w:vAlign w:val="center"/>
                </w:tcPr>
                <w:p w14:paraId="6221B40C">
                  <w:pPr>
                    <w:widowControl/>
                    <w:kinsoku/>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409</w:t>
                  </w:r>
                </w:p>
              </w:tc>
            </w:tr>
            <w:tr w14:paraId="3E7C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vAlign w:val="center"/>
                </w:tcPr>
                <w:p w14:paraId="38232267">
                  <w:pPr>
                    <w:widowControl/>
                    <w:kinsoku/>
                    <w:adjustRightInd/>
                    <w:snapToGrid/>
                    <w:jc w:val="both"/>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1"/>
                      <w:lang w:val="en-US" w:eastAsia="zh-CN"/>
                    </w:rPr>
                    <w:t>以厂房西北角边界为坐标原点（116.7472268°，34.0032905°）</w:t>
                  </w:r>
                </w:p>
              </w:tc>
            </w:tr>
          </w:tbl>
          <w:p w14:paraId="301419F6">
            <w:pPr>
              <w:widowControl w:val="0"/>
              <w:kinsoku/>
              <w:autoSpaceDE/>
              <w:autoSpaceDN/>
              <w:adjustRightInd/>
              <w:snapToGrid/>
              <w:spacing w:line="360" w:lineRule="auto"/>
              <w:ind w:firstLine="482" w:firstLineChars="200"/>
              <w:textAlignment w:val="auto"/>
              <w:rPr>
                <w:rFonts w:ascii="Times New Roman" w:hAnsi="Times New Roman" w:eastAsia="宋体" w:cs="Times New Roman"/>
                <w:b/>
                <w:bCs/>
                <w:color w:val="auto"/>
                <w:sz w:val="24"/>
                <w:szCs w:val="24"/>
                <w:lang w:eastAsia="zh-CN"/>
              </w:rPr>
            </w:pPr>
            <w:r>
              <w:rPr>
                <w:rFonts w:ascii="Times New Roman" w:hAnsi="Times New Roman" w:eastAsia="宋体" w:cs="Times New Roman"/>
                <w:b/>
                <w:bCs/>
                <w:snapToGrid w:val="0"/>
                <w:color w:val="auto"/>
                <w:sz w:val="24"/>
                <w:szCs w:val="24"/>
                <w:lang w:val="en-US" w:eastAsia="zh-CN" w:bidi="ar-SA"/>
              </w:rPr>
              <w:t>2、</w:t>
            </w:r>
            <w:r>
              <w:rPr>
                <w:rFonts w:ascii="Times New Roman" w:hAnsi="Times New Roman" w:eastAsia="宋体" w:cs="Times New Roman"/>
                <w:b/>
                <w:bCs/>
                <w:color w:val="auto"/>
                <w:sz w:val="24"/>
                <w:szCs w:val="24"/>
                <w:lang w:eastAsia="zh-CN"/>
              </w:rPr>
              <w:t>地表水环境保护目标</w:t>
            </w:r>
          </w:p>
          <w:p w14:paraId="5F0C60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表3-</w:t>
            </w:r>
            <w:r>
              <w:rPr>
                <w:rFonts w:hint="eastAsia" w:cs="Times New Roman"/>
                <w:b/>
                <w:color w:val="auto"/>
                <w:sz w:val="24"/>
                <w:highlight w:val="none"/>
                <w:lang w:val="en-US" w:eastAsia="zh-CN"/>
              </w:rPr>
              <w:t>9</w:t>
            </w:r>
            <w:r>
              <w:rPr>
                <w:rFonts w:hint="default" w:ascii="Times New Roman" w:hAnsi="Times New Roman" w:eastAsia="宋体" w:cs="Times New Roman"/>
                <w:b/>
                <w:color w:val="auto"/>
                <w:sz w:val="24"/>
                <w:highlight w:val="none"/>
                <w:lang w:val="en-US" w:eastAsia="zh-CN"/>
              </w:rPr>
              <w:t xml:space="preserve">  </w:t>
            </w:r>
            <w:r>
              <w:rPr>
                <w:rFonts w:hint="eastAsia" w:cs="Times New Roman"/>
                <w:b/>
                <w:color w:val="auto"/>
                <w:sz w:val="24"/>
                <w:highlight w:val="none"/>
                <w:lang w:val="en-US" w:eastAsia="zh-CN"/>
              </w:rPr>
              <w:t>地表水保护</w:t>
            </w:r>
            <w:r>
              <w:rPr>
                <w:rFonts w:hint="default" w:ascii="Times New Roman" w:hAnsi="Times New Roman" w:eastAsia="宋体" w:cs="Times New Roman"/>
                <w:b/>
                <w:color w:val="auto"/>
                <w:sz w:val="24"/>
                <w:highlight w:val="none"/>
                <w:lang w:val="en-US" w:eastAsia="zh-CN"/>
              </w:rPr>
              <w:t>目标分布表</w:t>
            </w:r>
          </w:p>
          <w:tbl>
            <w:tblPr>
              <w:tblStyle w:val="25"/>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1"/>
              <w:gridCol w:w="797"/>
              <w:gridCol w:w="474"/>
              <w:gridCol w:w="521"/>
              <w:gridCol w:w="851"/>
              <w:gridCol w:w="851"/>
              <w:gridCol w:w="1213"/>
              <w:gridCol w:w="1137"/>
              <w:gridCol w:w="1118"/>
            </w:tblGrid>
            <w:tr w14:paraId="0E1A6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746" w:type="pct"/>
                  <w:vMerge w:val="restart"/>
                  <w:shd w:val="clear" w:color="auto" w:fill="auto"/>
                  <w:vAlign w:val="center"/>
                </w:tcPr>
                <w:p w14:paraId="7C9A09B2">
                  <w:pPr>
                    <w:pStyle w:val="41"/>
                    <w:rPr>
                      <w:rFonts w:ascii="Times New Roman" w:hAnsi="Times New Roman"/>
                      <w:color w:val="auto"/>
                      <w:highlight w:val="none"/>
                    </w:rPr>
                  </w:pPr>
                  <w:bookmarkStart w:id="14" w:name="_Toc15225"/>
                  <w:bookmarkStart w:id="15" w:name="_Toc29490"/>
                  <w:bookmarkStart w:id="16" w:name="_Toc8906"/>
                  <w:bookmarkStart w:id="17" w:name="_Toc20044"/>
                  <w:r>
                    <w:rPr>
                      <w:rFonts w:ascii="Times New Roman" w:hAnsi="Times New Roman"/>
                      <w:color w:val="auto"/>
                      <w:highlight w:val="none"/>
                    </w:rPr>
                    <w:t>类别</w:t>
                  </w:r>
                  <w:bookmarkEnd w:id="14"/>
                  <w:bookmarkEnd w:id="15"/>
                  <w:bookmarkEnd w:id="16"/>
                  <w:bookmarkEnd w:id="17"/>
                </w:p>
              </w:tc>
              <w:tc>
                <w:tcPr>
                  <w:tcW w:w="487" w:type="pct"/>
                  <w:vMerge w:val="restart"/>
                  <w:shd w:val="clear" w:color="auto" w:fill="auto"/>
                  <w:vAlign w:val="center"/>
                </w:tcPr>
                <w:p w14:paraId="04908BA5">
                  <w:pPr>
                    <w:pStyle w:val="41"/>
                    <w:rPr>
                      <w:rFonts w:ascii="Times New Roman" w:hAnsi="Times New Roman"/>
                      <w:color w:val="auto"/>
                      <w:highlight w:val="none"/>
                    </w:rPr>
                  </w:pPr>
                  <w:bookmarkStart w:id="18" w:name="_Toc20561"/>
                  <w:bookmarkStart w:id="19" w:name="_Toc29204"/>
                  <w:bookmarkStart w:id="20" w:name="_Toc13335"/>
                  <w:bookmarkStart w:id="21" w:name="_Toc13216"/>
                  <w:r>
                    <w:rPr>
                      <w:rFonts w:ascii="Times New Roman" w:hAnsi="Times New Roman"/>
                      <w:color w:val="auto"/>
                      <w:highlight w:val="none"/>
                    </w:rPr>
                    <w:t>名称</w:t>
                  </w:r>
                  <w:bookmarkEnd w:id="18"/>
                  <w:bookmarkEnd w:id="19"/>
                  <w:bookmarkEnd w:id="20"/>
                  <w:bookmarkEnd w:id="21"/>
                </w:p>
              </w:tc>
              <w:tc>
                <w:tcPr>
                  <w:tcW w:w="608" w:type="pct"/>
                  <w:gridSpan w:val="2"/>
                  <w:shd w:val="clear" w:color="auto" w:fill="auto"/>
                  <w:vAlign w:val="center"/>
                </w:tcPr>
                <w:p w14:paraId="0D796F0E">
                  <w:pPr>
                    <w:pStyle w:val="41"/>
                    <w:rPr>
                      <w:rFonts w:ascii="Times New Roman" w:hAnsi="Times New Roman"/>
                      <w:color w:val="auto"/>
                      <w:highlight w:val="none"/>
                    </w:rPr>
                  </w:pPr>
                  <w:bookmarkStart w:id="22" w:name="_Toc8215"/>
                  <w:bookmarkStart w:id="23" w:name="_Toc2647"/>
                  <w:bookmarkStart w:id="24" w:name="_Toc13653"/>
                  <w:bookmarkStart w:id="25" w:name="_Toc28839"/>
                  <w:r>
                    <w:rPr>
                      <w:rFonts w:ascii="Times New Roman" w:hAnsi="Times New Roman"/>
                      <w:color w:val="auto"/>
                      <w:highlight w:val="none"/>
                    </w:rPr>
                    <w:t>坐标/m</w:t>
                  </w:r>
                  <w:bookmarkEnd w:id="22"/>
                  <w:bookmarkEnd w:id="23"/>
                  <w:bookmarkEnd w:id="24"/>
                  <w:bookmarkEnd w:id="25"/>
                </w:p>
              </w:tc>
              <w:tc>
                <w:tcPr>
                  <w:tcW w:w="520" w:type="pct"/>
                  <w:vMerge w:val="restart"/>
                  <w:shd w:val="clear" w:color="auto" w:fill="auto"/>
                  <w:vAlign w:val="center"/>
                </w:tcPr>
                <w:p w14:paraId="185F634A">
                  <w:pPr>
                    <w:pStyle w:val="41"/>
                    <w:rPr>
                      <w:rFonts w:ascii="Times New Roman" w:hAnsi="Times New Roman"/>
                      <w:color w:val="auto"/>
                      <w:highlight w:val="none"/>
                    </w:rPr>
                  </w:pPr>
                  <w:bookmarkStart w:id="26" w:name="_Toc12578"/>
                  <w:bookmarkStart w:id="27" w:name="_Toc313"/>
                  <w:bookmarkStart w:id="28" w:name="_Toc30175"/>
                  <w:bookmarkStart w:id="29" w:name="_Toc21221"/>
                  <w:r>
                    <w:rPr>
                      <w:rFonts w:ascii="Times New Roman" w:hAnsi="Times New Roman"/>
                      <w:color w:val="auto"/>
                      <w:highlight w:val="none"/>
                    </w:rPr>
                    <w:t>保护</w:t>
                  </w:r>
                  <w:bookmarkEnd w:id="26"/>
                  <w:bookmarkEnd w:id="27"/>
                  <w:bookmarkEnd w:id="28"/>
                  <w:bookmarkEnd w:id="29"/>
                </w:p>
                <w:p w14:paraId="43C40F6D">
                  <w:pPr>
                    <w:pStyle w:val="41"/>
                    <w:rPr>
                      <w:rFonts w:ascii="Times New Roman" w:hAnsi="Times New Roman"/>
                      <w:color w:val="auto"/>
                      <w:highlight w:val="none"/>
                    </w:rPr>
                  </w:pPr>
                  <w:bookmarkStart w:id="30" w:name="_Toc5162"/>
                  <w:bookmarkStart w:id="31" w:name="_Toc14940"/>
                  <w:bookmarkStart w:id="32" w:name="_Toc26430"/>
                  <w:bookmarkStart w:id="33" w:name="_Toc8993"/>
                  <w:r>
                    <w:rPr>
                      <w:rFonts w:ascii="Times New Roman" w:hAnsi="Times New Roman"/>
                      <w:color w:val="auto"/>
                      <w:highlight w:val="none"/>
                    </w:rPr>
                    <w:t>对象</w:t>
                  </w:r>
                  <w:bookmarkEnd w:id="30"/>
                  <w:bookmarkEnd w:id="31"/>
                  <w:bookmarkEnd w:id="32"/>
                  <w:bookmarkEnd w:id="33"/>
                </w:p>
              </w:tc>
              <w:tc>
                <w:tcPr>
                  <w:tcW w:w="520" w:type="pct"/>
                  <w:vMerge w:val="restart"/>
                  <w:shd w:val="clear" w:color="auto" w:fill="auto"/>
                  <w:vAlign w:val="center"/>
                </w:tcPr>
                <w:p w14:paraId="24C32849">
                  <w:pPr>
                    <w:pStyle w:val="41"/>
                    <w:rPr>
                      <w:rFonts w:ascii="Times New Roman" w:hAnsi="Times New Roman"/>
                      <w:color w:val="auto"/>
                      <w:highlight w:val="none"/>
                    </w:rPr>
                  </w:pPr>
                  <w:bookmarkStart w:id="34" w:name="_Toc21896"/>
                  <w:bookmarkStart w:id="35" w:name="_Toc21161"/>
                  <w:bookmarkStart w:id="36" w:name="_Toc9332"/>
                  <w:bookmarkStart w:id="37" w:name="_Toc13571"/>
                  <w:r>
                    <w:rPr>
                      <w:rFonts w:ascii="Times New Roman" w:hAnsi="Times New Roman"/>
                      <w:color w:val="auto"/>
                      <w:highlight w:val="none"/>
                    </w:rPr>
                    <w:t>保护内容</w:t>
                  </w:r>
                  <w:bookmarkEnd w:id="34"/>
                  <w:bookmarkEnd w:id="35"/>
                  <w:bookmarkEnd w:id="36"/>
                  <w:bookmarkEnd w:id="37"/>
                </w:p>
              </w:tc>
              <w:tc>
                <w:tcPr>
                  <w:tcW w:w="740" w:type="pct"/>
                  <w:vMerge w:val="restart"/>
                  <w:shd w:val="clear" w:color="auto" w:fill="auto"/>
                  <w:vAlign w:val="center"/>
                </w:tcPr>
                <w:p w14:paraId="5AFDFD1E">
                  <w:pPr>
                    <w:pStyle w:val="41"/>
                    <w:rPr>
                      <w:rFonts w:ascii="Times New Roman" w:hAnsi="Times New Roman"/>
                      <w:color w:val="auto"/>
                      <w:highlight w:val="none"/>
                    </w:rPr>
                  </w:pPr>
                  <w:bookmarkStart w:id="38" w:name="_Toc24500"/>
                  <w:bookmarkStart w:id="39" w:name="_Toc15160"/>
                  <w:bookmarkStart w:id="40" w:name="_Toc23482"/>
                  <w:bookmarkStart w:id="41" w:name="_Toc14140"/>
                  <w:r>
                    <w:rPr>
                      <w:rFonts w:ascii="Times New Roman" w:hAnsi="Times New Roman"/>
                      <w:color w:val="auto"/>
                      <w:highlight w:val="none"/>
                    </w:rPr>
                    <w:t>环境功能区</w:t>
                  </w:r>
                  <w:bookmarkEnd w:id="38"/>
                  <w:bookmarkEnd w:id="39"/>
                  <w:bookmarkEnd w:id="40"/>
                  <w:bookmarkEnd w:id="41"/>
                </w:p>
              </w:tc>
              <w:tc>
                <w:tcPr>
                  <w:tcW w:w="694" w:type="pct"/>
                  <w:vMerge w:val="restart"/>
                  <w:shd w:val="clear" w:color="auto" w:fill="auto"/>
                  <w:vAlign w:val="center"/>
                </w:tcPr>
                <w:p w14:paraId="22EC1BC3">
                  <w:pPr>
                    <w:pStyle w:val="41"/>
                    <w:rPr>
                      <w:rFonts w:ascii="Times New Roman" w:hAnsi="Times New Roman"/>
                      <w:color w:val="auto"/>
                      <w:highlight w:val="none"/>
                    </w:rPr>
                  </w:pPr>
                  <w:bookmarkStart w:id="42" w:name="_Toc32696"/>
                  <w:bookmarkStart w:id="43" w:name="_Toc12458"/>
                  <w:bookmarkStart w:id="44" w:name="_Toc1185"/>
                  <w:bookmarkStart w:id="45" w:name="_Toc14952"/>
                  <w:r>
                    <w:rPr>
                      <w:rFonts w:ascii="Times New Roman" w:hAnsi="Times New Roman"/>
                      <w:color w:val="auto"/>
                      <w:highlight w:val="none"/>
                    </w:rPr>
                    <w:t>相对厂址最近方位</w:t>
                  </w:r>
                  <w:bookmarkEnd w:id="42"/>
                  <w:bookmarkEnd w:id="43"/>
                  <w:bookmarkEnd w:id="44"/>
                  <w:bookmarkEnd w:id="45"/>
                </w:p>
              </w:tc>
              <w:tc>
                <w:tcPr>
                  <w:tcW w:w="682" w:type="pct"/>
                  <w:vMerge w:val="restart"/>
                  <w:shd w:val="clear" w:color="auto" w:fill="auto"/>
                  <w:vAlign w:val="center"/>
                </w:tcPr>
                <w:p w14:paraId="5D975CA5">
                  <w:pPr>
                    <w:pStyle w:val="41"/>
                    <w:rPr>
                      <w:rFonts w:ascii="Times New Roman" w:hAnsi="Times New Roman"/>
                      <w:color w:val="auto"/>
                      <w:highlight w:val="none"/>
                    </w:rPr>
                  </w:pPr>
                  <w:bookmarkStart w:id="46" w:name="_Toc30447"/>
                  <w:bookmarkStart w:id="47" w:name="_Toc8310"/>
                  <w:bookmarkStart w:id="48" w:name="_Toc28174"/>
                  <w:bookmarkStart w:id="49" w:name="_Toc9593"/>
                  <w:r>
                    <w:rPr>
                      <w:rFonts w:ascii="Times New Roman" w:hAnsi="Times New Roman"/>
                      <w:color w:val="auto"/>
                      <w:highlight w:val="none"/>
                    </w:rPr>
                    <w:t>相对厂界最近距离/m</w:t>
                  </w:r>
                  <w:bookmarkEnd w:id="46"/>
                  <w:bookmarkEnd w:id="47"/>
                  <w:bookmarkEnd w:id="48"/>
                  <w:bookmarkEnd w:id="49"/>
                </w:p>
              </w:tc>
            </w:tr>
            <w:tr w14:paraId="3E4A1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746" w:type="pct"/>
                  <w:vMerge w:val="continue"/>
                  <w:shd w:val="clear" w:color="auto" w:fill="auto"/>
                  <w:vAlign w:val="center"/>
                </w:tcPr>
                <w:p w14:paraId="775898B7">
                  <w:pPr>
                    <w:pStyle w:val="41"/>
                    <w:rPr>
                      <w:rFonts w:ascii="Times New Roman" w:hAnsi="Times New Roman"/>
                      <w:color w:val="auto"/>
                      <w:highlight w:val="none"/>
                    </w:rPr>
                  </w:pPr>
                </w:p>
              </w:tc>
              <w:tc>
                <w:tcPr>
                  <w:tcW w:w="487" w:type="pct"/>
                  <w:vMerge w:val="continue"/>
                  <w:shd w:val="clear" w:color="auto" w:fill="auto"/>
                  <w:vAlign w:val="center"/>
                </w:tcPr>
                <w:p w14:paraId="4CC3C3FC">
                  <w:pPr>
                    <w:pStyle w:val="41"/>
                    <w:rPr>
                      <w:rFonts w:ascii="Times New Roman" w:hAnsi="Times New Roman"/>
                      <w:color w:val="auto"/>
                      <w:highlight w:val="none"/>
                    </w:rPr>
                  </w:pPr>
                </w:p>
              </w:tc>
              <w:tc>
                <w:tcPr>
                  <w:tcW w:w="289" w:type="pct"/>
                  <w:shd w:val="clear" w:color="auto" w:fill="auto"/>
                  <w:vAlign w:val="center"/>
                </w:tcPr>
                <w:p w14:paraId="1F08B4AF">
                  <w:pPr>
                    <w:pStyle w:val="41"/>
                    <w:rPr>
                      <w:rFonts w:ascii="Times New Roman" w:hAnsi="Times New Roman"/>
                      <w:color w:val="auto"/>
                      <w:highlight w:val="none"/>
                    </w:rPr>
                  </w:pPr>
                  <w:bookmarkStart w:id="50" w:name="_Toc2103"/>
                  <w:bookmarkStart w:id="51" w:name="_Toc4840"/>
                  <w:bookmarkStart w:id="52" w:name="_Toc6436"/>
                  <w:bookmarkStart w:id="53" w:name="_Toc19339"/>
                  <w:r>
                    <w:rPr>
                      <w:rFonts w:ascii="Times New Roman" w:hAnsi="Times New Roman"/>
                      <w:color w:val="auto"/>
                      <w:highlight w:val="none"/>
                    </w:rPr>
                    <w:t>X</w:t>
                  </w:r>
                  <w:bookmarkEnd w:id="50"/>
                  <w:bookmarkEnd w:id="51"/>
                  <w:bookmarkEnd w:id="52"/>
                  <w:bookmarkEnd w:id="53"/>
                </w:p>
              </w:tc>
              <w:tc>
                <w:tcPr>
                  <w:tcW w:w="318" w:type="pct"/>
                  <w:shd w:val="clear" w:color="auto" w:fill="auto"/>
                  <w:vAlign w:val="center"/>
                </w:tcPr>
                <w:p w14:paraId="2B563267">
                  <w:pPr>
                    <w:pStyle w:val="41"/>
                    <w:rPr>
                      <w:rFonts w:ascii="Times New Roman" w:hAnsi="Times New Roman"/>
                      <w:color w:val="auto"/>
                      <w:highlight w:val="none"/>
                    </w:rPr>
                  </w:pPr>
                  <w:bookmarkStart w:id="54" w:name="_Toc4924"/>
                  <w:bookmarkStart w:id="55" w:name="_Toc31225"/>
                  <w:bookmarkStart w:id="56" w:name="_Toc19956"/>
                  <w:bookmarkStart w:id="57" w:name="_Toc30870"/>
                  <w:r>
                    <w:rPr>
                      <w:rFonts w:ascii="Times New Roman" w:hAnsi="Times New Roman"/>
                      <w:color w:val="auto"/>
                      <w:highlight w:val="none"/>
                    </w:rPr>
                    <w:t>Y</w:t>
                  </w:r>
                  <w:bookmarkEnd w:id="54"/>
                  <w:bookmarkEnd w:id="55"/>
                  <w:bookmarkEnd w:id="56"/>
                  <w:bookmarkEnd w:id="57"/>
                </w:p>
              </w:tc>
              <w:tc>
                <w:tcPr>
                  <w:tcW w:w="520" w:type="pct"/>
                  <w:vMerge w:val="continue"/>
                  <w:shd w:val="clear" w:color="auto" w:fill="auto"/>
                  <w:vAlign w:val="center"/>
                </w:tcPr>
                <w:p w14:paraId="55D6DDD1">
                  <w:pPr>
                    <w:pStyle w:val="41"/>
                    <w:rPr>
                      <w:rFonts w:ascii="Times New Roman" w:hAnsi="Times New Roman"/>
                      <w:color w:val="auto"/>
                      <w:highlight w:val="none"/>
                    </w:rPr>
                  </w:pPr>
                </w:p>
              </w:tc>
              <w:tc>
                <w:tcPr>
                  <w:tcW w:w="520" w:type="pct"/>
                  <w:vMerge w:val="continue"/>
                  <w:shd w:val="clear" w:color="auto" w:fill="auto"/>
                  <w:vAlign w:val="center"/>
                </w:tcPr>
                <w:p w14:paraId="1391FFBC">
                  <w:pPr>
                    <w:pStyle w:val="41"/>
                    <w:rPr>
                      <w:rFonts w:ascii="Times New Roman" w:hAnsi="Times New Roman"/>
                      <w:color w:val="auto"/>
                      <w:highlight w:val="none"/>
                    </w:rPr>
                  </w:pPr>
                </w:p>
              </w:tc>
              <w:tc>
                <w:tcPr>
                  <w:tcW w:w="740" w:type="pct"/>
                  <w:vMerge w:val="continue"/>
                  <w:shd w:val="clear" w:color="auto" w:fill="auto"/>
                  <w:vAlign w:val="center"/>
                </w:tcPr>
                <w:p w14:paraId="426EAB2B">
                  <w:pPr>
                    <w:pStyle w:val="41"/>
                    <w:rPr>
                      <w:rFonts w:ascii="Times New Roman" w:hAnsi="Times New Roman"/>
                      <w:color w:val="auto"/>
                      <w:highlight w:val="none"/>
                    </w:rPr>
                  </w:pPr>
                </w:p>
              </w:tc>
              <w:tc>
                <w:tcPr>
                  <w:tcW w:w="694" w:type="pct"/>
                  <w:vMerge w:val="continue"/>
                  <w:shd w:val="clear" w:color="auto" w:fill="auto"/>
                  <w:vAlign w:val="center"/>
                </w:tcPr>
                <w:p w14:paraId="01275386">
                  <w:pPr>
                    <w:pStyle w:val="41"/>
                    <w:rPr>
                      <w:rFonts w:ascii="Times New Roman" w:hAnsi="Times New Roman"/>
                      <w:color w:val="auto"/>
                      <w:highlight w:val="none"/>
                    </w:rPr>
                  </w:pPr>
                </w:p>
              </w:tc>
              <w:tc>
                <w:tcPr>
                  <w:tcW w:w="682" w:type="pct"/>
                  <w:vMerge w:val="continue"/>
                  <w:shd w:val="clear" w:color="auto" w:fill="auto"/>
                  <w:vAlign w:val="center"/>
                </w:tcPr>
                <w:p w14:paraId="6D482DE4">
                  <w:pPr>
                    <w:pStyle w:val="41"/>
                    <w:rPr>
                      <w:rFonts w:ascii="Times New Roman" w:hAnsi="Times New Roman"/>
                      <w:color w:val="auto"/>
                      <w:highlight w:val="none"/>
                    </w:rPr>
                  </w:pPr>
                </w:p>
              </w:tc>
            </w:tr>
            <w:tr w14:paraId="38A1A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46" w:type="pct"/>
                  <w:vMerge w:val="restart"/>
                  <w:shd w:val="clear" w:color="auto" w:fill="auto"/>
                  <w:vAlign w:val="center"/>
                </w:tcPr>
                <w:p w14:paraId="36C77D1F">
                  <w:pPr>
                    <w:pStyle w:val="41"/>
                    <w:rPr>
                      <w:rFonts w:ascii="Times New Roman" w:hAnsi="Times New Roman"/>
                      <w:color w:val="auto"/>
                      <w:highlight w:val="none"/>
                    </w:rPr>
                  </w:pPr>
                  <w:r>
                    <w:rPr>
                      <w:rFonts w:ascii="Times New Roman" w:hAnsi="Times New Roman"/>
                      <w:color w:val="auto"/>
                      <w:highlight w:val="none"/>
                    </w:rPr>
                    <w:t>地表水环境</w:t>
                  </w:r>
                </w:p>
              </w:tc>
              <w:tc>
                <w:tcPr>
                  <w:tcW w:w="487" w:type="pct"/>
                  <w:shd w:val="clear" w:color="auto" w:fill="auto"/>
                  <w:vAlign w:val="center"/>
                </w:tcPr>
                <w:p w14:paraId="4E9615D5">
                  <w:pPr>
                    <w:pStyle w:val="41"/>
                    <w:rPr>
                      <w:rFonts w:hint="default" w:ascii="Times New Roman" w:hAnsi="Times New Roman" w:eastAsia="宋体"/>
                      <w:color w:val="auto"/>
                      <w:highlight w:val="none"/>
                      <w:lang w:val="en-US" w:eastAsia="zh-CN"/>
                    </w:rPr>
                  </w:pPr>
                  <w:r>
                    <w:rPr>
                      <w:rFonts w:ascii="Times New Roman" w:hAnsi="Times New Roman" w:eastAsia="宋体"/>
                      <w:color w:val="auto"/>
                      <w:highlight w:val="none"/>
                      <w:lang w:eastAsia="zh-CN"/>
                    </w:rPr>
                    <w:t>湘西</w:t>
                  </w:r>
                  <w:r>
                    <w:rPr>
                      <w:rFonts w:hint="eastAsia"/>
                      <w:color w:val="auto"/>
                      <w:highlight w:val="none"/>
                      <w:lang w:val="en-US" w:eastAsia="zh-CN"/>
                    </w:rPr>
                    <w:t>河</w:t>
                  </w:r>
                </w:p>
              </w:tc>
              <w:tc>
                <w:tcPr>
                  <w:tcW w:w="289" w:type="pct"/>
                  <w:shd w:val="clear" w:color="auto" w:fill="auto"/>
                  <w:vAlign w:val="center"/>
                </w:tcPr>
                <w:p w14:paraId="158A2157">
                  <w:pPr>
                    <w:pStyle w:val="41"/>
                    <w:rPr>
                      <w:rFonts w:ascii="Times New Roman" w:hAnsi="Times New Roman"/>
                      <w:color w:val="auto"/>
                      <w:highlight w:val="none"/>
                    </w:rPr>
                  </w:pPr>
                  <w:r>
                    <w:rPr>
                      <w:rFonts w:ascii="Times New Roman" w:hAnsi="Times New Roman"/>
                      <w:color w:val="auto"/>
                      <w:highlight w:val="none"/>
                    </w:rPr>
                    <w:t>/</w:t>
                  </w:r>
                </w:p>
              </w:tc>
              <w:tc>
                <w:tcPr>
                  <w:tcW w:w="318" w:type="pct"/>
                  <w:shd w:val="clear" w:color="auto" w:fill="auto"/>
                  <w:vAlign w:val="center"/>
                </w:tcPr>
                <w:p w14:paraId="06A0AD04">
                  <w:pPr>
                    <w:pStyle w:val="41"/>
                    <w:rPr>
                      <w:rFonts w:ascii="Times New Roman" w:hAnsi="Times New Roman"/>
                      <w:color w:val="auto"/>
                      <w:highlight w:val="none"/>
                    </w:rPr>
                  </w:pPr>
                  <w:r>
                    <w:rPr>
                      <w:rFonts w:ascii="Times New Roman" w:hAnsi="Times New Roman"/>
                      <w:color w:val="auto"/>
                      <w:highlight w:val="none"/>
                    </w:rPr>
                    <w:t>/</w:t>
                  </w:r>
                </w:p>
              </w:tc>
              <w:tc>
                <w:tcPr>
                  <w:tcW w:w="1780" w:type="pct"/>
                  <w:gridSpan w:val="3"/>
                  <w:shd w:val="clear" w:color="auto" w:fill="auto"/>
                  <w:vAlign w:val="center"/>
                </w:tcPr>
                <w:p w14:paraId="4F7B33F2">
                  <w:pPr>
                    <w:pStyle w:val="41"/>
                    <w:rPr>
                      <w:rFonts w:ascii="Times New Roman" w:hAnsi="Times New Roman"/>
                      <w:color w:val="auto"/>
                      <w:highlight w:val="none"/>
                    </w:rPr>
                  </w:pPr>
                  <w:r>
                    <w:rPr>
                      <w:rFonts w:ascii="Times New Roman" w:hAnsi="Times New Roman"/>
                      <w:color w:val="auto"/>
                      <w:highlight w:val="none"/>
                    </w:rPr>
                    <w:t>GB3838-2002中的IV类标准</w:t>
                  </w:r>
                </w:p>
              </w:tc>
              <w:tc>
                <w:tcPr>
                  <w:tcW w:w="694" w:type="pct"/>
                  <w:shd w:val="clear" w:color="auto" w:fill="auto"/>
                  <w:vAlign w:val="center"/>
                </w:tcPr>
                <w:p w14:paraId="3DDE9251">
                  <w:pPr>
                    <w:pStyle w:val="41"/>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W</w:t>
                  </w:r>
                </w:p>
              </w:tc>
              <w:tc>
                <w:tcPr>
                  <w:tcW w:w="682" w:type="pct"/>
                  <w:shd w:val="clear" w:color="auto" w:fill="auto"/>
                  <w:vAlign w:val="center"/>
                </w:tcPr>
                <w:p w14:paraId="1CFB7D66">
                  <w:pPr>
                    <w:pStyle w:val="41"/>
                    <w:rPr>
                      <w:rFonts w:hint="default" w:ascii="Times New Roman" w:hAnsi="Times New Roman"/>
                      <w:color w:val="auto"/>
                      <w:highlight w:val="none"/>
                      <w:lang w:val="en-US"/>
                    </w:rPr>
                  </w:pPr>
                  <w:r>
                    <w:rPr>
                      <w:rFonts w:hint="eastAsia" w:ascii="Times New Roman" w:hAnsi="Times New Roman"/>
                      <w:color w:val="auto"/>
                      <w:highlight w:val="none"/>
                      <w:lang w:val="en-US" w:eastAsia="zh-CN"/>
                    </w:rPr>
                    <w:t>278</w:t>
                  </w:r>
                </w:p>
              </w:tc>
            </w:tr>
            <w:tr w14:paraId="33103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46" w:type="pct"/>
                  <w:vMerge w:val="continue"/>
                  <w:shd w:val="clear" w:color="auto" w:fill="auto"/>
                  <w:vAlign w:val="center"/>
                </w:tcPr>
                <w:p w14:paraId="2A9B4D07">
                  <w:pPr>
                    <w:pStyle w:val="41"/>
                    <w:rPr>
                      <w:rFonts w:ascii="Times New Roman" w:hAnsi="Times New Roman"/>
                      <w:color w:val="auto"/>
                      <w:highlight w:val="none"/>
                    </w:rPr>
                  </w:pPr>
                </w:p>
              </w:tc>
              <w:tc>
                <w:tcPr>
                  <w:tcW w:w="487" w:type="pct"/>
                  <w:shd w:val="clear" w:color="auto" w:fill="auto"/>
                  <w:vAlign w:val="center"/>
                </w:tcPr>
                <w:p w14:paraId="006D1B5F">
                  <w:pPr>
                    <w:pStyle w:val="41"/>
                    <w:rPr>
                      <w:rFonts w:ascii="Times New Roman" w:hAnsi="Times New Roman" w:eastAsia="宋体"/>
                      <w:color w:val="auto"/>
                      <w:highlight w:val="none"/>
                      <w:lang w:eastAsia="zh-CN"/>
                    </w:rPr>
                  </w:pPr>
                  <w:r>
                    <w:rPr>
                      <w:rFonts w:ascii="Times New Roman" w:hAnsi="Times New Roman" w:eastAsia="宋体"/>
                      <w:color w:val="auto"/>
                      <w:highlight w:val="none"/>
                      <w:lang w:eastAsia="zh-CN"/>
                    </w:rPr>
                    <w:t>萧濉新河</w:t>
                  </w:r>
                </w:p>
              </w:tc>
              <w:tc>
                <w:tcPr>
                  <w:tcW w:w="289" w:type="pct"/>
                  <w:shd w:val="clear" w:color="auto" w:fill="auto"/>
                  <w:vAlign w:val="center"/>
                </w:tcPr>
                <w:p w14:paraId="7A9F68C4">
                  <w:pPr>
                    <w:pStyle w:val="41"/>
                    <w:rPr>
                      <w:rFonts w:ascii="Times New Roman" w:hAnsi="Times New Roman" w:eastAsia="宋体"/>
                      <w:color w:val="auto"/>
                      <w:highlight w:val="none"/>
                      <w:lang w:eastAsia="zh-CN"/>
                    </w:rPr>
                  </w:pPr>
                  <w:r>
                    <w:rPr>
                      <w:rFonts w:ascii="Times New Roman" w:hAnsi="Times New Roman" w:eastAsia="宋体"/>
                      <w:color w:val="auto"/>
                      <w:highlight w:val="none"/>
                      <w:lang w:eastAsia="zh-CN"/>
                    </w:rPr>
                    <w:t>/</w:t>
                  </w:r>
                </w:p>
              </w:tc>
              <w:tc>
                <w:tcPr>
                  <w:tcW w:w="318" w:type="pct"/>
                  <w:shd w:val="clear" w:color="auto" w:fill="auto"/>
                  <w:vAlign w:val="center"/>
                </w:tcPr>
                <w:p w14:paraId="72A0A0B1">
                  <w:pPr>
                    <w:pStyle w:val="41"/>
                    <w:rPr>
                      <w:rFonts w:ascii="Times New Roman" w:hAnsi="Times New Roman" w:eastAsia="宋体"/>
                      <w:color w:val="auto"/>
                      <w:highlight w:val="none"/>
                      <w:lang w:eastAsia="zh-CN"/>
                    </w:rPr>
                  </w:pPr>
                  <w:r>
                    <w:rPr>
                      <w:rFonts w:ascii="Times New Roman" w:hAnsi="Times New Roman" w:eastAsia="宋体"/>
                      <w:color w:val="auto"/>
                      <w:highlight w:val="none"/>
                      <w:lang w:eastAsia="zh-CN"/>
                    </w:rPr>
                    <w:t>/</w:t>
                  </w:r>
                </w:p>
              </w:tc>
              <w:tc>
                <w:tcPr>
                  <w:tcW w:w="1780" w:type="pct"/>
                  <w:gridSpan w:val="3"/>
                  <w:shd w:val="clear" w:color="auto" w:fill="auto"/>
                  <w:vAlign w:val="center"/>
                </w:tcPr>
                <w:p w14:paraId="12FA162F">
                  <w:pPr>
                    <w:pStyle w:val="41"/>
                    <w:rPr>
                      <w:rFonts w:ascii="Times New Roman" w:hAnsi="Times New Roman"/>
                      <w:color w:val="auto"/>
                      <w:highlight w:val="none"/>
                    </w:rPr>
                  </w:pPr>
                  <w:r>
                    <w:rPr>
                      <w:rFonts w:ascii="Times New Roman" w:hAnsi="Times New Roman"/>
                      <w:color w:val="auto"/>
                      <w:highlight w:val="none"/>
                    </w:rPr>
                    <w:t>GB3838-2002中的</w:t>
                  </w:r>
                  <w:r>
                    <w:rPr>
                      <w:rFonts w:hint="eastAsia" w:ascii="Times New Roman" w:hAnsi="Times New Roman" w:eastAsia="宋体"/>
                      <w:color w:val="auto"/>
                      <w:highlight w:val="none"/>
                      <w:lang w:val="en-US" w:eastAsia="zh-CN"/>
                    </w:rPr>
                    <w:t>III</w:t>
                  </w:r>
                  <w:r>
                    <w:rPr>
                      <w:rFonts w:ascii="Times New Roman" w:hAnsi="Times New Roman"/>
                      <w:color w:val="auto"/>
                      <w:highlight w:val="none"/>
                    </w:rPr>
                    <w:t>类标准</w:t>
                  </w:r>
                </w:p>
              </w:tc>
              <w:tc>
                <w:tcPr>
                  <w:tcW w:w="694" w:type="pct"/>
                  <w:shd w:val="clear" w:color="auto" w:fill="auto"/>
                  <w:vAlign w:val="center"/>
                </w:tcPr>
                <w:p w14:paraId="7F390EE1">
                  <w:pPr>
                    <w:pStyle w:val="41"/>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E</w:t>
                  </w:r>
                </w:p>
              </w:tc>
              <w:tc>
                <w:tcPr>
                  <w:tcW w:w="682" w:type="pct"/>
                  <w:shd w:val="clear" w:color="auto" w:fill="auto"/>
                  <w:vAlign w:val="center"/>
                </w:tcPr>
                <w:p w14:paraId="266FDAF2">
                  <w:pPr>
                    <w:pStyle w:val="41"/>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1124</w:t>
                  </w:r>
                </w:p>
              </w:tc>
            </w:tr>
          </w:tbl>
          <w:p w14:paraId="55776430">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b/>
                <w:bCs/>
                <w:color w:val="auto"/>
                <w:sz w:val="24"/>
                <w:szCs w:val="24"/>
                <w:highlight w:val="none"/>
              </w:rPr>
            </w:pPr>
            <w:r>
              <w:rPr>
                <w:rFonts w:hint="eastAsia"/>
                <w:b/>
                <w:bCs/>
                <w:color w:val="auto"/>
                <w:sz w:val="24"/>
                <w:szCs w:val="24"/>
                <w:highlight w:val="none"/>
                <w:lang w:val="en-US" w:eastAsia="zh-CN"/>
              </w:rPr>
              <w:t>3</w:t>
            </w:r>
            <w:r>
              <w:rPr>
                <w:rFonts w:hint="eastAsia"/>
                <w:b/>
                <w:bCs/>
                <w:color w:val="auto"/>
                <w:sz w:val="24"/>
                <w:szCs w:val="24"/>
                <w:highlight w:val="none"/>
              </w:rPr>
              <w:t>、声环境保护目标</w:t>
            </w:r>
          </w:p>
          <w:p w14:paraId="135FE0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rPr>
              <w:t>项目5</w:t>
            </w:r>
            <w:r>
              <w:rPr>
                <w:color w:val="auto"/>
                <w:sz w:val="24"/>
                <w:szCs w:val="24"/>
                <w:highlight w:val="none"/>
              </w:rPr>
              <w:t>0m</w:t>
            </w:r>
            <w:r>
              <w:rPr>
                <w:rFonts w:hint="eastAsia"/>
                <w:color w:val="auto"/>
                <w:sz w:val="24"/>
                <w:szCs w:val="24"/>
                <w:highlight w:val="none"/>
              </w:rPr>
              <w:t>范围内无声环境保护目标。</w:t>
            </w:r>
          </w:p>
          <w:p w14:paraId="622B1CC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4</w:t>
            </w:r>
            <w:r>
              <w:rPr>
                <w:rFonts w:hint="eastAsia"/>
                <w:b/>
                <w:bCs/>
                <w:color w:val="auto"/>
                <w:sz w:val="24"/>
                <w:szCs w:val="24"/>
                <w:highlight w:val="none"/>
              </w:rPr>
              <w:t>、生态环境保护目标</w:t>
            </w:r>
          </w:p>
          <w:p w14:paraId="5E2A0A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rPr>
              <w:t>项目不涉及特殊生态敏感区和重要生态敏感区。</w:t>
            </w:r>
          </w:p>
          <w:p w14:paraId="18813C2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5</w:t>
            </w:r>
            <w:r>
              <w:rPr>
                <w:b/>
                <w:bCs/>
                <w:color w:val="auto"/>
                <w:sz w:val="24"/>
                <w:szCs w:val="24"/>
                <w:highlight w:val="none"/>
              </w:rPr>
              <w:t>、</w:t>
            </w:r>
            <w:r>
              <w:rPr>
                <w:rFonts w:hint="eastAsia"/>
                <w:b/>
                <w:bCs/>
                <w:color w:val="auto"/>
                <w:sz w:val="24"/>
                <w:szCs w:val="24"/>
                <w:highlight w:val="none"/>
              </w:rPr>
              <w:t>地下水环境敏感目标</w:t>
            </w:r>
          </w:p>
          <w:p w14:paraId="0E7D96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color w:val="auto"/>
                <w:sz w:val="24"/>
                <w:szCs w:val="24"/>
                <w:highlight w:val="none"/>
              </w:rPr>
              <w:t>项目厂界外500米范围内无地下水集中式饮用水水源和热水、矿泉水、温泉等特殊地下水资源。</w:t>
            </w:r>
          </w:p>
        </w:tc>
      </w:tr>
      <w:tr w14:paraId="394FBA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72" w:type="pct"/>
            <w:tcBorders>
              <w:tl2br w:val="nil"/>
              <w:tr2bl w:val="nil"/>
            </w:tcBorders>
            <w:vAlign w:val="center"/>
          </w:tcPr>
          <w:p w14:paraId="5BEC5F52">
            <w:pPr>
              <w:adjustRightInd w:val="0"/>
              <w:snapToGrid w:val="0"/>
              <w:ind w:firstLine="0" w:firstLineChars="0"/>
              <w:jc w:val="center"/>
              <w:rPr>
                <w:rFonts w:hint="eastAsia" w:ascii="宋体" w:hAnsi="宋体" w:cs="宋体"/>
                <w:color w:val="auto"/>
                <w:highlight w:val="none"/>
              </w:rPr>
            </w:pPr>
            <w:r>
              <w:rPr>
                <w:rFonts w:hint="eastAsia" w:ascii="宋体" w:hAnsi="宋体" w:cs="宋体"/>
                <w:color w:val="auto"/>
                <w:highlight w:val="none"/>
              </w:rPr>
              <w:t>污染物排放控制标准</w:t>
            </w:r>
          </w:p>
        </w:tc>
        <w:tc>
          <w:tcPr>
            <w:tcW w:w="4627" w:type="pct"/>
            <w:tcBorders>
              <w:tl2br w:val="nil"/>
              <w:tr2bl w:val="nil"/>
            </w:tcBorders>
            <w:vAlign w:val="center"/>
          </w:tcPr>
          <w:p w14:paraId="4B3E7AFD">
            <w:pPr>
              <w:keepNext w:val="0"/>
              <w:keepLines w:val="0"/>
              <w:pageBreakBefore w:val="0"/>
              <w:kinsoku/>
              <w:wordWrap/>
              <w:overflowPunct/>
              <w:topLinePunct w:val="0"/>
              <w:bidi w:val="0"/>
              <w:adjustRightInd/>
              <w:snapToGrid/>
              <w:spacing w:line="360" w:lineRule="auto"/>
              <w:ind w:firstLine="482"/>
              <w:rPr>
                <w:b/>
                <w:bCs/>
                <w:color w:val="auto"/>
                <w:sz w:val="24"/>
                <w:szCs w:val="32"/>
                <w:highlight w:val="none"/>
              </w:rPr>
            </w:pPr>
            <w:r>
              <w:rPr>
                <w:rFonts w:hint="eastAsia"/>
                <w:b/>
                <w:bCs/>
                <w:color w:val="auto"/>
                <w:sz w:val="24"/>
                <w:szCs w:val="32"/>
                <w:highlight w:val="none"/>
              </w:rPr>
              <w:t>1、废气</w:t>
            </w:r>
          </w:p>
          <w:p w14:paraId="5460FA1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color w:val="auto"/>
                <w:sz w:val="24"/>
                <w:szCs w:val="24"/>
                <w:highlight w:val="none"/>
              </w:rPr>
            </w:pPr>
            <w:r>
              <w:rPr>
                <w:rFonts w:ascii="Times New Roman" w:hAnsi="Times New Roman" w:eastAsia="宋体" w:cs="Times New Roman"/>
                <w:color w:val="auto"/>
                <w:sz w:val="24"/>
                <w:szCs w:val="24"/>
                <w:highlight w:val="none"/>
                <w:lang w:eastAsia="zh-CN"/>
              </w:rPr>
              <w:t>本项目产生的颗粒物执行《大气污染物综合排放标准》（GB16297</w:t>
            </w:r>
            <w:r>
              <w:rPr>
                <w:rFonts w:hint="eastAsia" w:ascii="Times New Roman" w:hAnsi="Times New Roman" w:eastAsia="宋体" w:cs="Times New Roman"/>
                <w:color w:val="auto"/>
                <w:sz w:val="24"/>
                <w:szCs w:val="24"/>
                <w:highlight w:val="none"/>
                <w:lang w:val="en-US" w:eastAsia="zh-CN"/>
              </w:rPr>
              <w:t>-</w:t>
            </w:r>
            <w:r>
              <w:rPr>
                <w:rFonts w:ascii="Times New Roman" w:hAnsi="Times New Roman" w:eastAsia="宋体" w:cs="Times New Roman"/>
                <w:color w:val="auto"/>
                <w:sz w:val="24"/>
                <w:szCs w:val="24"/>
                <w:highlight w:val="none"/>
                <w:lang w:eastAsia="zh-CN"/>
              </w:rPr>
              <w:t>1996）中二级标准限值要求，</w:t>
            </w:r>
            <w:r>
              <w:rPr>
                <w:rFonts w:hint="eastAsia" w:ascii="Times New Roman" w:hAnsi="Times New Roman" w:eastAsia="宋体" w:cs="Times New Roman"/>
                <w:color w:val="auto"/>
                <w:sz w:val="24"/>
                <w:szCs w:val="24"/>
                <w:highlight w:val="none"/>
                <w:lang w:val="en-US" w:eastAsia="zh-CN"/>
              </w:rPr>
              <w:t>项目喷漆/烘干和固化产生的非甲烷总烃有组织排放执行安徽省《固定源挥发性有机物</w:t>
            </w:r>
            <w:r>
              <w:rPr>
                <w:rFonts w:hint="eastAsia" w:cs="Times New Roman"/>
                <w:color w:val="auto"/>
                <w:sz w:val="24"/>
                <w:szCs w:val="24"/>
                <w:highlight w:val="none"/>
                <w:lang w:val="en-US" w:eastAsia="zh-CN"/>
              </w:rPr>
              <w:t>综合排放标准</w:t>
            </w:r>
            <w:r>
              <w:rPr>
                <w:rFonts w:hint="eastAsia" w:ascii="Times New Roman" w:hAnsi="Times New Roman" w:eastAsia="宋体" w:cs="Times New Roman"/>
                <w:color w:val="auto"/>
                <w:sz w:val="24"/>
                <w:szCs w:val="24"/>
                <w:highlight w:val="none"/>
                <w:lang w:val="en-US" w:eastAsia="zh-CN"/>
              </w:rPr>
              <w:t>第</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部分：其他行业》（DB34/4812.6-2024）中表1标准限值要求，</w:t>
            </w:r>
            <w:r>
              <w:rPr>
                <w:rFonts w:ascii="Times New Roman" w:hAnsi="Times New Roman" w:eastAsia="宋体" w:cs="Times New Roman"/>
                <w:color w:val="auto"/>
                <w:sz w:val="24"/>
                <w:szCs w:val="24"/>
                <w:highlight w:val="none"/>
                <w:lang w:eastAsia="zh-CN"/>
              </w:rPr>
              <w:t>非甲烷总烃无组织排放</w:t>
            </w:r>
            <w:r>
              <w:rPr>
                <w:rFonts w:hint="eastAsia" w:ascii="Times New Roman" w:hAnsi="Times New Roman" w:eastAsia="宋体" w:cs="Times New Roman"/>
                <w:color w:val="auto"/>
                <w:sz w:val="24"/>
                <w:szCs w:val="24"/>
                <w:highlight w:val="none"/>
                <w:lang w:val="en-US" w:eastAsia="zh-CN"/>
              </w:rPr>
              <w:t>执行</w:t>
            </w:r>
            <w:r>
              <w:rPr>
                <w:rFonts w:ascii="Times New Roman" w:hAnsi="Times New Roman" w:eastAsia="宋体" w:cs="Times New Roman"/>
                <w:color w:val="auto"/>
                <w:sz w:val="24"/>
                <w:szCs w:val="24"/>
                <w:highlight w:val="none"/>
                <w:lang w:eastAsia="zh-CN"/>
              </w:rPr>
              <w:t>《大气污染物综合排放标准》（GB16297</w:t>
            </w:r>
            <w:r>
              <w:rPr>
                <w:rFonts w:hint="eastAsia" w:ascii="Times New Roman" w:hAnsi="Times New Roman" w:eastAsia="宋体" w:cs="Times New Roman"/>
                <w:color w:val="auto"/>
                <w:sz w:val="24"/>
                <w:szCs w:val="24"/>
                <w:highlight w:val="none"/>
                <w:lang w:val="en-US" w:eastAsia="zh-CN"/>
              </w:rPr>
              <w:t>-</w:t>
            </w:r>
            <w:r>
              <w:rPr>
                <w:rFonts w:ascii="Times New Roman" w:hAnsi="Times New Roman" w:eastAsia="宋体" w:cs="Times New Roman"/>
                <w:color w:val="auto"/>
                <w:sz w:val="24"/>
                <w:szCs w:val="24"/>
                <w:highlight w:val="none"/>
                <w:lang w:eastAsia="zh-CN"/>
              </w:rPr>
              <w:t>1996）</w:t>
            </w:r>
            <w:r>
              <w:rPr>
                <w:rFonts w:hint="eastAsia" w:ascii="Times New Roman" w:hAnsi="Times New Roman" w:eastAsia="宋体" w:cs="Times New Roman"/>
                <w:color w:val="auto"/>
                <w:sz w:val="24"/>
                <w:szCs w:val="24"/>
                <w:highlight w:val="none"/>
                <w:lang w:val="en-US" w:eastAsia="zh-CN"/>
              </w:rPr>
              <w:t>限值要求</w:t>
            </w:r>
            <w:r>
              <w:rPr>
                <w:rFonts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天然气燃烧废气产生的颗粒物、</w:t>
            </w:r>
            <w:r>
              <w:rPr>
                <w:rFonts w:hint="default" w:ascii="Times New Roman" w:hAnsi="Times New Roman" w:cs="Times New Roman"/>
                <w:color w:val="auto"/>
                <w:sz w:val="24"/>
                <w:szCs w:val="24"/>
                <w:highlight w:val="none"/>
                <w:lang w:val="en-US" w:eastAsia="zh-CN"/>
              </w:rPr>
              <w:t>SO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、NO</w:t>
            </w:r>
            <w:r>
              <w:rPr>
                <w:rFonts w:hint="default" w:ascii="Times New Roman" w:hAnsi="Times New Roman" w:cs="Times New Roman"/>
                <w:color w:val="auto"/>
                <w:sz w:val="24"/>
                <w:szCs w:val="24"/>
                <w:highlight w:val="none"/>
                <w:vertAlign w:val="subscript"/>
                <w:lang w:val="en-US" w:eastAsia="zh-CN"/>
              </w:rPr>
              <w:t>X</w:t>
            </w:r>
            <w:r>
              <w:rPr>
                <w:rFonts w:hint="eastAsia"/>
                <w:sz w:val="24"/>
              </w:rPr>
              <w:t>参照执行《工业炉窑大气污染物排放标准》（GB9078-1996）表2相关标准要求及</w:t>
            </w:r>
            <w:r>
              <w:rPr>
                <w:rFonts w:hint="eastAsia"/>
                <w:sz w:val="24"/>
                <w:lang w:eastAsia="zh-CN"/>
              </w:rPr>
              <w:t>“</w:t>
            </w:r>
            <w:r>
              <w:rPr>
                <w:rFonts w:hint="default" w:ascii="Times New Roman" w:hAnsi="Times New Roman" w:cs="Times New Roman"/>
                <w:sz w:val="24"/>
              </w:rPr>
              <w:t>关于印发《工业炉窑大气污染综合治理方案》的通知”（环大气〔2019〕56号）中“重点区域原则上按照颗粒物、二氧化硫、氮氧化物原则上按照排放限值分别不高于30、200、300毫克/立方米实施改造”</w:t>
            </w:r>
            <w:r>
              <w:rPr>
                <w:rFonts w:hint="eastAsia" w:ascii="Times New Roman" w:hAnsi="Times New Roman" w:cs="Times New Roman"/>
                <w:sz w:val="24"/>
                <w:lang w:eastAsia="zh-CN"/>
              </w:rPr>
              <w:t>，</w:t>
            </w:r>
            <w:r>
              <w:rPr>
                <w:rFonts w:ascii="Times New Roman" w:hAnsi="Times New Roman" w:eastAsia="宋体" w:cs="Times New Roman"/>
                <w:color w:val="auto"/>
                <w:sz w:val="24"/>
                <w:szCs w:val="24"/>
                <w:highlight w:val="none"/>
                <w:lang w:eastAsia="zh-CN"/>
              </w:rPr>
              <w:t>具体限值</w:t>
            </w:r>
            <w:r>
              <w:rPr>
                <w:rFonts w:ascii="Times New Roman" w:hAnsi="Times New Roman" w:eastAsia="宋体" w:cs="Times New Roman"/>
                <w:bCs/>
                <w:color w:val="auto"/>
                <w:sz w:val="24"/>
                <w:szCs w:val="24"/>
                <w:highlight w:val="none"/>
                <w:lang w:eastAsia="zh-CN"/>
              </w:rPr>
              <w:t>见下表</w:t>
            </w:r>
            <w:r>
              <w:rPr>
                <w:rFonts w:ascii="Times New Roman" w:hAnsi="Times New Roman" w:eastAsia="宋体" w:cs="Times New Roman"/>
                <w:color w:val="auto"/>
                <w:sz w:val="24"/>
                <w:szCs w:val="24"/>
                <w:highlight w:val="none"/>
                <w:lang w:eastAsia="zh-CN"/>
              </w:rPr>
              <w:t>。</w:t>
            </w:r>
          </w:p>
          <w:p w14:paraId="7F442511">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表3-</w:t>
            </w:r>
            <w:r>
              <w:rPr>
                <w:rFonts w:hint="eastAsia" w:cs="Times New Roman"/>
                <w:b/>
                <w:bCs/>
                <w:color w:val="auto"/>
                <w:sz w:val="24"/>
                <w:szCs w:val="24"/>
                <w:highlight w:val="none"/>
                <w:lang w:val="en-US" w:eastAsia="zh-CN"/>
              </w:rPr>
              <w:t xml:space="preserve">10  </w:t>
            </w:r>
            <w:r>
              <w:rPr>
                <w:rFonts w:ascii="Times New Roman" w:hAnsi="Times New Roman" w:eastAsia="宋体" w:cs="Times New Roman"/>
                <w:b/>
                <w:bCs/>
                <w:color w:val="auto"/>
                <w:sz w:val="24"/>
                <w:szCs w:val="24"/>
                <w:highlight w:val="none"/>
                <w:lang w:eastAsia="zh-CN"/>
              </w:rPr>
              <w:t>大气污染物排放标准</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957"/>
              <w:gridCol w:w="1105"/>
              <w:gridCol w:w="980"/>
              <w:gridCol w:w="1475"/>
              <w:gridCol w:w="730"/>
              <w:gridCol w:w="2171"/>
            </w:tblGrid>
            <w:tr w14:paraId="7989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Align w:val="center"/>
                </w:tcPr>
                <w:p w14:paraId="18B1F98E">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rPr>
                  </w:pPr>
                  <w:r>
                    <w:rPr>
                      <w:rFonts w:ascii="Times New Roman" w:hAnsi="Times New Roman" w:eastAsia="宋体" w:cs="Times New Roman"/>
                      <w:bCs/>
                      <w:color w:val="auto"/>
                      <w:spacing w:val="0"/>
                      <w:sz w:val="21"/>
                      <w:szCs w:val="21"/>
                      <w:highlight w:val="none"/>
                    </w:rPr>
                    <w:t>污染物</w:t>
                  </w:r>
                </w:p>
              </w:tc>
              <w:tc>
                <w:tcPr>
                  <w:tcW w:w="584" w:type="pct"/>
                  <w:vAlign w:val="center"/>
                </w:tcPr>
                <w:p w14:paraId="7B54E9FA">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排气筒高度</w:t>
                  </w:r>
                </w:p>
              </w:tc>
              <w:tc>
                <w:tcPr>
                  <w:tcW w:w="675" w:type="pct"/>
                  <w:vAlign w:val="center"/>
                </w:tcPr>
                <w:p w14:paraId="143A11A5">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rPr>
                  </w:pPr>
                  <w:r>
                    <w:rPr>
                      <w:rFonts w:ascii="Times New Roman" w:hAnsi="Times New Roman" w:eastAsia="宋体" w:cs="Times New Roman"/>
                      <w:bCs/>
                      <w:color w:val="auto"/>
                      <w:spacing w:val="0"/>
                      <w:sz w:val="21"/>
                      <w:szCs w:val="21"/>
                      <w:highlight w:val="none"/>
                    </w:rPr>
                    <w:t>允许排放限值</w:t>
                  </w:r>
                </w:p>
              </w:tc>
              <w:tc>
                <w:tcPr>
                  <w:tcW w:w="598" w:type="pct"/>
                  <w:vAlign w:val="center"/>
                </w:tcPr>
                <w:p w14:paraId="0098A5AD">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rPr>
                  </w:pPr>
                  <w:r>
                    <w:rPr>
                      <w:rFonts w:ascii="Times New Roman" w:hAnsi="Times New Roman" w:eastAsia="宋体" w:cs="Times New Roman"/>
                      <w:bCs/>
                      <w:color w:val="auto"/>
                      <w:spacing w:val="0"/>
                      <w:sz w:val="21"/>
                      <w:szCs w:val="21"/>
                      <w:highlight w:val="none"/>
                    </w:rPr>
                    <w:t>排放速率</w:t>
                  </w:r>
                </w:p>
                <w:p w14:paraId="527D8A64">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rPr>
                  </w:pPr>
                  <w:r>
                    <w:rPr>
                      <w:rFonts w:ascii="Times New Roman" w:hAnsi="Times New Roman" w:eastAsia="宋体" w:cs="Times New Roman"/>
                      <w:bCs/>
                      <w:color w:val="auto"/>
                      <w:spacing w:val="0"/>
                      <w:sz w:val="21"/>
                      <w:szCs w:val="21"/>
                      <w:highlight w:val="none"/>
                    </w:rPr>
                    <w:t>（kg/h）</w:t>
                  </w:r>
                </w:p>
              </w:tc>
              <w:tc>
                <w:tcPr>
                  <w:tcW w:w="901" w:type="pct"/>
                  <w:vAlign w:val="center"/>
                </w:tcPr>
                <w:p w14:paraId="47D45190">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ascii="Times New Roman" w:hAnsi="Times New Roman" w:eastAsia="宋体" w:cs="Times New Roman"/>
                      <w:bCs/>
                      <w:color w:val="auto"/>
                      <w:spacing w:val="0"/>
                      <w:sz w:val="21"/>
                      <w:szCs w:val="21"/>
                      <w:highlight w:val="none"/>
                      <w:lang w:eastAsia="zh-CN"/>
                    </w:rPr>
                    <w:t>无组织排放监控浓度限值（mg/m</w:t>
                  </w:r>
                  <w:r>
                    <w:rPr>
                      <w:rFonts w:ascii="Times New Roman" w:hAnsi="Times New Roman" w:eastAsia="宋体" w:cs="Times New Roman"/>
                      <w:bCs/>
                      <w:color w:val="auto"/>
                      <w:spacing w:val="0"/>
                      <w:sz w:val="21"/>
                      <w:szCs w:val="21"/>
                      <w:highlight w:val="none"/>
                      <w:vertAlign w:val="superscript"/>
                      <w:lang w:eastAsia="zh-CN"/>
                    </w:rPr>
                    <w:t>3</w:t>
                  </w:r>
                  <w:r>
                    <w:rPr>
                      <w:rFonts w:ascii="Times New Roman" w:hAnsi="Times New Roman" w:eastAsia="宋体" w:cs="Times New Roman"/>
                      <w:bCs/>
                      <w:color w:val="auto"/>
                      <w:spacing w:val="0"/>
                      <w:sz w:val="21"/>
                      <w:szCs w:val="21"/>
                      <w:highlight w:val="none"/>
                      <w:lang w:eastAsia="zh-CN"/>
                    </w:rPr>
                    <w:t>）</w:t>
                  </w:r>
                </w:p>
              </w:tc>
              <w:tc>
                <w:tcPr>
                  <w:tcW w:w="445" w:type="pct"/>
                  <w:vAlign w:val="center"/>
                </w:tcPr>
                <w:p w14:paraId="3B486005">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rPr>
                  </w:pPr>
                  <w:r>
                    <w:rPr>
                      <w:rFonts w:ascii="Times New Roman" w:hAnsi="Times New Roman" w:eastAsia="宋体" w:cs="Times New Roman"/>
                      <w:bCs/>
                      <w:color w:val="auto"/>
                      <w:spacing w:val="0"/>
                      <w:sz w:val="21"/>
                      <w:szCs w:val="21"/>
                      <w:highlight w:val="none"/>
                    </w:rPr>
                    <w:t>监控位置</w:t>
                  </w:r>
                </w:p>
              </w:tc>
              <w:tc>
                <w:tcPr>
                  <w:tcW w:w="1326" w:type="pct"/>
                  <w:vAlign w:val="center"/>
                </w:tcPr>
                <w:p w14:paraId="37A2F225">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rPr>
                  </w:pPr>
                  <w:r>
                    <w:rPr>
                      <w:rFonts w:ascii="Times New Roman" w:hAnsi="Times New Roman" w:eastAsia="宋体" w:cs="Times New Roman"/>
                      <w:bCs/>
                      <w:color w:val="auto"/>
                      <w:spacing w:val="0"/>
                      <w:sz w:val="21"/>
                      <w:szCs w:val="21"/>
                      <w:highlight w:val="none"/>
                    </w:rPr>
                    <w:t>标准来源</w:t>
                  </w:r>
                </w:p>
              </w:tc>
            </w:tr>
            <w:tr w14:paraId="4401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Align w:val="center"/>
                </w:tcPr>
                <w:p w14:paraId="29691CE3">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ascii="Times New Roman" w:hAnsi="Times New Roman" w:eastAsia="宋体" w:cs="Times New Roman"/>
                      <w:bCs/>
                      <w:color w:val="auto"/>
                      <w:spacing w:val="0"/>
                      <w:sz w:val="21"/>
                      <w:szCs w:val="21"/>
                      <w:highlight w:val="none"/>
                      <w:lang w:eastAsia="zh-CN"/>
                    </w:rPr>
                    <w:t>非甲烷总烃</w:t>
                  </w:r>
                </w:p>
              </w:tc>
              <w:tc>
                <w:tcPr>
                  <w:tcW w:w="584" w:type="pct"/>
                  <w:vAlign w:val="center"/>
                </w:tcPr>
                <w:p w14:paraId="22AE411B">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15</w:t>
                  </w:r>
                </w:p>
              </w:tc>
              <w:tc>
                <w:tcPr>
                  <w:tcW w:w="675" w:type="pct"/>
                  <w:vAlign w:val="center"/>
                </w:tcPr>
                <w:p w14:paraId="21B19DC0">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hint="eastAsia" w:ascii="Times New Roman" w:hAnsi="Times New Roman" w:eastAsia="宋体" w:cs="Times New Roman"/>
                      <w:bCs/>
                      <w:color w:val="auto"/>
                      <w:spacing w:val="0"/>
                      <w:sz w:val="21"/>
                      <w:szCs w:val="21"/>
                      <w:highlight w:val="none"/>
                      <w:lang w:val="en-US" w:eastAsia="zh-CN"/>
                    </w:rPr>
                    <w:t>70</w:t>
                  </w:r>
                  <w:r>
                    <w:rPr>
                      <w:rFonts w:ascii="Times New Roman" w:hAnsi="Times New Roman" w:eastAsia="宋体" w:cs="Times New Roman"/>
                      <w:bCs/>
                      <w:color w:val="auto"/>
                      <w:spacing w:val="0"/>
                      <w:sz w:val="21"/>
                      <w:szCs w:val="21"/>
                      <w:highlight w:val="none"/>
                      <w:lang w:eastAsia="zh-CN"/>
                    </w:rPr>
                    <w:t>mg/m</w:t>
                  </w:r>
                  <w:r>
                    <w:rPr>
                      <w:rFonts w:ascii="Times New Roman" w:hAnsi="Times New Roman" w:eastAsia="宋体" w:cs="Times New Roman"/>
                      <w:bCs/>
                      <w:color w:val="auto"/>
                      <w:spacing w:val="0"/>
                      <w:sz w:val="21"/>
                      <w:szCs w:val="21"/>
                      <w:highlight w:val="none"/>
                      <w:vertAlign w:val="superscript"/>
                      <w:lang w:eastAsia="zh-CN"/>
                    </w:rPr>
                    <w:t>3</w:t>
                  </w:r>
                </w:p>
              </w:tc>
              <w:tc>
                <w:tcPr>
                  <w:tcW w:w="598" w:type="pct"/>
                  <w:vAlign w:val="center"/>
                </w:tcPr>
                <w:p w14:paraId="7192C10E">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3.0</w:t>
                  </w:r>
                </w:p>
              </w:tc>
              <w:tc>
                <w:tcPr>
                  <w:tcW w:w="901" w:type="pct"/>
                  <w:vAlign w:val="center"/>
                </w:tcPr>
                <w:p w14:paraId="12F5FAC6">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4.0</w:t>
                  </w:r>
                </w:p>
              </w:tc>
              <w:tc>
                <w:tcPr>
                  <w:tcW w:w="445" w:type="pct"/>
                  <w:vAlign w:val="center"/>
                </w:tcPr>
                <w:p w14:paraId="769D802E">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ascii="Times New Roman" w:hAnsi="Times New Roman" w:eastAsia="宋体" w:cs="Times New Roman"/>
                      <w:bCs/>
                      <w:color w:val="auto"/>
                      <w:spacing w:val="0"/>
                      <w:sz w:val="21"/>
                      <w:szCs w:val="21"/>
                      <w:highlight w:val="none"/>
                      <w:lang w:eastAsia="zh-CN"/>
                    </w:rPr>
                    <w:t>厂界</w:t>
                  </w:r>
                </w:p>
              </w:tc>
              <w:tc>
                <w:tcPr>
                  <w:tcW w:w="1326" w:type="pct"/>
                  <w:vAlign w:val="center"/>
                </w:tcPr>
                <w:p w14:paraId="2BF95454">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hint="eastAsia" w:ascii="Times New Roman" w:hAnsi="Times New Roman" w:eastAsia="宋体" w:cs="Times New Roman"/>
                      <w:bCs/>
                      <w:color w:val="auto"/>
                      <w:spacing w:val="0"/>
                      <w:sz w:val="21"/>
                      <w:szCs w:val="21"/>
                      <w:highlight w:val="none"/>
                      <w:lang w:val="en-US" w:eastAsia="zh-CN"/>
                    </w:rPr>
                    <w:t>《</w:t>
                  </w:r>
                  <w:r>
                    <w:rPr>
                      <w:rFonts w:hint="default" w:ascii="Times New Roman" w:hAnsi="Times New Roman" w:eastAsia="宋体" w:cs="Times New Roman"/>
                      <w:bCs/>
                      <w:color w:val="auto"/>
                      <w:spacing w:val="0"/>
                      <w:sz w:val="21"/>
                      <w:szCs w:val="21"/>
                      <w:highlight w:val="none"/>
                      <w:lang w:eastAsia="zh-CN"/>
                    </w:rPr>
                    <w:t>固定源挥发性有机物</w:t>
                  </w:r>
                  <w:r>
                    <w:rPr>
                      <w:rFonts w:hint="eastAsia" w:ascii="Times New Roman" w:hAnsi="Times New Roman" w:eastAsia="宋体" w:cs="Times New Roman"/>
                      <w:bCs/>
                      <w:color w:val="auto"/>
                      <w:spacing w:val="0"/>
                      <w:sz w:val="21"/>
                      <w:szCs w:val="21"/>
                      <w:highlight w:val="none"/>
                      <w:lang w:val="en-US" w:eastAsia="zh-CN"/>
                    </w:rPr>
                    <w:t>综合排放标准</w:t>
                  </w:r>
                  <w:r>
                    <w:rPr>
                      <w:rFonts w:hint="default" w:ascii="Times New Roman" w:hAnsi="Times New Roman" w:eastAsia="宋体" w:cs="Times New Roman"/>
                      <w:bCs/>
                      <w:color w:val="auto"/>
                      <w:spacing w:val="0"/>
                      <w:sz w:val="21"/>
                      <w:szCs w:val="21"/>
                      <w:highlight w:val="none"/>
                      <w:lang w:eastAsia="zh-CN"/>
                    </w:rPr>
                    <w:t>第六部分：其他行业</w:t>
                  </w:r>
                  <w:r>
                    <w:rPr>
                      <w:rFonts w:hint="eastAsia" w:ascii="Times New Roman" w:hAnsi="Times New Roman" w:eastAsia="宋体" w:cs="Times New Roman"/>
                      <w:bCs/>
                      <w:color w:val="auto"/>
                      <w:spacing w:val="0"/>
                      <w:sz w:val="21"/>
                      <w:szCs w:val="21"/>
                      <w:highlight w:val="none"/>
                      <w:lang w:val="en-US" w:eastAsia="zh-CN"/>
                    </w:rPr>
                    <w:t>》（DB34/4812.6-2024）</w:t>
                  </w:r>
                  <w:r>
                    <w:rPr>
                      <w:rFonts w:hint="eastAsia" w:eastAsia="宋体" w:cs="Times New Roman"/>
                      <w:bCs/>
                      <w:color w:val="auto"/>
                      <w:spacing w:val="0"/>
                      <w:sz w:val="21"/>
                      <w:szCs w:val="21"/>
                      <w:highlight w:val="none"/>
                      <w:lang w:val="en-US" w:eastAsia="zh-CN"/>
                    </w:rPr>
                    <w:t>；</w:t>
                  </w:r>
                  <w:r>
                    <w:rPr>
                      <w:rFonts w:ascii="Times New Roman" w:hAnsi="Times New Roman" w:eastAsia="宋体" w:cs="Times New Roman"/>
                      <w:color w:val="auto"/>
                      <w:sz w:val="21"/>
                      <w:szCs w:val="21"/>
                      <w:highlight w:val="none"/>
                      <w:lang w:eastAsia="zh-CN"/>
                    </w:rPr>
                    <w:t>《大气污染物综合排放标准》（GB16297</w:t>
                  </w:r>
                  <w:r>
                    <w:rPr>
                      <w:rFonts w:hint="eastAsia" w:ascii="Times New Roman" w:hAnsi="Times New Roman" w:eastAsia="宋体" w:cs="Times New Roman"/>
                      <w:color w:val="auto"/>
                      <w:sz w:val="21"/>
                      <w:szCs w:val="21"/>
                      <w:highlight w:val="none"/>
                      <w:lang w:val="en-US" w:eastAsia="zh-CN"/>
                    </w:rPr>
                    <w:t>-</w:t>
                  </w:r>
                  <w:r>
                    <w:rPr>
                      <w:rFonts w:ascii="Times New Roman" w:hAnsi="Times New Roman" w:eastAsia="宋体" w:cs="Times New Roman"/>
                      <w:color w:val="auto"/>
                      <w:sz w:val="21"/>
                      <w:szCs w:val="21"/>
                      <w:highlight w:val="none"/>
                      <w:lang w:eastAsia="zh-CN"/>
                    </w:rPr>
                    <w:t>1996）</w:t>
                  </w:r>
                </w:p>
              </w:tc>
            </w:tr>
            <w:tr w14:paraId="02EC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Align w:val="center"/>
                </w:tcPr>
                <w:p w14:paraId="325FA3CF">
                  <w:pPr>
                    <w:kinsoku/>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highlight w:val="none"/>
                      <w:lang w:eastAsia="zh-CN"/>
                    </w:rPr>
                    <w:t>颗粒物</w:t>
                  </w:r>
                </w:p>
              </w:tc>
              <w:tc>
                <w:tcPr>
                  <w:tcW w:w="584" w:type="pct"/>
                  <w:vAlign w:val="center"/>
                </w:tcPr>
                <w:p w14:paraId="3E310F75">
                  <w:pPr>
                    <w:kinsoku/>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15</w:t>
                  </w:r>
                </w:p>
              </w:tc>
              <w:tc>
                <w:tcPr>
                  <w:tcW w:w="675" w:type="pct"/>
                  <w:vAlign w:val="center"/>
                </w:tcPr>
                <w:p w14:paraId="31CBA544">
                  <w:pPr>
                    <w:kinsoku/>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highlight w:val="none"/>
                      <w:lang w:eastAsia="zh-CN"/>
                    </w:rPr>
                    <w:t>120mg/m</w:t>
                  </w:r>
                  <w:r>
                    <w:rPr>
                      <w:rFonts w:ascii="Times New Roman" w:hAnsi="Times New Roman" w:eastAsia="宋体" w:cs="Times New Roman"/>
                      <w:bCs/>
                      <w:color w:val="auto"/>
                      <w:spacing w:val="0"/>
                      <w:sz w:val="21"/>
                      <w:szCs w:val="21"/>
                      <w:highlight w:val="none"/>
                      <w:vertAlign w:val="superscript"/>
                      <w:lang w:eastAsia="zh-CN"/>
                    </w:rPr>
                    <w:t>3</w:t>
                  </w:r>
                </w:p>
              </w:tc>
              <w:tc>
                <w:tcPr>
                  <w:tcW w:w="598" w:type="pct"/>
                  <w:vAlign w:val="center"/>
                </w:tcPr>
                <w:p w14:paraId="06CF21C5">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5.9</w:t>
                  </w:r>
                </w:p>
              </w:tc>
              <w:tc>
                <w:tcPr>
                  <w:tcW w:w="901" w:type="pct"/>
                  <w:vAlign w:val="center"/>
                </w:tcPr>
                <w:p w14:paraId="1142A003">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ascii="Times New Roman" w:hAnsi="Times New Roman" w:eastAsia="宋体" w:cs="Times New Roman"/>
                      <w:bCs/>
                      <w:color w:val="auto"/>
                      <w:spacing w:val="0"/>
                      <w:sz w:val="21"/>
                      <w:szCs w:val="21"/>
                      <w:highlight w:val="none"/>
                      <w:lang w:eastAsia="zh-CN"/>
                    </w:rPr>
                    <w:t>1.0</w:t>
                  </w:r>
                </w:p>
              </w:tc>
              <w:tc>
                <w:tcPr>
                  <w:tcW w:w="445" w:type="pct"/>
                  <w:vAlign w:val="center"/>
                </w:tcPr>
                <w:p w14:paraId="386DA9C1">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ascii="Times New Roman" w:hAnsi="Times New Roman" w:eastAsia="宋体" w:cs="Times New Roman"/>
                      <w:bCs/>
                      <w:color w:val="auto"/>
                      <w:spacing w:val="0"/>
                      <w:sz w:val="21"/>
                      <w:szCs w:val="21"/>
                      <w:highlight w:val="none"/>
                      <w:lang w:eastAsia="zh-CN"/>
                    </w:rPr>
                    <w:t>厂界</w:t>
                  </w:r>
                </w:p>
              </w:tc>
              <w:tc>
                <w:tcPr>
                  <w:tcW w:w="1326" w:type="pct"/>
                  <w:vAlign w:val="center"/>
                </w:tcPr>
                <w:p w14:paraId="6A918D47">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ascii="Times New Roman" w:hAnsi="Times New Roman" w:eastAsia="宋体" w:cs="Times New Roman"/>
                      <w:bCs/>
                      <w:color w:val="auto"/>
                      <w:spacing w:val="0"/>
                      <w:sz w:val="21"/>
                      <w:szCs w:val="21"/>
                      <w:highlight w:val="none"/>
                      <w:lang w:eastAsia="zh-CN"/>
                    </w:rPr>
                    <w:t>《大气污染物综合排放标准》（GB16297-1996）</w:t>
                  </w:r>
                </w:p>
              </w:tc>
            </w:tr>
            <w:tr w14:paraId="7B05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Align w:val="center"/>
                </w:tcPr>
                <w:p w14:paraId="0EB685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Cs/>
                      <w:color w:val="auto"/>
                      <w:highlight w:val="none"/>
                      <w:lang w:eastAsia="zh-CN"/>
                    </w:rPr>
                  </w:pPr>
                  <w:r>
                    <w:rPr>
                      <w:rFonts w:hint="eastAsia" w:ascii="Times New Roman" w:hAnsi="Times New Roman" w:eastAsia="宋体" w:cs="Times New Roman"/>
                      <w:b w:val="0"/>
                      <w:bCs w:val="0"/>
                      <w:color w:val="auto"/>
                      <w:kern w:val="0"/>
                      <w:sz w:val="21"/>
                      <w:szCs w:val="21"/>
                      <w:highlight w:val="none"/>
                      <w:shd w:val="clear" w:color="auto" w:fill="auto"/>
                      <w:vertAlign w:val="baseline"/>
                      <w:lang w:eastAsia="zh-CN"/>
                    </w:rPr>
                    <w:t>颗粒物</w:t>
                  </w:r>
                </w:p>
              </w:tc>
              <w:tc>
                <w:tcPr>
                  <w:tcW w:w="584" w:type="pct"/>
                  <w:vMerge w:val="restart"/>
                  <w:vAlign w:val="center"/>
                </w:tcPr>
                <w:p w14:paraId="08414DCE">
                  <w:pPr>
                    <w:kinsoku/>
                    <w:jc w:val="center"/>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15</w:t>
                  </w:r>
                </w:p>
              </w:tc>
              <w:tc>
                <w:tcPr>
                  <w:tcW w:w="675" w:type="pct"/>
                  <w:vAlign w:val="center"/>
                </w:tcPr>
                <w:p w14:paraId="37A764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Cs/>
                      <w:color w:val="auto"/>
                      <w:highlight w:val="none"/>
                      <w:lang w:eastAsia="zh-CN"/>
                    </w:rPr>
                  </w:pPr>
                  <w:r>
                    <w:rPr>
                      <w:rFonts w:hint="eastAsia" w:ascii="Times New Roman" w:hAnsi="Times New Roman" w:eastAsia="宋体" w:cs="Times New Roman"/>
                      <w:b w:val="0"/>
                      <w:bCs w:val="0"/>
                      <w:color w:val="auto"/>
                      <w:kern w:val="0"/>
                      <w:sz w:val="21"/>
                      <w:szCs w:val="21"/>
                      <w:highlight w:val="none"/>
                      <w:shd w:val="clear" w:color="auto" w:fill="auto"/>
                      <w:vertAlign w:val="baseline"/>
                      <w:lang w:val="en-US" w:eastAsia="zh-CN"/>
                    </w:rPr>
                    <w:t>30</w:t>
                  </w:r>
                  <w:r>
                    <w:rPr>
                      <w:rFonts w:ascii="Times New Roman" w:hAnsi="Times New Roman" w:eastAsia="宋体" w:cs="Times New Roman"/>
                      <w:bCs/>
                      <w:color w:val="auto"/>
                      <w:highlight w:val="none"/>
                      <w:lang w:eastAsia="zh-CN"/>
                    </w:rPr>
                    <w:t>mg/m</w:t>
                  </w:r>
                  <w:r>
                    <w:rPr>
                      <w:rFonts w:ascii="Times New Roman" w:hAnsi="Times New Roman" w:eastAsia="宋体" w:cs="Times New Roman"/>
                      <w:bCs/>
                      <w:color w:val="auto"/>
                      <w:spacing w:val="0"/>
                      <w:sz w:val="21"/>
                      <w:szCs w:val="21"/>
                      <w:highlight w:val="none"/>
                      <w:vertAlign w:val="superscript"/>
                      <w:lang w:eastAsia="zh-CN"/>
                    </w:rPr>
                    <w:t>3</w:t>
                  </w:r>
                </w:p>
              </w:tc>
              <w:tc>
                <w:tcPr>
                  <w:tcW w:w="598" w:type="pct"/>
                  <w:vAlign w:val="center"/>
                </w:tcPr>
                <w:p w14:paraId="6E9D6A77">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901" w:type="pct"/>
                  <w:vAlign w:val="center"/>
                </w:tcPr>
                <w:p w14:paraId="15DC4977">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445" w:type="pct"/>
                  <w:vAlign w:val="center"/>
                </w:tcPr>
                <w:p w14:paraId="202C3C87">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1326" w:type="pct"/>
                  <w:vMerge w:val="restart"/>
                  <w:vAlign w:val="center"/>
                </w:tcPr>
                <w:p w14:paraId="4E2F78E1">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r>
                    <w:rPr>
                      <w:rFonts w:hint="eastAsia" w:eastAsia="宋体"/>
                      <w:bCs/>
                      <w:spacing w:val="0"/>
                      <w:sz w:val="21"/>
                      <w:szCs w:val="21"/>
                    </w:rPr>
                    <w:t>《工业窑炉大气污染物排放标准》（GB9078-1996）及关于印发《工业炉窑大气污染综合治理方案》的通知（环大气〔2019〕56号）</w:t>
                  </w:r>
                </w:p>
              </w:tc>
            </w:tr>
            <w:tr w14:paraId="4ECC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Align w:val="center"/>
                </w:tcPr>
                <w:p w14:paraId="405861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Cs/>
                      <w:color w:val="auto"/>
                      <w:highlight w:val="none"/>
                      <w:lang w:eastAsia="zh-CN"/>
                    </w:rPr>
                  </w:pPr>
                  <w:r>
                    <w:rPr>
                      <w:rFonts w:hint="eastAsia" w:ascii="Times New Roman" w:hAnsi="Times New Roman" w:eastAsia="宋体" w:cs="Times New Roman"/>
                      <w:b w:val="0"/>
                      <w:bCs w:val="0"/>
                      <w:color w:val="auto"/>
                      <w:kern w:val="0"/>
                      <w:sz w:val="21"/>
                      <w:szCs w:val="21"/>
                      <w:highlight w:val="none"/>
                      <w:shd w:val="clear" w:color="auto" w:fill="auto"/>
                      <w:vertAlign w:val="baseline"/>
                      <w:lang w:eastAsia="zh-CN"/>
                    </w:rPr>
                    <w:t>二氧化硫</w:t>
                  </w:r>
                </w:p>
              </w:tc>
              <w:tc>
                <w:tcPr>
                  <w:tcW w:w="584" w:type="pct"/>
                  <w:vMerge w:val="continue"/>
                  <w:vAlign w:val="center"/>
                </w:tcPr>
                <w:p w14:paraId="69C5C296">
                  <w:pPr>
                    <w:kinsoku/>
                    <w:jc w:val="center"/>
                    <w:rPr>
                      <w:rFonts w:hint="eastAsia" w:ascii="Times New Roman" w:hAnsi="Times New Roman" w:eastAsia="宋体" w:cs="Times New Roman"/>
                      <w:bCs/>
                      <w:color w:val="auto"/>
                      <w:highlight w:val="none"/>
                      <w:lang w:val="en-US" w:eastAsia="zh-CN"/>
                    </w:rPr>
                  </w:pPr>
                </w:p>
              </w:tc>
              <w:tc>
                <w:tcPr>
                  <w:tcW w:w="675" w:type="pct"/>
                  <w:vAlign w:val="center"/>
                </w:tcPr>
                <w:p w14:paraId="3DB013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Cs/>
                      <w:color w:val="auto"/>
                      <w:highlight w:val="none"/>
                      <w:lang w:eastAsia="zh-CN"/>
                    </w:rPr>
                  </w:pPr>
                  <w:r>
                    <w:rPr>
                      <w:rFonts w:hint="eastAsia" w:ascii="Times New Roman" w:hAnsi="Times New Roman" w:eastAsia="宋体" w:cs="Times New Roman"/>
                      <w:b w:val="0"/>
                      <w:bCs w:val="0"/>
                      <w:color w:val="auto"/>
                      <w:kern w:val="0"/>
                      <w:sz w:val="21"/>
                      <w:szCs w:val="21"/>
                      <w:highlight w:val="none"/>
                      <w:shd w:val="clear" w:color="auto" w:fill="auto"/>
                      <w:vertAlign w:val="baseline"/>
                      <w:lang w:val="en-US" w:eastAsia="zh-CN"/>
                    </w:rPr>
                    <w:t>200</w:t>
                  </w:r>
                  <w:r>
                    <w:rPr>
                      <w:rFonts w:ascii="Times New Roman" w:hAnsi="Times New Roman" w:eastAsia="宋体" w:cs="Times New Roman"/>
                      <w:bCs/>
                      <w:color w:val="auto"/>
                      <w:highlight w:val="none"/>
                      <w:lang w:eastAsia="zh-CN"/>
                    </w:rPr>
                    <w:t>mg/m</w:t>
                  </w:r>
                  <w:r>
                    <w:rPr>
                      <w:rFonts w:ascii="Times New Roman" w:hAnsi="Times New Roman" w:eastAsia="宋体" w:cs="Times New Roman"/>
                      <w:bCs/>
                      <w:color w:val="auto"/>
                      <w:spacing w:val="0"/>
                      <w:sz w:val="21"/>
                      <w:szCs w:val="21"/>
                      <w:highlight w:val="none"/>
                      <w:vertAlign w:val="superscript"/>
                      <w:lang w:eastAsia="zh-CN"/>
                    </w:rPr>
                    <w:t>3</w:t>
                  </w:r>
                </w:p>
              </w:tc>
              <w:tc>
                <w:tcPr>
                  <w:tcW w:w="598" w:type="pct"/>
                  <w:vAlign w:val="center"/>
                </w:tcPr>
                <w:p w14:paraId="724A953F">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901" w:type="pct"/>
                  <w:vAlign w:val="center"/>
                </w:tcPr>
                <w:p w14:paraId="13EE9607">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445" w:type="pct"/>
                  <w:vAlign w:val="center"/>
                </w:tcPr>
                <w:p w14:paraId="777CACE1">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1326" w:type="pct"/>
                  <w:vMerge w:val="continue"/>
                  <w:vAlign w:val="center"/>
                </w:tcPr>
                <w:p w14:paraId="4A2CA755">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p>
              </w:tc>
            </w:tr>
            <w:tr w14:paraId="781B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Align w:val="center"/>
                </w:tcPr>
                <w:p w14:paraId="013D08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Cs/>
                      <w:color w:val="auto"/>
                      <w:highlight w:val="none"/>
                      <w:lang w:eastAsia="zh-CN"/>
                    </w:rPr>
                  </w:pPr>
                  <w:r>
                    <w:rPr>
                      <w:rFonts w:hint="eastAsia" w:ascii="Times New Roman" w:hAnsi="Times New Roman" w:eastAsia="宋体" w:cs="Times New Roman"/>
                      <w:b w:val="0"/>
                      <w:bCs w:val="0"/>
                      <w:color w:val="auto"/>
                      <w:kern w:val="0"/>
                      <w:sz w:val="21"/>
                      <w:szCs w:val="21"/>
                      <w:highlight w:val="none"/>
                      <w:shd w:val="clear" w:color="auto" w:fill="auto"/>
                      <w:vertAlign w:val="baseline"/>
                      <w:lang w:eastAsia="zh-CN"/>
                    </w:rPr>
                    <w:t>氮氧化物</w:t>
                  </w:r>
                </w:p>
              </w:tc>
              <w:tc>
                <w:tcPr>
                  <w:tcW w:w="584" w:type="pct"/>
                  <w:vMerge w:val="continue"/>
                  <w:vAlign w:val="center"/>
                </w:tcPr>
                <w:p w14:paraId="4FE7CC4A">
                  <w:pPr>
                    <w:kinsoku/>
                    <w:jc w:val="center"/>
                    <w:rPr>
                      <w:rFonts w:hint="eastAsia" w:ascii="Times New Roman" w:hAnsi="Times New Roman" w:eastAsia="宋体" w:cs="Times New Roman"/>
                      <w:bCs/>
                      <w:color w:val="auto"/>
                      <w:highlight w:val="none"/>
                      <w:lang w:val="en-US" w:eastAsia="zh-CN"/>
                    </w:rPr>
                  </w:pPr>
                </w:p>
              </w:tc>
              <w:tc>
                <w:tcPr>
                  <w:tcW w:w="675" w:type="pct"/>
                  <w:vAlign w:val="center"/>
                </w:tcPr>
                <w:p w14:paraId="4FBDBB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Cs/>
                      <w:color w:val="auto"/>
                      <w:highlight w:val="none"/>
                      <w:lang w:eastAsia="zh-CN"/>
                    </w:rPr>
                  </w:pPr>
                  <w:r>
                    <w:rPr>
                      <w:rFonts w:hint="eastAsia" w:ascii="Times New Roman" w:hAnsi="Times New Roman" w:eastAsia="宋体" w:cs="Times New Roman"/>
                      <w:b w:val="0"/>
                      <w:bCs w:val="0"/>
                      <w:color w:val="auto"/>
                      <w:kern w:val="0"/>
                      <w:sz w:val="21"/>
                      <w:szCs w:val="21"/>
                      <w:highlight w:val="none"/>
                      <w:shd w:val="clear" w:color="auto" w:fill="auto"/>
                      <w:vertAlign w:val="baseline"/>
                      <w:lang w:val="en-US" w:eastAsia="zh-CN"/>
                    </w:rPr>
                    <w:t>300</w:t>
                  </w:r>
                  <w:r>
                    <w:rPr>
                      <w:rFonts w:ascii="Times New Roman" w:hAnsi="Times New Roman" w:eastAsia="宋体" w:cs="Times New Roman"/>
                      <w:bCs/>
                      <w:color w:val="auto"/>
                      <w:highlight w:val="none"/>
                      <w:lang w:eastAsia="zh-CN"/>
                    </w:rPr>
                    <w:t>mg/m</w:t>
                  </w:r>
                  <w:r>
                    <w:rPr>
                      <w:rFonts w:ascii="Times New Roman" w:hAnsi="Times New Roman" w:eastAsia="宋体" w:cs="Times New Roman"/>
                      <w:bCs/>
                      <w:color w:val="auto"/>
                      <w:spacing w:val="0"/>
                      <w:sz w:val="21"/>
                      <w:szCs w:val="21"/>
                      <w:highlight w:val="none"/>
                      <w:vertAlign w:val="superscript"/>
                      <w:lang w:eastAsia="zh-CN"/>
                    </w:rPr>
                    <w:t>3</w:t>
                  </w:r>
                </w:p>
              </w:tc>
              <w:tc>
                <w:tcPr>
                  <w:tcW w:w="598" w:type="pct"/>
                  <w:vAlign w:val="center"/>
                </w:tcPr>
                <w:p w14:paraId="6740A027">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901" w:type="pct"/>
                  <w:vAlign w:val="center"/>
                </w:tcPr>
                <w:p w14:paraId="009A4811">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445" w:type="pct"/>
                  <w:vAlign w:val="center"/>
                </w:tcPr>
                <w:p w14:paraId="34DE2C93">
                  <w:pPr>
                    <w:pStyle w:val="56"/>
                    <w:kinsoku/>
                    <w:spacing w:line="240" w:lineRule="auto"/>
                    <w:ind w:firstLine="0" w:firstLineChars="0"/>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eastAsia="宋体" w:cs="Times New Roman"/>
                      <w:bCs/>
                      <w:color w:val="auto"/>
                      <w:spacing w:val="0"/>
                      <w:sz w:val="21"/>
                      <w:szCs w:val="21"/>
                      <w:highlight w:val="none"/>
                      <w:lang w:val="en-US" w:eastAsia="zh-CN"/>
                    </w:rPr>
                    <w:t>/</w:t>
                  </w:r>
                </w:p>
              </w:tc>
              <w:tc>
                <w:tcPr>
                  <w:tcW w:w="1326" w:type="pct"/>
                  <w:vMerge w:val="continue"/>
                  <w:vAlign w:val="center"/>
                </w:tcPr>
                <w:p w14:paraId="3EABCEF3">
                  <w:pPr>
                    <w:pStyle w:val="56"/>
                    <w:kinsoku/>
                    <w:spacing w:line="240" w:lineRule="auto"/>
                    <w:ind w:firstLine="0" w:firstLineChars="0"/>
                    <w:textAlignment w:val="auto"/>
                    <w:rPr>
                      <w:rFonts w:ascii="Times New Roman" w:hAnsi="Times New Roman" w:eastAsia="宋体" w:cs="Times New Roman"/>
                      <w:bCs/>
                      <w:color w:val="auto"/>
                      <w:spacing w:val="0"/>
                      <w:sz w:val="21"/>
                      <w:szCs w:val="21"/>
                      <w:highlight w:val="none"/>
                      <w:lang w:eastAsia="zh-CN"/>
                    </w:rPr>
                  </w:pPr>
                </w:p>
              </w:tc>
            </w:tr>
          </w:tbl>
          <w:p w14:paraId="385CBC2E">
            <w:pPr>
              <w:keepNext w:val="0"/>
              <w:keepLines w:val="0"/>
              <w:pageBreakBefore w:val="0"/>
              <w:widowControl/>
              <w:kinsoku/>
              <w:wordWrap/>
              <w:overflowPunct/>
              <w:topLinePunct w:val="0"/>
              <w:autoSpaceDE w:val="0"/>
              <w:autoSpaceDN w:val="0"/>
              <w:bidi w:val="0"/>
              <w:adjustRightInd/>
              <w:snapToGrid/>
              <w:contextualSpacing/>
              <w:jc w:val="center"/>
              <w:textAlignment w:val="baseline"/>
              <w:rPr>
                <w:rFonts w:ascii="Times New Roman" w:hAnsi="Times New Roman" w:eastAsia="宋体" w:cs="Times New Roman"/>
                <w:b/>
                <w:color w:val="auto"/>
                <w:sz w:val="24"/>
                <w:szCs w:val="24"/>
                <w:highlight w:val="none"/>
                <w:lang w:eastAsia="zh-CN"/>
              </w:rPr>
            </w:pPr>
            <w:r>
              <w:rPr>
                <w:rFonts w:ascii="Times New Roman" w:hAnsi="Times New Roman" w:eastAsia="宋体" w:cs="Times New Roman"/>
                <w:b/>
                <w:color w:val="auto"/>
                <w:sz w:val="24"/>
                <w:szCs w:val="24"/>
                <w:highlight w:val="none"/>
                <w:lang w:eastAsia="zh-CN"/>
              </w:rPr>
              <w:t>表3-1</w:t>
            </w:r>
            <w:r>
              <w:rPr>
                <w:rFonts w:hint="eastAsia" w:cs="Times New Roman"/>
                <w:b/>
                <w:color w:val="auto"/>
                <w:sz w:val="24"/>
                <w:szCs w:val="24"/>
                <w:highlight w:val="none"/>
                <w:lang w:val="en-US" w:eastAsia="zh-CN"/>
              </w:rPr>
              <w:t xml:space="preserve">1 </w:t>
            </w:r>
            <w:r>
              <w:rPr>
                <w:rFonts w:ascii="Times New Roman" w:hAnsi="Times New Roman" w:eastAsia="宋体" w:cs="Times New Roman"/>
                <w:b/>
                <w:color w:val="auto"/>
                <w:sz w:val="24"/>
                <w:szCs w:val="24"/>
                <w:highlight w:val="none"/>
                <w:lang w:eastAsia="zh-CN"/>
              </w:rPr>
              <w:t xml:space="preserve"> 厂区内VOCs无组织排放标准</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04"/>
              <w:gridCol w:w="2004"/>
              <w:gridCol w:w="1864"/>
              <w:gridCol w:w="3019"/>
            </w:tblGrid>
            <w:tr w14:paraId="5DDC2C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pct"/>
                  <w:vAlign w:val="center"/>
                </w:tcPr>
                <w:p w14:paraId="6C5653DC">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w:t>
                  </w:r>
                </w:p>
              </w:tc>
              <w:tc>
                <w:tcPr>
                  <w:tcW w:w="1223" w:type="pct"/>
                  <w:vAlign w:val="center"/>
                </w:tcPr>
                <w:p w14:paraId="5EB2F1A3">
                  <w:pPr>
                    <w:kinsoku/>
                    <w:jc w:val="center"/>
                    <w:rPr>
                      <w:rFonts w:ascii="Times New Roman" w:hAnsi="Times New Roman" w:eastAsia="宋体" w:cs="Times New Roman"/>
                      <w:color w:val="auto"/>
                      <w:highlight w:val="none"/>
                    </w:rPr>
                  </w:pPr>
                  <w:r>
                    <w:rPr>
                      <w:rFonts w:ascii="Times New Roman" w:hAnsi="Times New Roman" w:eastAsia="宋体" w:cs="Times New Roman"/>
                      <w:bCs/>
                      <w:color w:val="auto"/>
                      <w:highlight w:val="none"/>
                    </w:rPr>
                    <w:t>浓度值</w:t>
                  </w:r>
                  <w:r>
                    <w:rPr>
                      <w:rFonts w:ascii="Times New Roman" w:hAnsi="Times New Roman" w:eastAsia="宋体" w:cs="Times New Roman"/>
                      <w:color w:val="auto"/>
                      <w:highlight w:val="none"/>
                    </w:rPr>
                    <w:t>（mg/m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w:t>
                  </w:r>
                </w:p>
              </w:tc>
              <w:tc>
                <w:tcPr>
                  <w:tcW w:w="1137" w:type="pct"/>
                  <w:vAlign w:val="center"/>
                </w:tcPr>
                <w:p w14:paraId="11B7A2EC">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监控点</w:t>
                  </w:r>
                </w:p>
              </w:tc>
              <w:tc>
                <w:tcPr>
                  <w:tcW w:w="1842" w:type="pct"/>
                  <w:vAlign w:val="center"/>
                </w:tcPr>
                <w:p w14:paraId="5877CE45">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标准来源</w:t>
                  </w:r>
                </w:p>
              </w:tc>
            </w:tr>
            <w:tr w14:paraId="0DB66D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pct"/>
                  <w:vMerge w:val="restart"/>
                  <w:vAlign w:val="center"/>
                </w:tcPr>
                <w:p w14:paraId="51A01DEE">
                  <w:pPr>
                    <w:kinsoku/>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NMHC</w:t>
                  </w:r>
                </w:p>
              </w:tc>
              <w:tc>
                <w:tcPr>
                  <w:tcW w:w="1223" w:type="pct"/>
                  <w:vAlign w:val="center"/>
                </w:tcPr>
                <w:p w14:paraId="3786415C">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w:t>
                  </w:r>
                </w:p>
              </w:tc>
              <w:tc>
                <w:tcPr>
                  <w:tcW w:w="1137" w:type="pct"/>
                  <w:vAlign w:val="center"/>
                </w:tcPr>
                <w:p w14:paraId="6786AB6D">
                  <w:pPr>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厂区内监控点处1h平均浓度值</w:t>
                  </w:r>
                </w:p>
              </w:tc>
              <w:tc>
                <w:tcPr>
                  <w:tcW w:w="1842" w:type="pct"/>
                  <w:vMerge w:val="restart"/>
                  <w:vAlign w:val="center"/>
                </w:tcPr>
                <w:p w14:paraId="4165D6F2">
                  <w:pPr>
                    <w:kinsoku/>
                    <w:jc w:val="center"/>
                    <w:rPr>
                      <w:rFonts w:ascii="Times New Roman" w:hAnsi="Times New Roman" w:eastAsia="宋体" w:cs="Times New Roman"/>
                      <w:color w:val="auto"/>
                      <w:highlight w:val="none"/>
                      <w:lang w:eastAsia="zh-CN"/>
                    </w:rPr>
                  </w:pPr>
                  <w:r>
                    <w:rPr>
                      <w:rFonts w:hint="eastAsia" w:eastAsia="宋体"/>
                      <w:bCs/>
                      <w:color w:val="auto"/>
                      <w:spacing w:val="0"/>
                      <w:szCs w:val="21"/>
                      <w:highlight w:val="none"/>
                    </w:rPr>
                    <w:t>《</w:t>
                  </w:r>
                  <w:r>
                    <w:rPr>
                      <w:rFonts w:hint="eastAsia" w:ascii="Times New Roman" w:hAnsi="Times New Roman" w:eastAsia="宋体" w:cs="Times New Roman"/>
                      <w:bCs/>
                      <w:color w:val="auto"/>
                      <w:spacing w:val="0"/>
                      <w:szCs w:val="21"/>
                      <w:highlight w:val="none"/>
                      <w:lang w:val="en-US" w:eastAsia="zh-CN"/>
                    </w:rPr>
                    <w:t>固定源挥发性有机物综合排放标准第6部分：其他行业</w:t>
                  </w:r>
                  <w:r>
                    <w:rPr>
                      <w:rFonts w:hint="default" w:ascii="Times New Roman" w:hAnsi="Times New Roman" w:eastAsia="宋体" w:cs="Times New Roman"/>
                      <w:bCs/>
                      <w:color w:val="auto"/>
                      <w:spacing w:val="0"/>
                      <w:szCs w:val="21"/>
                      <w:highlight w:val="none"/>
                    </w:rPr>
                    <w:t>：其他行业》（DB34/4812.6-2024）</w:t>
                  </w:r>
                </w:p>
              </w:tc>
            </w:tr>
            <w:tr w14:paraId="2B995F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pct"/>
                  <w:vMerge w:val="continue"/>
                  <w:vAlign w:val="center"/>
                </w:tcPr>
                <w:p w14:paraId="0B3B93F4">
                  <w:pPr>
                    <w:kinsoku/>
                    <w:jc w:val="center"/>
                    <w:rPr>
                      <w:rFonts w:ascii="Times New Roman" w:hAnsi="Times New Roman" w:eastAsia="宋体" w:cs="Times New Roman"/>
                      <w:color w:val="auto"/>
                      <w:highlight w:val="none"/>
                      <w:lang w:eastAsia="zh-CN"/>
                    </w:rPr>
                  </w:pPr>
                </w:p>
              </w:tc>
              <w:tc>
                <w:tcPr>
                  <w:tcW w:w="1223" w:type="pct"/>
                  <w:vAlign w:val="center"/>
                </w:tcPr>
                <w:p w14:paraId="144B0677">
                  <w:pPr>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20</w:t>
                  </w:r>
                </w:p>
              </w:tc>
              <w:tc>
                <w:tcPr>
                  <w:tcW w:w="1137" w:type="pct"/>
                  <w:vAlign w:val="center"/>
                </w:tcPr>
                <w:p w14:paraId="58A8D1A1">
                  <w:pPr>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厂区内监控点处任意一次浓度值</w:t>
                  </w:r>
                </w:p>
              </w:tc>
              <w:tc>
                <w:tcPr>
                  <w:tcW w:w="1842" w:type="pct"/>
                  <w:vMerge w:val="continue"/>
                  <w:vAlign w:val="center"/>
                </w:tcPr>
                <w:p w14:paraId="39E4D7FF">
                  <w:pPr>
                    <w:kinsoku/>
                    <w:jc w:val="center"/>
                    <w:rPr>
                      <w:rFonts w:ascii="Times New Roman" w:hAnsi="Times New Roman" w:eastAsia="宋体" w:cs="Times New Roman"/>
                      <w:bCs/>
                      <w:color w:val="auto"/>
                      <w:highlight w:val="none"/>
                      <w:lang w:eastAsia="zh-CN"/>
                    </w:rPr>
                  </w:pPr>
                </w:p>
              </w:tc>
            </w:tr>
          </w:tbl>
          <w:p w14:paraId="338D6285">
            <w:pPr>
              <w:ind w:firstLine="482"/>
              <w:rPr>
                <w:rFonts w:hint="eastAsia"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2、废水</w:t>
            </w:r>
          </w:p>
          <w:p w14:paraId="343609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highlight w:val="none"/>
                <w:lang w:val="en-US"/>
              </w:rPr>
            </w:pPr>
            <w:r>
              <w:rPr>
                <w:rFonts w:hint="eastAsia" w:ascii="Times New Roman" w:hAnsi="Times New Roman" w:eastAsia="宋体" w:cs="Times New Roman"/>
                <w:color w:val="auto"/>
                <w:sz w:val="24"/>
                <w:szCs w:val="24"/>
                <w:highlight w:val="none"/>
                <w:lang w:val="en-US" w:eastAsia="zh-CN"/>
              </w:rPr>
              <w:t>生活污水经化粪池</w:t>
            </w:r>
            <w:r>
              <w:rPr>
                <w:rFonts w:hint="eastAsia" w:cs="Times New Roman"/>
                <w:color w:val="auto"/>
                <w:sz w:val="24"/>
                <w:szCs w:val="24"/>
                <w:highlight w:val="none"/>
                <w:lang w:val="en-US" w:eastAsia="zh-CN"/>
              </w:rPr>
              <w:t>预处理</w:t>
            </w:r>
            <w:r>
              <w:rPr>
                <w:rFonts w:hint="eastAsia" w:ascii="Times New Roman" w:hAnsi="Times New Roman" w:eastAsia="宋体" w:cs="Times New Roman"/>
                <w:color w:val="auto"/>
                <w:sz w:val="24"/>
                <w:szCs w:val="24"/>
                <w:highlight w:val="none"/>
                <w:lang w:val="en-US" w:eastAsia="zh-CN"/>
              </w:rPr>
              <w:t>排入园区污水管网，满足《污水综合排放标准》（GB8978-1996）三级标准同时满足安徽淮相科技发展有限公司第二污水处理厂接管要求，经安徽淮相科技发展有限公司第二污水处理厂处理达标后尾水排入老濉河</w:t>
            </w:r>
            <w:r>
              <w:rPr>
                <w:rFonts w:hint="eastAsia" w:cs="Times New Roman"/>
                <w:color w:val="auto"/>
                <w:sz w:val="24"/>
                <w:szCs w:val="24"/>
                <w:highlight w:val="none"/>
                <w:lang w:val="en-US" w:eastAsia="zh-CN"/>
              </w:rPr>
              <w:t>；生产废水经自建污水处理站处理后回用于生产。</w:t>
            </w:r>
          </w:p>
          <w:p w14:paraId="7D841A25">
            <w:pPr>
              <w:pStyle w:val="40"/>
              <w:rPr>
                <w:rFonts w:hint="default"/>
                <w:color w:val="auto"/>
                <w:sz w:val="24"/>
                <w:szCs w:val="32"/>
                <w:highlight w:val="none"/>
              </w:rPr>
            </w:pPr>
            <w:r>
              <w:rPr>
                <w:color w:val="auto"/>
                <w:sz w:val="24"/>
                <w:szCs w:val="32"/>
                <w:highlight w:val="none"/>
              </w:rPr>
              <w:t>表3-</w:t>
            </w:r>
            <w:r>
              <w:rPr>
                <w:rFonts w:hint="eastAsia"/>
                <w:color w:val="auto"/>
                <w:sz w:val="24"/>
                <w:szCs w:val="32"/>
                <w:highlight w:val="none"/>
                <w:lang w:val="en-US" w:eastAsia="zh-CN"/>
              </w:rPr>
              <w:t>12</w:t>
            </w:r>
            <w:r>
              <w:rPr>
                <w:color w:val="auto"/>
                <w:sz w:val="24"/>
                <w:szCs w:val="32"/>
                <w:highlight w:val="none"/>
              </w:rPr>
              <w:t xml:space="preserve">  废水污染物排放标准一览表    单位：mg/L</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701"/>
              <w:gridCol w:w="1743"/>
              <w:gridCol w:w="2647"/>
              <w:gridCol w:w="1378"/>
            </w:tblGrid>
            <w:tr w14:paraId="587B5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134BAB6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序号</w:t>
                  </w:r>
                </w:p>
              </w:tc>
              <w:tc>
                <w:tcPr>
                  <w:tcW w:w="1039" w:type="pct"/>
                  <w:vAlign w:val="center"/>
                </w:tcPr>
                <w:p w14:paraId="1A6051B6">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项目</w:t>
                  </w:r>
                </w:p>
              </w:tc>
              <w:tc>
                <w:tcPr>
                  <w:tcW w:w="1064" w:type="pct"/>
                  <w:vAlign w:val="center"/>
                </w:tcPr>
                <w:p w14:paraId="6524C8D3">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污水处理厂接管</w:t>
                  </w:r>
                  <w:r>
                    <w:rPr>
                      <w:rFonts w:hint="eastAsia"/>
                      <w:color w:val="auto"/>
                      <w:highlight w:val="none"/>
                    </w:rPr>
                    <w:t>限值</w:t>
                  </w:r>
                </w:p>
              </w:tc>
              <w:tc>
                <w:tcPr>
                  <w:tcW w:w="1616" w:type="pct"/>
                  <w:vAlign w:val="center"/>
                </w:tcPr>
                <w:p w14:paraId="38B77ED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color w:val="auto"/>
                      <w:highlight w:val="none"/>
                    </w:rPr>
                    <w:t>《污水综合排放标准》（GB8978-1996）三级标准</w:t>
                  </w:r>
                </w:p>
              </w:tc>
              <w:tc>
                <w:tcPr>
                  <w:tcW w:w="841" w:type="pct"/>
                  <w:vAlign w:val="center"/>
                </w:tcPr>
                <w:p w14:paraId="3E8E1C43">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color w:val="auto"/>
                      <w:highlight w:val="none"/>
                    </w:rPr>
                    <w:t>本项目执行</w:t>
                  </w:r>
                </w:p>
              </w:tc>
            </w:tr>
            <w:tr w14:paraId="582A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2AF77401">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1</w:t>
                  </w:r>
                </w:p>
              </w:tc>
              <w:tc>
                <w:tcPr>
                  <w:tcW w:w="1039" w:type="pct"/>
                  <w:vAlign w:val="center"/>
                </w:tcPr>
                <w:p w14:paraId="248C44C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pH（无量纲）</w:t>
                  </w:r>
                </w:p>
              </w:tc>
              <w:tc>
                <w:tcPr>
                  <w:tcW w:w="1064" w:type="pct"/>
                  <w:vAlign w:val="center"/>
                </w:tcPr>
                <w:p w14:paraId="626F57D7">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6～9</w:t>
                  </w:r>
                </w:p>
              </w:tc>
              <w:tc>
                <w:tcPr>
                  <w:tcW w:w="1616" w:type="pct"/>
                  <w:vAlign w:val="center"/>
                </w:tcPr>
                <w:p w14:paraId="31E133E7">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6～9</w:t>
                  </w:r>
                </w:p>
              </w:tc>
              <w:tc>
                <w:tcPr>
                  <w:tcW w:w="841" w:type="pct"/>
                  <w:vAlign w:val="center"/>
                </w:tcPr>
                <w:p w14:paraId="719B4796">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6～9</w:t>
                  </w:r>
                </w:p>
              </w:tc>
            </w:tr>
            <w:tr w14:paraId="4A42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6ECF4689">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2</w:t>
                  </w:r>
                </w:p>
              </w:tc>
              <w:tc>
                <w:tcPr>
                  <w:tcW w:w="1039" w:type="pct"/>
                  <w:vAlign w:val="center"/>
                </w:tcPr>
                <w:p w14:paraId="28E4ED16">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COD</w:t>
                  </w:r>
                </w:p>
              </w:tc>
              <w:tc>
                <w:tcPr>
                  <w:tcW w:w="1064" w:type="pct"/>
                  <w:vAlign w:val="center"/>
                </w:tcPr>
                <w:p w14:paraId="47E19EAC">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≤500</w:t>
                  </w:r>
                </w:p>
              </w:tc>
              <w:tc>
                <w:tcPr>
                  <w:tcW w:w="1616" w:type="pct"/>
                  <w:vAlign w:val="center"/>
                </w:tcPr>
                <w:p w14:paraId="70E5D4BA">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w:t>
                  </w:r>
                  <w:r>
                    <w:rPr>
                      <w:rFonts w:hint="eastAsia"/>
                      <w:color w:val="auto"/>
                      <w:highlight w:val="none"/>
                    </w:rPr>
                    <w:t>5</w:t>
                  </w:r>
                  <w:r>
                    <w:rPr>
                      <w:color w:val="auto"/>
                      <w:highlight w:val="none"/>
                    </w:rPr>
                    <w:t>00</w:t>
                  </w:r>
                </w:p>
              </w:tc>
              <w:tc>
                <w:tcPr>
                  <w:tcW w:w="841" w:type="pct"/>
                  <w:vAlign w:val="center"/>
                </w:tcPr>
                <w:p w14:paraId="24F332EF">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w:t>
                  </w:r>
                  <w:r>
                    <w:rPr>
                      <w:rFonts w:hint="eastAsia"/>
                      <w:color w:val="auto"/>
                      <w:highlight w:val="none"/>
                    </w:rPr>
                    <w:t>5</w:t>
                  </w:r>
                  <w:r>
                    <w:rPr>
                      <w:color w:val="auto"/>
                      <w:highlight w:val="none"/>
                    </w:rPr>
                    <w:t>00</w:t>
                  </w:r>
                </w:p>
              </w:tc>
            </w:tr>
            <w:tr w14:paraId="711C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69A58631">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3</w:t>
                  </w:r>
                </w:p>
              </w:tc>
              <w:tc>
                <w:tcPr>
                  <w:tcW w:w="1039" w:type="pct"/>
                  <w:vAlign w:val="center"/>
                </w:tcPr>
                <w:p w14:paraId="7B01EA61">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BOD</w:t>
                  </w:r>
                  <w:r>
                    <w:rPr>
                      <w:color w:val="auto"/>
                      <w:highlight w:val="none"/>
                      <w:vertAlign w:val="subscript"/>
                    </w:rPr>
                    <w:t>5</w:t>
                  </w:r>
                </w:p>
              </w:tc>
              <w:tc>
                <w:tcPr>
                  <w:tcW w:w="1064" w:type="pct"/>
                  <w:vAlign w:val="center"/>
                </w:tcPr>
                <w:p w14:paraId="0EC6DB2B">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w:t>
                  </w:r>
                  <w:r>
                    <w:rPr>
                      <w:rFonts w:hint="eastAsia"/>
                      <w:color w:val="auto"/>
                      <w:highlight w:val="none"/>
                    </w:rPr>
                    <w:t>300</w:t>
                  </w:r>
                </w:p>
              </w:tc>
              <w:tc>
                <w:tcPr>
                  <w:tcW w:w="1616" w:type="pct"/>
                  <w:vAlign w:val="center"/>
                </w:tcPr>
                <w:p w14:paraId="7AFE755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≤300</w:t>
                  </w:r>
                </w:p>
              </w:tc>
              <w:tc>
                <w:tcPr>
                  <w:tcW w:w="841" w:type="pct"/>
                  <w:vAlign w:val="center"/>
                </w:tcPr>
                <w:p w14:paraId="3540A4F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≤300</w:t>
                  </w:r>
                </w:p>
              </w:tc>
            </w:tr>
            <w:tr w14:paraId="5C5E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60170B63">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4</w:t>
                  </w:r>
                </w:p>
              </w:tc>
              <w:tc>
                <w:tcPr>
                  <w:tcW w:w="1039" w:type="pct"/>
                  <w:vAlign w:val="center"/>
                </w:tcPr>
                <w:p w14:paraId="5B453D8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SS</w:t>
                  </w:r>
                </w:p>
              </w:tc>
              <w:tc>
                <w:tcPr>
                  <w:tcW w:w="1064" w:type="pct"/>
                  <w:vAlign w:val="center"/>
                </w:tcPr>
                <w:p w14:paraId="794780E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w:t>
                  </w:r>
                  <w:r>
                    <w:rPr>
                      <w:rFonts w:hint="eastAsia"/>
                      <w:color w:val="auto"/>
                      <w:highlight w:val="none"/>
                    </w:rPr>
                    <w:t>400</w:t>
                  </w:r>
                </w:p>
              </w:tc>
              <w:tc>
                <w:tcPr>
                  <w:tcW w:w="1616" w:type="pct"/>
                  <w:vAlign w:val="center"/>
                </w:tcPr>
                <w:p w14:paraId="41812D96">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≤400</w:t>
                  </w:r>
                </w:p>
              </w:tc>
              <w:tc>
                <w:tcPr>
                  <w:tcW w:w="841" w:type="pct"/>
                  <w:vAlign w:val="center"/>
                </w:tcPr>
                <w:p w14:paraId="1B972618">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w:t>
                  </w:r>
                  <w:r>
                    <w:rPr>
                      <w:rFonts w:hint="eastAsia"/>
                      <w:color w:val="auto"/>
                      <w:highlight w:val="none"/>
                    </w:rPr>
                    <w:t>400</w:t>
                  </w:r>
                </w:p>
              </w:tc>
            </w:tr>
            <w:tr w14:paraId="06F1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04A5D76B">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5</w:t>
                  </w:r>
                </w:p>
              </w:tc>
              <w:tc>
                <w:tcPr>
                  <w:tcW w:w="1039" w:type="pct"/>
                  <w:vAlign w:val="center"/>
                </w:tcPr>
                <w:p w14:paraId="29062A79">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氨氮</w:t>
                  </w:r>
                </w:p>
              </w:tc>
              <w:tc>
                <w:tcPr>
                  <w:tcW w:w="1064" w:type="pct"/>
                  <w:vAlign w:val="center"/>
                </w:tcPr>
                <w:p w14:paraId="1689B6D7">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≤45</w:t>
                  </w:r>
                </w:p>
              </w:tc>
              <w:tc>
                <w:tcPr>
                  <w:tcW w:w="1616" w:type="pct"/>
                  <w:vAlign w:val="center"/>
                </w:tcPr>
                <w:p w14:paraId="446F17B8">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color w:val="auto"/>
                      <w:highlight w:val="none"/>
                    </w:rPr>
                    <w:t>-</w:t>
                  </w:r>
                </w:p>
              </w:tc>
              <w:tc>
                <w:tcPr>
                  <w:tcW w:w="841" w:type="pct"/>
                  <w:vAlign w:val="center"/>
                </w:tcPr>
                <w:p w14:paraId="11E93C50">
                  <w:pPr>
                    <w:pStyle w:val="41"/>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≤45</w:t>
                  </w:r>
                </w:p>
              </w:tc>
            </w:tr>
          </w:tbl>
          <w:p w14:paraId="1EB3B5FD">
            <w:pPr>
              <w:ind w:firstLine="482"/>
              <w:rPr>
                <w:rFonts w:hint="eastAsia"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3、噪声</w:t>
            </w:r>
          </w:p>
          <w:p w14:paraId="7093A1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运营期厂界噪声执行《工业企业厂界环境噪声排放标准》（GB12348-2008）中3类标准，具体标准限值见下表。</w:t>
            </w:r>
          </w:p>
          <w:p w14:paraId="6D3D3C5F">
            <w:pPr>
              <w:pStyle w:val="40"/>
              <w:rPr>
                <w:rFonts w:hint="default"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表3-</w:t>
            </w:r>
            <w:r>
              <w:rPr>
                <w:rFonts w:hint="eastAsia" w:ascii="Times New Roman" w:hAnsi="Times New Roman" w:eastAsia="宋体" w:cs="Times New Roman"/>
                <w:color w:val="auto"/>
                <w:sz w:val="24"/>
                <w:szCs w:val="32"/>
                <w:highlight w:val="none"/>
                <w:lang w:val="en-US" w:eastAsia="zh-CN"/>
              </w:rPr>
              <w:t>1</w:t>
            </w:r>
            <w:r>
              <w:rPr>
                <w:rFonts w:hint="eastAsia" w:cs="Times New Roman"/>
                <w:color w:val="auto"/>
                <w:sz w:val="24"/>
                <w:szCs w:val="32"/>
                <w:highlight w:val="none"/>
                <w:lang w:val="en-US" w:eastAsia="zh-CN"/>
              </w:rPr>
              <w:t>3</w:t>
            </w:r>
            <w:r>
              <w:rPr>
                <w:rFonts w:ascii="Times New Roman" w:hAnsi="Times New Roman" w:eastAsia="宋体" w:cs="Times New Roman"/>
                <w:color w:val="auto"/>
                <w:sz w:val="24"/>
                <w:szCs w:val="32"/>
                <w:highlight w:val="none"/>
              </w:rPr>
              <w:t xml:space="preserve">  工业企业厂界环境噪声排放标准  单位：dB（A）</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8"/>
              <w:gridCol w:w="3671"/>
            </w:tblGrid>
            <w:tr w14:paraId="475E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58" w:type="pct"/>
                  <w:vAlign w:val="center"/>
                </w:tcPr>
                <w:p w14:paraId="3AE6FCFC">
                  <w:pPr>
                    <w:pStyle w:val="41"/>
                    <w:rPr>
                      <w:color w:val="auto"/>
                      <w:highlight w:val="none"/>
                    </w:rPr>
                  </w:pPr>
                  <w:r>
                    <w:rPr>
                      <w:color w:val="auto"/>
                      <w:highlight w:val="none"/>
                    </w:rPr>
                    <w:t>标准</w:t>
                  </w:r>
                </w:p>
              </w:tc>
              <w:tc>
                <w:tcPr>
                  <w:tcW w:w="2241" w:type="pct"/>
                  <w:vAlign w:val="center"/>
                </w:tcPr>
                <w:p w14:paraId="335F2E83">
                  <w:pPr>
                    <w:pStyle w:val="41"/>
                    <w:rPr>
                      <w:color w:val="auto"/>
                      <w:highlight w:val="none"/>
                    </w:rPr>
                  </w:pPr>
                  <w:r>
                    <w:rPr>
                      <w:color w:val="auto"/>
                      <w:highlight w:val="none"/>
                    </w:rPr>
                    <w:t>昼间</w:t>
                  </w:r>
                </w:p>
              </w:tc>
            </w:tr>
            <w:tr w14:paraId="76C5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58" w:type="pct"/>
                  <w:vAlign w:val="center"/>
                </w:tcPr>
                <w:p w14:paraId="0B774362">
                  <w:pPr>
                    <w:pStyle w:val="41"/>
                    <w:rPr>
                      <w:color w:val="auto"/>
                      <w:highlight w:val="none"/>
                    </w:rPr>
                  </w:pPr>
                  <w:r>
                    <w:rPr>
                      <w:color w:val="auto"/>
                      <w:highlight w:val="none"/>
                    </w:rPr>
                    <w:t>GB12348-2008中3类标准</w:t>
                  </w:r>
                </w:p>
              </w:tc>
              <w:tc>
                <w:tcPr>
                  <w:tcW w:w="2241" w:type="pct"/>
                  <w:vAlign w:val="center"/>
                </w:tcPr>
                <w:p w14:paraId="7C5093AE">
                  <w:pPr>
                    <w:pStyle w:val="41"/>
                    <w:rPr>
                      <w:color w:val="auto"/>
                      <w:highlight w:val="none"/>
                    </w:rPr>
                  </w:pPr>
                  <w:r>
                    <w:rPr>
                      <w:color w:val="auto"/>
                      <w:highlight w:val="none"/>
                    </w:rPr>
                    <w:t>65</w:t>
                  </w:r>
                </w:p>
              </w:tc>
            </w:tr>
          </w:tbl>
          <w:p w14:paraId="563EB108">
            <w:pPr>
              <w:ind w:firstLine="482"/>
              <w:rPr>
                <w:rFonts w:hint="eastAsia"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4、固体废弃物</w:t>
            </w:r>
          </w:p>
          <w:p w14:paraId="05551A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ascii="Times New Roman" w:hAnsi="Times New Roman" w:eastAsia="宋体" w:cs="Times New Roman"/>
                <w:color w:val="auto"/>
                <w:sz w:val="24"/>
                <w:highlight w:val="none"/>
                <w:lang w:eastAsia="zh-CN"/>
              </w:rPr>
              <w:t>一般工业固体废物和危险固废的暂存及污染控制分别按《一般工业固体废物贮存和填埋污染控制标准》（GB18599-2020）、《危险废物贮存污染控制标准》（GB18597-2023）</w:t>
            </w:r>
            <w:r>
              <w:rPr>
                <w:rFonts w:hint="eastAsia" w:ascii="Times New Roman" w:hAnsi="Times New Roman" w:eastAsia="宋体" w:cs="Times New Roman"/>
                <w:color w:val="auto"/>
                <w:sz w:val="24"/>
                <w:highlight w:val="none"/>
                <w:lang w:eastAsia="zh-CN"/>
              </w:rPr>
              <w:t>执行</w:t>
            </w:r>
            <w:r>
              <w:rPr>
                <w:rFonts w:ascii="Times New Roman" w:hAnsi="Times New Roman" w:eastAsia="宋体" w:cs="Times New Roman"/>
                <w:color w:val="auto"/>
                <w:sz w:val="24"/>
                <w:highlight w:val="none"/>
                <w:lang w:eastAsia="zh-CN"/>
              </w:rPr>
              <w:t>。</w:t>
            </w:r>
          </w:p>
        </w:tc>
      </w:tr>
      <w:tr w14:paraId="3031E4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04" w:hRule="atLeast"/>
          <w:jc w:val="center"/>
        </w:trPr>
        <w:tc>
          <w:tcPr>
            <w:tcW w:w="372" w:type="pct"/>
            <w:tcBorders>
              <w:tl2br w:val="nil"/>
              <w:tr2bl w:val="nil"/>
            </w:tcBorders>
            <w:tcMar>
              <w:left w:w="28" w:type="dxa"/>
              <w:right w:w="28" w:type="dxa"/>
            </w:tcMar>
            <w:vAlign w:val="center"/>
          </w:tcPr>
          <w:p w14:paraId="60CDA197">
            <w:pPr>
              <w:adjustRightInd w:val="0"/>
              <w:snapToGrid w:val="0"/>
              <w:ind w:firstLine="0" w:firstLineChars="0"/>
              <w:jc w:val="center"/>
              <w:rPr>
                <w:rFonts w:ascii="宋体" w:hAnsi="宋体" w:cs="宋体"/>
                <w:color w:val="auto"/>
                <w:highlight w:val="none"/>
              </w:rPr>
            </w:pPr>
            <w:r>
              <w:rPr>
                <w:rFonts w:hint="eastAsia" w:ascii="宋体" w:hAnsi="宋体" w:cs="宋体"/>
                <w:color w:val="auto"/>
                <w:highlight w:val="none"/>
              </w:rPr>
              <w:t>总量</w:t>
            </w:r>
          </w:p>
          <w:p w14:paraId="3087C872">
            <w:pPr>
              <w:adjustRightInd w:val="0"/>
              <w:snapToGrid w:val="0"/>
              <w:ind w:firstLine="0" w:firstLineChars="0"/>
              <w:jc w:val="center"/>
              <w:rPr>
                <w:rFonts w:ascii="宋体" w:hAnsi="宋体" w:cs="宋体"/>
                <w:color w:val="auto"/>
                <w:highlight w:val="none"/>
              </w:rPr>
            </w:pPr>
            <w:r>
              <w:rPr>
                <w:rFonts w:hint="eastAsia" w:ascii="宋体" w:hAnsi="宋体" w:cs="宋体"/>
                <w:color w:val="auto"/>
                <w:highlight w:val="none"/>
              </w:rPr>
              <w:t>控制</w:t>
            </w:r>
          </w:p>
          <w:p w14:paraId="263E2108">
            <w:pPr>
              <w:adjustRightInd w:val="0"/>
              <w:snapToGrid w:val="0"/>
              <w:ind w:firstLine="0" w:firstLineChars="0"/>
              <w:jc w:val="center"/>
              <w:rPr>
                <w:rFonts w:ascii="宋体" w:hAnsi="宋体" w:cs="宋体"/>
                <w:color w:val="auto"/>
                <w:szCs w:val="21"/>
                <w:highlight w:val="none"/>
              </w:rPr>
            </w:pPr>
            <w:r>
              <w:rPr>
                <w:rFonts w:hint="eastAsia" w:ascii="宋体" w:hAnsi="宋体" w:cs="宋体"/>
                <w:color w:val="auto"/>
                <w:highlight w:val="none"/>
              </w:rPr>
              <w:t>指标</w:t>
            </w:r>
          </w:p>
        </w:tc>
        <w:tc>
          <w:tcPr>
            <w:tcW w:w="4627" w:type="pct"/>
            <w:tcBorders>
              <w:tl2br w:val="nil"/>
              <w:tr2bl w:val="nil"/>
            </w:tcBorders>
            <w:vAlign w:val="center"/>
          </w:tcPr>
          <w:p w14:paraId="7DC348D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eastAsia" w:cs="Times New Roman"/>
                <w:color w:val="auto"/>
                <w:sz w:val="24"/>
                <w:szCs w:val="24"/>
                <w:highlight w:val="none"/>
                <w:lang w:val="en-US" w:eastAsia="zh-CN"/>
              </w:rPr>
              <w:t>外排废水仅涉及生活污水</w:t>
            </w:r>
            <w:r>
              <w:rPr>
                <w:rFonts w:hint="default" w:ascii="Times New Roman" w:hAnsi="Times New Roman" w:cs="Times New Roman"/>
                <w:color w:val="auto"/>
                <w:sz w:val="24"/>
                <w:szCs w:val="24"/>
                <w:highlight w:val="none"/>
              </w:rPr>
              <w:t>，生活污水经化粪池处理</w:t>
            </w:r>
            <w:r>
              <w:rPr>
                <w:rFonts w:hint="eastAsia" w:cs="Times New Roman"/>
                <w:color w:val="auto"/>
                <w:sz w:val="24"/>
                <w:szCs w:val="24"/>
                <w:highlight w:val="none"/>
                <w:lang w:eastAsia="zh-CN"/>
              </w:rPr>
              <w:t>后</w:t>
            </w:r>
            <w:r>
              <w:rPr>
                <w:rFonts w:hint="default" w:ascii="Times New Roman" w:hAnsi="Times New Roman" w:cs="Times New Roman"/>
                <w:color w:val="auto"/>
                <w:sz w:val="24"/>
                <w:szCs w:val="24"/>
                <w:highlight w:val="none"/>
              </w:rPr>
              <w:t>进入安徽淮相科技发展有限公司第二污水处理厂。水污染物排放总量纳入安徽淮相科技发展有限公司第二污水</w:t>
            </w:r>
            <w:r>
              <w:rPr>
                <w:rFonts w:hint="default" w:ascii="Times New Roman" w:hAnsi="Times New Roman" w:eastAsia="宋体" w:cs="Times New Roman"/>
                <w:color w:val="auto"/>
                <w:sz w:val="24"/>
                <w:szCs w:val="24"/>
                <w:highlight w:val="none"/>
              </w:rPr>
              <w:t>处理厂总量指标中，不需单独申请总量。</w:t>
            </w:r>
          </w:p>
          <w:p w14:paraId="0E210AF1">
            <w:pPr>
              <w:pStyle w:val="31"/>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rPr>
                <w:rFonts w:hint="default"/>
                <w:color w:val="auto"/>
              </w:rPr>
            </w:pPr>
            <w:r>
              <w:rPr>
                <w:rFonts w:hint="default" w:ascii="Times New Roman" w:hAnsi="Times New Roman" w:eastAsia="宋体" w:cs="Times New Roman"/>
                <w:color w:val="auto"/>
                <w:sz w:val="24"/>
                <w:szCs w:val="24"/>
                <w:highlight w:val="none"/>
                <w:lang w:eastAsia="zh-CN"/>
              </w:rPr>
              <w:t>根据主要环境影响和保护措施分析计算，本</w:t>
            </w:r>
            <w:r>
              <w:rPr>
                <w:rFonts w:hint="default" w:ascii="Times New Roman" w:hAnsi="Times New Roman" w:eastAsia="宋体" w:cs="Times New Roman"/>
                <w:color w:val="auto"/>
                <w:sz w:val="24"/>
                <w:szCs w:val="24"/>
                <w:highlight w:val="none"/>
              </w:rPr>
              <w:t>项目运营期排放的废气污染物</w:t>
            </w:r>
            <w:r>
              <w:rPr>
                <w:rFonts w:hint="default" w:ascii="Times New Roman" w:hAnsi="Times New Roman" w:eastAsia="宋体" w:cs="Times New Roman"/>
                <w:color w:val="auto"/>
                <w:sz w:val="24"/>
                <w:szCs w:val="24"/>
                <w:highlight w:val="none"/>
                <w:lang w:eastAsia="zh-CN"/>
              </w:rPr>
              <w:t>排放量为：</w:t>
            </w:r>
            <w:r>
              <w:rPr>
                <w:rFonts w:hint="default" w:ascii="Times New Roman" w:hAnsi="Times New Roman" w:eastAsia="宋体" w:cs="Times New Roman"/>
                <w:color w:val="auto"/>
                <w:sz w:val="24"/>
                <w:szCs w:val="24"/>
                <w:highlight w:val="none"/>
                <w:lang w:val="en-US" w:eastAsia="zh-CN"/>
              </w:rPr>
              <w:t>颗粒物：</w:t>
            </w:r>
            <w:r>
              <w:rPr>
                <w:rFonts w:hint="eastAsia" w:ascii="Times New Roman" w:hAnsi="Times New Roman" w:cs="Times New Roman"/>
                <w:color w:val="auto"/>
                <w:sz w:val="24"/>
                <w:szCs w:val="24"/>
                <w:highlight w:val="none"/>
                <w:lang w:val="en-US" w:eastAsia="zh-CN"/>
              </w:rPr>
              <w:t>0.571</w:t>
            </w:r>
            <w:r>
              <w:rPr>
                <w:rFonts w:hint="default" w:ascii="Times New Roman" w:hAnsi="Times New Roman" w:eastAsia="宋体" w:cs="Times New Roman"/>
                <w:color w:val="auto"/>
                <w:sz w:val="24"/>
                <w:szCs w:val="24"/>
                <w:highlight w:val="none"/>
                <w:lang w:eastAsia="zh-CN"/>
              </w:rPr>
              <w:t>t/a；挥发性有机物：</w:t>
            </w:r>
            <w:r>
              <w:rPr>
                <w:rFonts w:hint="default" w:ascii="Times New Roman" w:hAnsi="Times New Roman"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342</w:t>
            </w:r>
            <w:r>
              <w:rPr>
                <w:rFonts w:hint="default" w:ascii="Times New Roman" w:hAnsi="Times New Roman" w:eastAsia="宋体" w:cs="Times New Roman"/>
                <w:color w:val="auto"/>
                <w:sz w:val="24"/>
                <w:szCs w:val="24"/>
                <w:highlight w:val="none"/>
                <w:lang w:val="en-US" w:eastAsia="zh-CN"/>
              </w:rPr>
              <w:t>t/a、SO</w:t>
            </w:r>
            <w:r>
              <w:rPr>
                <w:rFonts w:hint="default"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0.0</w:t>
            </w:r>
            <w:r>
              <w:rPr>
                <w:rFonts w:hint="eastAsia" w:ascii="Times New Roman" w:hAnsi="Times New Roman" w:cs="Times New Roman"/>
                <w:color w:val="auto"/>
                <w:sz w:val="24"/>
                <w:szCs w:val="24"/>
                <w:highlight w:val="none"/>
                <w:lang w:val="en-US" w:eastAsia="zh-CN"/>
              </w:rPr>
              <w:t>34</w:t>
            </w:r>
            <w:r>
              <w:rPr>
                <w:rFonts w:hint="default" w:ascii="Times New Roman" w:hAnsi="Times New Roman" w:eastAsia="宋体" w:cs="Times New Roman"/>
                <w:color w:val="auto"/>
                <w:sz w:val="24"/>
                <w:szCs w:val="24"/>
                <w:highlight w:val="none"/>
                <w:lang w:eastAsia="zh-CN"/>
              </w:rPr>
              <w:t>t/a、</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X</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.223</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kern w:val="2"/>
                <w:szCs w:val="24"/>
                <w:lang w:eastAsia="zh-CN"/>
              </w:rPr>
              <w:t>经</w:t>
            </w:r>
            <w:r>
              <w:rPr>
                <w:rFonts w:hint="default" w:ascii="Times New Roman" w:hAnsi="Times New Roman" w:cs="Times New Roman"/>
                <w:color w:val="auto"/>
                <w:kern w:val="2"/>
                <w:szCs w:val="24"/>
                <w:lang w:val="en-US" w:eastAsia="zh-CN"/>
              </w:rPr>
              <w:t>淮北市</w:t>
            </w:r>
            <w:r>
              <w:rPr>
                <w:rFonts w:hint="default" w:ascii="Times New Roman" w:hAnsi="Times New Roman" w:cs="Times New Roman"/>
                <w:color w:val="auto"/>
                <w:kern w:val="2"/>
                <w:szCs w:val="24"/>
                <w:lang w:eastAsia="zh-CN"/>
              </w:rPr>
              <w:t>生态环境局批准总量控制文件，批准本项目的总量为</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cs="Times New Roman"/>
                <w:color w:val="auto"/>
                <w:sz w:val="24"/>
                <w:szCs w:val="24"/>
                <w:highlight w:val="none"/>
                <w:lang w:val="en-US" w:eastAsia="zh-CN"/>
              </w:rPr>
              <w:t>1.45</w:t>
            </w:r>
            <w:r>
              <w:rPr>
                <w:rFonts w:hint="default" w:ascii="Times New Roman" w:hAnsi="Times New Roman" w:eastAsia="宋体" w:cs="Times New Roman"/>
                <w:color w:val="auto"/>
                <w:sz w:val="24"/>
                <w:szCs w:val="24"/>
                <w:highlight w:val="none"/>
                <w:lang w:eastAsia="zh-CN"/>
              </w:rPr>
              <w:t>t/a；挥发性有机物：</w:t>
            </w:r>
            <w:r>
              <w:rPr>
                <w:rFonts w:hint="default" w:ascii="Times New Roman" w:hAnsi="Times New Roman" w:cs="Times New Roman"/>
                <w:color w:val="auto"/>
                <w:sz w:val="24"/>
                <w:szCs w:val="24"/>
                <w:highlight w:val="none"/>
                <w:lang w:val="en-US" w:eastAsia="zh-CN"/>
              </w:rPr>
              <w:t>0.56</w:t>
            </w:r>
            <w:r>
              <w:rPr>
                <w:rFonts w:hint="default" w:ascii="Times New Roman" w:hAnsi="Times New Roman" w:eastAsia="宋体" w:cs="Times New Roman"/>
                <w:color w:val="auto"/>
                <w:sz w:val="24"/>
                <w:szCs w:val="24"/>
                <w:highlight w:val="none"/>
                <w:lang w:val="en-US" w:eastAsia="zh-CN"/>
              </w:rPr>
              <w:t>t/a、SO</w:t>
            </w:r>
            <w:r>
              <w:rPr>
                <w:rFonts w:hint="default"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0.058</w:t>
            </w:r>
            <w:r>
              <w:rPr>
                <w:rFonts w:hint="default" w:ascii="Times New Roman" w:hAnsi="Times New Roman" w:eastAsia="宋体" w:cs="Times New Roman"/>
                <w:color w:val="auto"/>
                <w:sz w:val="24"/>
                <w:szCs w:val="24"/>
                <w:highlight w:val="none"/>
                <w:lang w:eastAsia="zh-CN"/>
              </w:rPr>
              <w:t>t/a、</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X</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0.38</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p>
          <w:p w14:paraId="6FC0B5B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25BA6C0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3962647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11BE741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6F8C620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3CAF6C8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01826B7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6A4669F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2EB3375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1A9B997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75A5B9D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050F818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7D32300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74C3084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p w14:paraId="20D87EB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eastAsia="zh-CN"/>
              </w:rPr>
            </w:pPr>
          </w:p>
        </w:tc>
      </w:tr>
    </w:tbl>
    <w:p w14:paraId="768718F3">
      <w:pPr>
        <w:jc w:val="center"/>
        <w:rPr>
          <w:color w:val="auto"/>
          <w:highlight w:val="none"/>
        </w:rPr>
        <w:sectPr>
          <w:pgSz w:w="11906" w:h="16838"/>
          <w:pgMar w:top="1440" w:right="1800" w:bottom="1440" w:left="1800" w:header="851" w:footer="992" w:gutter="0"/>
          <w:pgNumType w:fmt="decimal"/>
          <w:cols w:space="425" w:num="1"/>
          <w:docGrid w:type="lines" w:linePitch="312" w:charSpace="0"/>
        </w:sectPr>
      </w:pPr>
    </w:p>
    <w:p w14:paraId="3694B54E">
      <w:pPr>
        <w:pStyle w:val="23"/>
        <w:keepNext w:val="0"/>
        <w:keepLines w:val="0"/>
        <w:pageBreakBefore w:val="0"/>
        <w:widowControl/>
        <w:numPr>
          <w:ilvl w:val="0"/>
          <w:numId w:val="0"/>
        </w:numPr>
        <w:kinsoku/>
        <w:wordWrap/>
        <w:overflowPunct/>
        <w:topLinePunct w:val="0"/>
        <w:autoSpaceDE w:val="0"/>
        <w:autoSpaceDN w:val="0"/>
        <w:bidi w:val="0"/>
        <w:adjustRightInd/>
        <w:snapToGrid/>
        <w:spacing w:before="0" w:beforeAutospacing="0" w:after="0" w:afterAutospacing="0" w:line="360" w:lineRule="auto"/>
        <w:jc w:val="center"/>
        <w:textAlignment w:val="baseline"/>
        <w:outlineLvl w:val="0"/>
        <w:rPr>
          <w:rFonts w:hint="eastAsia" w:eastAsia="宋体" w:cs="宋体"/>
          <w:b/>
          <w:bCs/>
          <w:color w:val="auto"/>
          <w:sz w:val="30"/>
          <w:szCs w:val="30"/>
          <w:highlight w:val="none"/>
          <w:lang w:eastAsia="zh-CN"/>
        </w:rPr>
      </w:pPr>
      <w:r>
        <w:rPr>
          <w:rFonts w:hint="eastAsia" w:ascii="宋体" w:hAnsi="宋体" w:eastAsia="宋体" w:cs="宋体"/>
          <w:b/>
          <w:bCs/>
          <w:snapToGrid w:val="0"/>
          <w:color w:val="auto"/>
          <w:sz w:val="30"/>
          <w:szCs w:val="30"/>
          <w:highlight w:val="none"/>
          <w:lang w:val="en-US" w:eastAsia="zh-CN" w:bidi="ar-SA"/>
        </w:rPr>
        <w:t>四、</w:t>
      </w:r>
      <w:r>
        <w:rPr>
          <w:rFonts w:hint="eastAsia" w:eastAsia="宋体" w:cs="宋体"/>
          <w:b/>
          <w:bCs/>
          <w:color w:val="auto"/>
          <w:sz w:val="30"/>
          <w:szCs w:val="30"/>
          <w:highlight w:val="none"/>
          <w:lang w:eastAsia="zh-CN"/>
        </w:rPr>
        <w:t>主要环境影响和保护措施</w:t>
      </w:r>
    </w:p>
    <w:tbl>
      <w:tblPr>
        <w:tblStyle w:val="25"/>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8776"/>
      </w:tblGrid>
      <w:tr w14:paraId="50F0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75" w:type="dxa"/>
            <w:tcMar>
              <w:left w:w="28" w:type="dxa"/>
              <w:right w:w="28" w:type="dxa"/>
            </w:tcMar>
            <w:vAlign w:val="center"/>
          </w:tcPr>
          <w:p w14:paraId="70E17912">
            <w:pPr>
              <w:pStyle w:val="23"/>
              <w:keepNext w:val="0"/>
              <w:keepLines w:val="0"/>
              <w:pageBreakBefore w:val="0"/>
              <w:kinsoku/>
              <w:wordWrap/>
              <w:overflowPunct/>
              <w:topLinePunct w:val="0"/>
              <w:bidi w:val="0"/>
              <w:adjustRightInd/>
              <w:snapToGrid/>
              <w:spacing w:before="0" w:beforeAutospacing="0" w:after="0" w:afterAutospacing="0"/>
              <w:jc w:val="center"/>
              <w:rPr>
                <w:rFonts w:ascii="Times New Roman" w:hAnsi="Times New Roman" w:eastAsia="宋体" w:cs="Times New Roman"/>
                <w:color w:val="auto"/>
                <w:kern w:val="2"/>
                <w:szCs w:val="24"/>
                <w:highlight w:val="none"/>
              </w:rPr>
            </w:pPr>
            <w:r>
              <w:rPr>
                <w:rFonts w:ascii="Times New Roman" w:hAnsi="Times New Roman" w:eastAsia="宋体" w:cs="Times New Roman"/>
                <w:color w:val="auto"/>
                <w:kern w:val="2"/>
                <w:szCs w:val="24"/>
                <w:highlight w:val="none"/>
              </w:rPr>
              <w:t>施工</w:t>
            </w:r>
          </w:p>
          <w:p w14:paraId="3E587E83">
            <w:pPr>
              <w:pStyle w:val="23"/>
              <w:keepNext w:val="0"/>
              <w:keepLines w:val="0"/>
              <w:pageBreakBefore w:val="0"/>
              <w:kinsoku/>
              <w:wordWrap/>
              <w:overflowPunct/>
              <w:topLinePunct w:val="0"/>
              <w:bidi w:val="0"/>
              <w:adjustRightInd/>
              <w:snapToGrid/>
              <w:spacing w:before="0" w:beforeAutospacing="0" w:after="0" w:afterAutospacing="0"/>
              <w:jc w:val="center"/>
              <w:rPr>
                <w:rFonts w:ascii="Times New Roman" w:hAnsi="Times New Roman" w:eastAsia="宋体" w:cs="Times New Roman"/>
                <w:color w:val="auto"/>
                <w:kern w:val="2"/>
                <w:szCs w:val="24"/>
                <w:highlight w:val="none"/>
              </w:rPr>
            </w:pPr>
            <w:r>
              <w:rPr>
                <w:rFonts w:ascii="Times New Roman" w:hAnsi="Times New Roman" w:eastAsia="宋体" w:cs="Times New Roman"/>
                <w:color w:val="auto"/>
                <w:kern w:val="2"/>
                <w:szCs w:val="24"/>
                <w:highlight w:val="none"/>
              </w:rPr>
              <w:t>期环</w:t>
            </w:r>
          </w:p>
          <w:p w14:paraId="4ABE49C8">
            <w:pPr>
              <w:pStyle w:val="23"/>
              <w:keepNext w:val="0"/>
              <w:keepLines w:val="0"/>
              <w:pageBreakBefore w:val="0"/>
              <w:kinsoku/>
              <w:wordWrap/>
              <w:overflowPunct/>
              <w:topLinePunct w:val="0"/>
              <w:bidi w:val="0"/>
              <w:adjustRightInd/>
              <w:snapToGrid/>
              <w:spacing w:before="0" w:beforeAutospacing="0" w:after="0" w:afterAutospacing="0"/>
              <w:jc w:val="center"/>
              <w:rPr>
                <w:rFonts w:ascii="Times New Roman" w:hAnsi="Times New Roman" w:eastAsia="宋体" w:cs="Times New Roman"/>
                <w:color w:val="auto"/>
                <w:kern w:val="2"/>
                <w:szCs w:val="24"/>
                <w:highlight w:val="none"/>
              </w:rPr>
            </w:pPr>
            <w:r>
              <w:rPr>
                <w:rFonts w:ascii="Times New Roman" w:hAnsi="Times New Roman" w:eastAsia="宋体" w:cs="Times New Roman"/>
                <w:color w:val="auto"/>
                <w:kern w:val="2"/>
                <w:szCs w:val="24"/>
                <w:highlight w:val="none"/>
              </w:rPr>
              <w:t>境保</w:t>
            </w:r>
          </w:p>
          <w:p w14:paraId="0DDDD0CD">
            <w:pPr>
              <w:pStyle w:val="23"/>
              <w:keepNext w:val="0"/>
              <w:keepLines w:val="0"/>
              <w:pageBreakBefore w:val="0"/>
              <w:kinsoku/>
              <w:wordWrap/>
              <w:overflowPunct/>
              <w:topLinePunct w:val="0"/>
              <w:bidi w:val="0"/>
              <w:adjustRightInd/>
              <w:snapToGrid/>
              <w:spacing w:before="0" w:beforeAutospacing="0" w:after="0" w:afterAutospacing="0"/>
              <w:jc w:val="center"/>
              <w:rPr>
                <w:rFonts w:ascii="Times New Roman" w:hAnsi="Times New Roman" w:eastAsia="宋体" w:cs="Times New Roman"/>
                <w:color w:val="auto"/>
                <w:kern w:val="2"/>
                <w:szCs w:val="24"/>
                <w:highlight w:val="none"/>
              </w:rPr>
            </w:pPr>
            <w:r>
              <w:rPr>
                <w:rFonts w:ascii="Times New Roman" w:hAnsi="Times New Roman" w:eastAsia="宋体" w:cs="Times New Roman"/>
                <w:color w:val="auto"/>
                <w:kern w:val="2"/>
                <w:szCs w:val="24"/>
                <w:highlight w:val="none"/>
              </w:rPr>
              <w:t>护措</w:t>
            </w:r>
          </w:p>
          <w:p w14:paraId="55C84A9F">
            <w:pPr>
              <w:pStyle w:val="23"/>
              <w:keepNext w:val="0"/>
              <w:keepLines w:val="0"/>
              <w:pageBreakBefore w:val="0"/>
              <w:kinsoku/>
              <w:wordWrap/>
              <w:overflowPunct/>
              <w:topLinePunct w:val="0"/>
              <w:bidi w:val="0"/>
              <w:adjustRightInd/>
              <w:snapToGrid/>
              <w:spacing w:before="0" w:beforeAutospacing="0" w:after="0" w:afterAutospacing="0"/>
              <w:jc w:val="center"/>
              <w:rPr>
                <w:rFonts w:ascii="Times New Roman" w:hAnsi="Times New Roman" w:eastAsia="宋体" w:cs="Times New Roman"/>
                <w:bCs/>
                <w:color w:val="auto"/>
                <w:kern w:val="2"/>
                <w:szCs w:val="24"/>
                <w:highlight w:val="none"/>
              </w:rPr>
            </w:pPr>
            <w:r>
              <w:rPr>
                <w:rFonts w:ascii="Times New Roman" w:hAnsi="Times New Roman" w:eastAsia="宋体" w:cs="Times New Roman"/>
                <w:color w:val="auto"/>
                <w:kern w:val="2"/>
                <w:szCs w:val="24"/>
                <w:highlight w:val="none"/>
              </w:rPr>
              <w:t>施</w:t>
            </w:r>
          </w:p>
        </w:tc>
        <w:tc>
          <w:tcPr>
            <w:tcW w:w="8776" w:type="dxa"/>
            <w:vAlign w:val="center"/>
          </w:tcPr>
          <w:p w14:paraId="6EBDEC02">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58" w:name="OLE_LINK3"/>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kern w:val="2"/>
                <w:sz w:val="24"/>
                <w:szCs w:val="24"/>
                <w:highlight w:val="none"/>
                <w:lang w:val="en-US" w:eastAsia="zh-CN"/>
              </w:rPr>
              <w:t>租赁安徽宏冉科技有限公司</w:t>
            </w:r>
            <w:r>
              <w:rPr>
                <w:rFonts w:ascii="Times New Roman" w:hAnsi="Times New Roman" w:eastAsia="宋体" w:cs="Times New Roman"/>
                <w:color w:val="auto"/>
                <w:kern w:val="2"/>
                <w:sz w:val="24"/>
                <w:szCs w:val="24"/>
                <w:highlight w:val="none"/>
                <w:lang w:eastAsia="zh-CN"/>
              </w:rPr>
              <w:t>已建厂房</w:t>
            </w:r>
            <w:r>
              <w:rPr>
                <w:rFonts w:hint="default" w:ascii="Times New Roman" w:hAnsi="Times New Roman" w:eastAsia="宋体" w:cs="Times New Roman"/>
                <w:color w:val="auto"/>
                <w:sz w:val="24"/>
                <w:szCs w:val="24"/>
                <w:highlight w:val="none"/>
                <w:lang w:val="en-US" w:eastAsia="zh-CN"/>
              </w:rPr>
              <w:t>进行生产</w:t>
            </w:r>
            <w:r>
              <w:rPr>
                <w:rFonts w:hint="eastAsia" w:cs="Times New Roman"/>
                <w:color w:val="auto"/>
                <w:sz w:val="24"/>
                <w:szCs w:val="24"/>
                <w:highlight w:val="none"/>
                <w:lang w:val="en-US" w:eastAsia="zh-CN"/>
              </w:rPr>
              <w:t>。根据后期生产需要，厂房内部重新布局、重点防渗建设及设备安装，</w:t>
            </w:r>
            <w:r>
              <w:rPr>
                <w:rFonts w:hint="default" w:ascii="Times New Roman" w:hAnsi="Times New Roman" w:eastAsia="宋体" w:cs="Times New Roman"/>
                <w:color w:val="auto"/>
                <w:sz w:val="24"/>
                <w:szCs w:val="24"/>
                <w:highlight w:val="none"/>
                <w:lang w:val="en-US" w:eastAsia="zh-CN"/>
              </w:rPr>
              <w:t>施工期不涉及土建施工，具体施工环境保护措施分析如下：</w:t>
            </w:r>
          </w:p>
          <w:p w14:paraId="063580EC">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1、废气防治措施</w:t>
            </w:r>
          </w:p>
          <w:p w14:paraId="5C9A0EEC">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本项目不涉及土建工程，故施工过程中无施工扬尘，仅在施工过程中</w:t>
            </w:r>
            <w:r>
              <w:rPr>
                <w:rFonts w:hint="eastAsia" w:ascii="Times New Roman" w:hAnsi="Times New Roman" w:eastAsia="宋体" w:cs="Times New Roman"/>
                <w:color w:val="auto"/>
                <w:sz w:val="24"/>
                <w:szCs w:val="24"/>
                <w:highlight w:val="none"/>
                <w:lang w:val="en-US" w:eastAsia="zh-CN"/>
              </w:rPr>
              <w:t>涉及墙面涂料</w:t>
            </w:r>
            <w:r>
              <w:rPr>
                <w:rFonts w:hint="eastAsia" w:cs="Times New Roman"/>
                <w:color w:val="auto"/>
                <w:sz w:val="24"/>
                <w:szCs w:val="24"/>
                <w:highlight w:val="none"/>
                <w:lang w:val="en-US" w:eastAsia="zh-CN"/>
              </w:rPr>
              <w:t>使用、重点防渗区域地面地坪施工</w:t>
            </w:r>
            <w:r>
              <w:rPr>
                <w:rFonts w:hint="eastAsia" w:ascii="Times New Roman" w:hAnsi="Times New Roman" w:eastAsia="宋体" w:cs="Times New Roman"/>
                <w:color w:val="auto"/>
                <w:sz w:val="24"/>
                <w:szCs w:val="24"/>
                <w:highlight w:val="none"/>
                <w:lang w:val="en-US" w:eastAsia="zh-CN"/>
              </w:rPr>
              <w:t>及金属焊接，产生的废气中含有挥发性有机物、烟尘等。</w:t>
            </w:r>
            <w:r>
              <w:rPr>
                <w:rFonts w:hint="default" w:ascii="Times New Roman" w:hAnsi="Times New Roman" w:eastAsia="宋体" w:cs="Times New Roman"/>
                <w:color w:val="auto"/>
                <w:sz w:val="24"/>
                <w:szCs w:val="24"/>
                <w:highlight w:val="none"/>
                <w:lang w:val="en-US" w:eastAsia="zh-CN"/>
              </w:rPr>
              <w:t>该部分废气产生量极少，且产生时间有限。通过</w:t>
            </w:r>
            <w:r>
              <w:rPr>
                <w:rFonts w:hint="eastAsia" w:ascii="Times New Roman" w:hAnsi="Times New Roman" w:eastAsia="宋体" w:cs="Times New Roman"/>
                <w:color w:val="auto"/>
                <w:sz w:val="24"/>
                <w:szCs w:val="24"/>
                <w:highlight w:val="none"/>
                <w:lang w:val="en-US" w:eastAsia="zh-CN"/>
              </w:rPr>
              <w:t>选用低VOCs含量涂料等方面</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可有效减少废气产生</w:t>
            </w:r>
            <w:r>
              <w:rPr>
                <w:rFonts w:hint="default" w:ascii="Times New Roman" w:hAnsi="Times New Roman" w:eastAsia="宋体" w:cs="Times New Roman"/>
                <w:color w:val="auto"/>
                <w:sz w:val="24"/>
                <w:szCs w:val="24"/>
                <w:highlight w:val="none"/>
                <w:lang w:val="en-US" w:eastAsia="zh-CN"/>
              </w:rPr>
              <w:t>。</w:t>
            </w:r>
          </w:p>
          <w:p w14:paraId="3B6E65AB">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2、废水防治措施</w:t>
            </w:r>
          </w:p>
          <w:p w14:paraId="4FD0BFB4">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因涉及设备安装，故在施工期间，会产生施工人员生活污水。本项目施工期间，施工人数最多8人，根据《建筑施工计算手册》中施工现场生活用水定额为 20~60L/人·d，本项目取生活用水定额为 40L/人·d，故施工期间生活用水量为 0.32m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/d，根据《给排水设计手册》，生活污水产生量按用水量的 80%计故施工过程中生活污水产生量为 0.256m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/d，经化粪池处理后进入</w:t>
            </w:r>
            <w:r>
              <w:rPr>
                <w:rFonts w:hint="eastAsia" w:cs="Times New Roman"/>
                <w:color w:val="auto"/>
                <w:sz w:val="24"/>
                <w:szCs w:val="24"/>
                <w:highlight w:val="none"/>
                <w:lang w:val="en-US" w:eastAsia="zh-CN"/>
              </w:rPr>
              <w:t>宿州市汴北污水处理厂进行处理</w:t>
            </w:r>
            <w:r>
              <w:rPr>
                <w:rFonts w:hint="default" w:ascii="Times New Roman" w:hAnsi="Times New Roman" w:eastAsia="宋体" w:cs="Times New Roman"/>
                <w:color w:val="auto"/>
                <w:sz w:val="24"/>
                <w:szCs w:val="24"/>
                <w:highlight w:val="none"/>
                <w:lang w:val="en-US" w:eastAsia="zh-CN"/>
              </w:rPr>
              <w:t>。</w:t>
            </w:r>
          </w:p>
          <w:p w14:paraId="248DDAE4">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3、噪声防治措施</w:t>
            </w:r>
          </w:p>
          <w:p w14:paraId="6D26FBD5">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本项目施工期不涉及基建项目，仅为简单的设备安装，故施工过程中的噪声为点焊接、吊车等，设备噪声源强较小，</w:t>
            </w:r>
            <w:r>
              <w:rPr>
                <w:rFonts w:hint="eastAsia" w:cs="Times New Roman"/>
                <w:color w:val="auto"/>
                <w:sz w:val="24"/>
                <w:szCs w:val="24"/>
                <w:highlight w:val="none"/>
                <w:lang w:val="en-US" w:eastAsia="zh-CN"/>
              </w:rPr>
              <w:t>且项目周边无居民点，</w:t>
            </w:r>
            <w:r>
              <w:rPr>
                <w:rFonts w:hint="default" w:ascii="Times New Roman" w:hAnsi="Times New Roman" w:eastAsia="宋体" w:cs="Times New Roman"/>
                <w:color w:val="auto"/>
                <w:sz w:val="24"/>
                <w:szCs w:val="24"/>
                <w:highlight w:val="none"/>
                <w:lang w:val="en-US" w:eastAsia="zh-CN"/>
              </w:rPr>
              <w:t>施工期场界噪声对周边影响较小。</w:t>
            </w:r>
          </w:p>
          <w:p w14:paraId="254C93E9">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4、固体废物防治措施</w:t>
            </w:r>
          </w:p>
          <w:p w14:paraId="32E89006">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施工期产生的固体废物主要是废弃的装修材料、设备安装边角料、材料包装箱、袋和生活垃圾等，上述垃圾由环卫统一清运处置，无随意倾倒现象，故不会对周围环境造成影响。</w:t>
            </w:r>
          </w:p>
          <w:bookmarkEnd w:id="58"/>
          <w:p w14:paraId="5EA8C7D4">
            <w:pPr>
              <w:pStyle w:val="9"/>
              <w:keepNext w:val="0"/>
              <w:keepLines w:val="0"/>
              <w:pageBreakBefore w:val="0"/>
              <w:kinsoku/>
              <w:wordWrap/>
              <w:overflowPunct/>
              <w:topLinePunct w:val="0"/>
              <w:bidi w:val="0"/>
              <w:adjustRightInd/>
              <w:snapToGrid/>
              <w:spacing w:line="360" w:lineRule="auto"/>
              <w:ind w:firstLine="440" w:firstLineChars="200"/>
              <w:rPr>
                <w:rFonts w:ascii="Times New Roman" w:hAnsi="Times New Roman" w:eastAsia="宋体" w:cs="Times New Roman"/>
                <w:bCs/>
                <w:color w:val="auto"/>
                <w:spacing w:val="-10"/>
                <w:sz w:val="24"/>
                <w:szCs w:val="24"/>
                <w:highlight w:val="none"/>
                <w:lang w:eastAsia="zh-CN"/>
              </w:rPr>
            </w:pPr>
          </w:p>
          <w:p w14:paraId="690F3A32">
            <w:pPr>
              <w:rPr>
                <w:color w:val="auto"/>
                <w:highlight w:val="none"/>
                <w:lang w:eastAsia="zh-CN"/>
              </w:rPr>
            </w:pPr>
          </w:p>
          <w:p w14:paraId="5D88EBE1">
            <w:pPr>
              <w:rPr>
                <w:color w:val="auto"/>
                <w:highlight w:val="none"/>
                <w:lang w:eastAsia="zh-CN"/>
              </w:rPr>
            </w:pPr>
          </w:p>
          <w:p w14:paraId="242EA017">
            <w:pPr>
              <w:rPr>
                <w:color w:val="auto"/>
                <w:highlight w:val="none"/>
                <w:lang w:eastAsia="zh-CN"/>
              </w:rPr>
            </w:pPr>
          </w:p>
          <w:p w14:paraId="6A43A9E2">
            <w:pPr>
              <w:rPr>
                <w:color w:val="auto"/>
                <w:highlight w:val="none"/>
                <w:lang w:eastAsia="zh-CN"/>
              </w:rPr>
            </w:pPr>
          </w:p>
          <w:p w14:paraId="6E4F409E">
            <w:pPr>
              <w:rPr>
                <w:color w:val="auto"/>
                <w:highlight w:val="none"/>
                <w:lang w:eastAsia="zh-CN"/>
              </w:rPr>
            </w:pPr>
          </w:p>
          <w:p w14:paraId="4C58D242">
            <w:pPr>
              <w:rPr>
                <w:color w:val="auto"/>
                <w:highlight w:val="none"/>
                <w:lang w:eastAsia="zh-CN"/>
              </w:rPr>
            </w:pPr>
          </w:p>
          <w:p w14:paraId="7F63BEE8">
            <w:pPr>
              <w:rPr>
                <w:color w:val="auto"/>
                <w:highlight w:val="none"/>
                <w:lang w:eastAsia="zh-CN"/>
              </w:rPr>
            </w:pPr>
          </w:p>
        </w:tc>
      </w:tr>
      <w:tr w14:paraId="7239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0" w:hRule="atLeast"/>
          <w:jc w:val="center"/>
        </w:trPr>
        <w:tc>
          <w:tcPr>
            <w:tcW w:w="575" w:type="dxa"/>
            <w:tcMar>
              <w:left w:w="28" w:type="dxa"/>
              <w:right w:w="28" w:type="dxa"/>
            </w:tcMar>
            <w:vAlign w:val="center"/>
          </w:tcPr>
          <w:p w14:paraId="43A3CEA8">
            <w:pPr>
              <w:keepNext w:val="0"/>
              <w:keepLines w:val="0"/>
              <w:pageBreakBefore w:val="0"/>
              <w:kinsoku/>
              <w:wordWrap/>
              <w:overflowPunct/>
              <w:topLinePunct w:val="0"/>
              <w:bidi w:val="0"/>
              <w:adjustRightInd/>
              <w:snapToGrid/>
              <w:jc w:val="center"/>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lang w:eastAsia="zh-CN"/>
              </w:rPr>
              <w:t>运营</w:t>
            </w:r>
          </w:p>
          <w:p w14:paraId="2E2FA450">
            <w:pPr>
              <w:keepNext w:val="0"/>
              <w:keepLines w:val="0"/>
              <w:pageBreakBefore w:val="0"/>
              <w:kinsoku/>
              <w:wordWrap/>
              <w:overflowPunct/>
              <w:topLinePunct w:val="0"/>
              <w:bidi w:val="0"/>
              <w:adjustRightInd/>
              <w:snapToGrid/>
              <w:jc w:val="center"/>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lang w:eastAsia="zh-CN"/>
              </w:rPr>
              <w:t>期环</w:t>
            </w:r>
          </w:p>
          <w:p w14:paraId="7E0ED8B9">
            <w:pPr>
              <w:keepNext w:val="0"/>
              <w:keepLines w:val="0"/>
              <w:pageBreakBefore w:val="0"/>
              <w:kinsoku/>
              <w:wordWrap/>
              <w:overflowPunct/>
              <w:topLinePunct w:val="0"/>
              <w:bidi w:val="0"/>
              <w:adjustRightInd/>
              <w:snapToGrid/>
              <w:jc w:val="center"/>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lang w:eastAsia="zh-CN"/>
              </w:rPr>
              <w:t>境影</w:t>
            </w:r>
          </w:p>
          <w:p w14:paraId="6C7FACCD">
            <w:pPr>
              <w:keepNext w:val="0"/>
              <w:keepLines w:val="0"/>
              <w:pageBreakBefore w:val="0"/>
              <w:kinsoku/>
              <w:wordWrap/>
              <w:overflowPunct/>
              <w:topLinePunct w:val="0"/>
              <w:bidi w:val="0"/>
              <w:adjustRightInd/>
              <w:snapToGrid/>
              <w:jc w:val="center"/>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lang w:eastAsia="zh-CN"/>
              </w:rPr>
              <w:t>响和</w:t>
            </w:r>
          </w:p>
          <w:p w14:paraId="2B512F3F">
            <w:pPr>
              <w:keepNext w:val="0"/>
              <w:keepLines w:val="0"/>
              <w:pageBreakBefore w:val="0"/>
              <w:kinsoku/>
              <w:wordWrap/>
              <w:overflowPunct/>
              <w:topLinePunct w:val="0"/>
              <w:bidi w:val="0"/>
              <w:adjustRightInd/>
              <w:snapToGrid/>
              <w:jc w:val="center"/>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lang w:eastAsia="zh-CN"/>
              </w:rPr>
              <w:t>保护</w:t>
            </w:r>
          </w:p>
          <w:p w14:paraId="0511138D">
            <w:pPr>
              <w:pStyle w:val="23"/>
              <w:keepNext w:val="0"/>
              <w:keepLines w:val="0"/>
              <w:pageBreakBefore w:val="0"/>
              <w:kinsoku/>
              <w:wordWrap/>
              <w:overflowPunct/>
              <w:topLinePunct w:val="0"/>
              <w:bidi w:val="0"/>
              <w:adjustRightInd/>
              <w:snapToGrid/>
              <w:spacing w:before="0" w:beforeAutospacing="0" w:after="0" w:afterAutospacing="0"/>
              <w:jc w:val="center"/>
              <w:rPr>
                <w:rFonts w:ascii="Times New Roman" w:hAnsi="Times New Roman" w:eastAsia="宋体" w:cs="Times New Roman"/>
                <w:color w:val="auto"/>
                <w:kern w:val="2"/>
                <w:szCs w:val="24"/>
                <w:highlight w:val="none"/>
                <w:lang w:eastAsia="zh-CN"/>
              </w:rPr>
            </w:pPr>
            <w:r>
              <w:rPr>
                <w:rFonts w:ascii="Times New Roman" w:hAnsi="Times New Roman" w:eastAsia="宋体" w:cs="Times New Roman"/>
                <w:bCs/>
                <w:color w:val="auto"/>
                <w:highlight w:val="none"/>
                <w:lang w:eastAsia="zh-CN"/>
              </w:rPr>
              <w:t>措施</w:t>
            </w:r>
          </w:p>
        </w:tc>
        <w:tc>
          <w:tcPr>
            <w:tcW w:w="8776" w:type="dxa"/>
            <w:vAlign w:val="center"/>
          </w:tcPr>
          <w:p w14:paraId="7624040F">
            <w:pPr>
              <w:keepNext w:val="0"/>
              <w:keepLines w:val="0"/>
              <w:pageBreakBefore w:val="0"/>
              <w:kinsoku/>
              <w:wordWrap/>
              <w:overflowPunct/>
              <w:topLinePunct w:val="0"/>
              <w:bidi w:val="0"/>
              <w:adjustRightInd/>
              <w:snapToGrid/>
              <w:spacing w:line="360" w:lineRule="auto"/>
              <w:rPr>
                <w:rFonts w:ascii="Times New Roman" w:hAnsi="Times New Roman" w:eastAsia="宋体" w:cs="Times New Roman"/>
                <w:b/>
                <w:bCs/>
                <w:color w:val="auto"/>
                <w:sz w:val="24"/>
                <w:highlight w:val="none"/>
                <w:lang w:eastAsia="zh-CN"/>
              </w:rPr>
            </w:pPr>
            <w:r>
              <w:rPr>
                <w:rFonts w:ascii="Times New Roman" w:hAnsi="Times New Roman" w:eastAsia="宋体" w:cs="Times New Roman"/>
                <w:color w:val="auto"/>
                <w:sz w:val="24"/>
                <w:highlight w:val="none"/>
                <w:lang w:eastAsia="zh-CN"/>
              </w:rPr>
              <w:t>一、</w:t>
            </w:r>
            <w:r>
              <w:rPr>
                <w:rFonts w:ascii="Times New Roman" w:hAnsi="Times New Roman" w:eastAsia="宋体" w:cs="Times New Roman"/>
                <w:b/>
                <w:bCs/>
                <w:color w:val="auto"/>
                <w:sz w:val="24"/>
                <w:highlight w:val="none"/>
                <w:lang w:eastAsia="zh-CN"/>
              </w:rPr>
              <w:t>大气污染</w:t>
            </w:r>
          </w:p>
          <w:p w14:paraId="35047969">
            <w:pPr>
              <w:keepNext w:val="0"/>
              <w:keepLines w:val="0"/>
              <w:pageBreakBefore w:val="0"/>
              <w:kinsoku/>
              <w:wordWrap/>
              <w:overflowPunct/>
              <w:topLinePunct w:val="0"/>
              <w:bidi w:val="0"/>
              <w:adjustRightInd/>
              <w:snapToGrid/>
              <w:spacing w:line="360" w:lineRule="auto"/>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highlight w:val="none"/>
                <w:lang w:eastAsia="zh-CN"/>
              </w:rPr>
              <w:t>1、污染源强核算</w:t>
            </w:r>
          </w:p>
          <w:p w14:paraId="4D0A6DD2">
            <w:pPr>
              <w:pStyle w:val="16"/>
              <w:keepNext w:val="0"/>
              <w:keepLines w:val="0"/>
              <w:pageBreakBefore w:val="0"/>
              <w:numPr>
                <w:ilvl w:val="0"/>
                <w:numId w:val="0"/>
              </w:numPr>
              <w:kinsoku/>
              <w:wordWrap/>
              <w:overflowPunct/>
              <w:topLinePunct w:val="0"/>
              <w:bidi w:val="0"/>
              <w:adjustRightInd/>
              <w:snapToGrid/>
              <w:spacing w:line="360" w:lineRule="auto"/>
              <w:ind w:firstLine="480" w:firstLineChars="200"/>
              <w:rPr>
                <w:rFonts w:hint="eastAsia" w:ascii="Times New Roman" w:hAnsi="Times New Roman" w:eastAsia="宋体" w:cs="Times New Roman"/>
                <w:color w:val="auto"/>
                <w:highlight w:val="none"/>
                <w:lang w:val="en-US" w:eastAsia="zh-CN"/>
              </w:rPr>
            </w:pPr>
            <w:r>
              <w:rPr>
                <w:rFonts w:ascii="Times New Roman" w:hAnsi="Times New Roman" w:eastAsia="宋体" w:cs="Times New Roman"/>
                <w:color w:val="auto"/>
                <w:sz w:val="24"/>
                <w:highlight w:val="none"/>
                <w:lang w:eastAsia="zh-CN"/>
              </w:rPr>
              <w:t>项目生产过程废气主要为</w:t>
            </w:r>
            <w:r>
              <w:rPr>
                <w:rFonts w:hint="eastAsia" w:ascii="Times New Roman" w:hAnsi="Times New Roman" w:eastAsia="宋体" w:cs="Times New Roman"/>
                <w:color w:val="auto"/>
                <w:sz w:val="24"/>
                <w:highlight w:val="none"/>
                <w:lang w:val="en-US" w:eastAsia="zh-CN"/>
              </w:rPr>
              <w:t>切割下料粉尘、</w:t>
            </w:r>
            <w:r>
              <w:rPr>
                <w:rFonts w:ascii="Times New Roman" w:hAnsi="Times New Roman" w:eastAsia="宋体" w:cs="Times New Roman"/>
                <w:color w:val="auto"/>
                <w:sz w:val="24"/>
                <w:highlight w:val="none"/>
                <w:lang w:eastAsia="zh-CN"/>
              </w:rPr>
              <w:t>焊接烟尘</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打磨</w:t>
            </w:r>
            <w:r>
              <w:rPr>
                <w:rFonts w:hint="eastAsia" w:cs="Times New Roman"/>
                <w:color w:val="auto"/>
                <w:sz w:val="24"/>
                <w:highlight w:val="none"/>
                <w:lang w:val="en-US" w:eastAsia="zh-CN"/>
              </w:rPr>
              <w:t>、抛光</w:t>
            </w:r>
            <w:r>
              <w:rPr>
                <w:rFonts w:hint="eastAsia" w:ascii="Times New Roman" w:hAnsi="Times New Roman" w:eastAsia="宋体" w:cs="Times New Roman"/>
                <w:color w:val="auto"/>
                <w:sz w:val="24"/>
                <w:highlight w:val="none"/>
                <w:lang w:val="en-US" w:eastAsia="zh-CN"/>
              </w:rPr>
              <w:t>粉尘</w:t>
            </w:r>
            <w:r>
              <w:rPr>
                <w:rFonts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抛丸粉尘，</w:t>
            </w:r>
            <w:r>
              <w:rPr>
                <w:rFonts w:hint="eastAsia" w:ascii="Times New Roman" w:hAnsi="Times New Roman" w:eastAsia="宋体" w:cs="Times New Roman"/>
                <w:color w:val="auto"/>
                <w:sz w:val="24"/>
                <w:highlight w:val="none"/>
                <w:lang w:val="en-US" w:eastAsia="zh-CN"/>
              </w:rPr>
              <w:t>喷塑/固化和喷漆/烘干工段产生的废气，下料、焊接工段产生的污染因子主要为颗粒物；喷塑/固化</w:t>
            </w:r>
            <w:r>
              <w:rPr>
                <w:rFonts w:ascii="Times New Roman" w:hAnsi="Times New Roman" w:eastAsia="宋体" w:cs="Times New Roman"/>
                <w:color w:val="auto"/>
                <w:sz w:val="24"/>
                <w:highlight w:val="none"/>
                <w:lang w:eastAsia="zh-CN"/>
              </w:rPr>
              <w:t>工段污染因子主要为颗粒物</w:t>
            </w:r>
            <w:r>
              <w:rPr>
                <w:rFonts w:hint="eastAsia" w:ascii="Times New Roman" w:hAnsi="Times New Roman" w:eastAsia="宋体" w:cs="Times New Roman"/>
                <w:color w:val="auto"/>
                <w:sz w:val="24"/>
                <w:highlight w:val="none"/>
                <w:lang w:val="en-US" w:eastAsia="zh-CN"/>
              </w:rPr>
              <w:t>和非甲烷总烃；</w:t>
            </w:r>
            <w:r>
              <w:rPr>
                <w:rFonts w:hint="eastAsia" w:ascii="Times New Roman" w:hAnsi="Times New Roman" w:eastAsia="宋体" w:cs="Times New Roman"/>
                <w:color w:val="auto"/>
                <w:sz w:val="24"/>
                <w:highlight w:val="none"/>
                <w:lang w:eastAsia="zh-CN"/>
              </w:rPr>
              <w:t>喷漆</w:t>
            </w:r>
            <w:r>
              <w:rPr>
                <w:rFonts w:hint="eastAsia" w:ascii="Times New Roman" w:hAnsi="Times New Roman" w:eastAsia="宋体" w:cs="Times New Roman"/>
                <w:color w:val="auto"/>
                <w:sz w:val="24"/>
                <w:highlight w:val="none"/>
                <w:lang w:val="en-US" w:eastAsia="zh-CN"/>
              </w:rPr>
              <w:t>和烘干</w:t>
            </w:r>
            <w:r>
              <w:rPr>
                <w:rFonts w:ascii="Times New Roman" w:hAnsi="Times New Roman" w:eastAsia="宋体" w:cs="Times New Roman"/>
                <w:color w:val="auto"/>
                <w:sz w:val="24"/>
                <w:highlight w:val="none"/>
                <w:lang w:eastAsia="zh-CN"/>
              </w:rPr>
              <w:t>工段污染因子主要为</w:t>
            </w:r>
            <w:r>
              <w:rPr>
                <w:rFonts w:hint="eastAsia" w:ascii="Times New Roman" w:hAnsi="Times New Roman" w:eastAsia="宋体" w:cs="Times New Roman"/>
                <w:color w:val="auto"/>
                <w:sz w:val="24"/>
                <w:highlight w:val="none"/>
                <w:lang w:val="en-US" w:eastAsia="zh-CN"/>
              </w:rPr>
              <w:t>颗粒物和</w:t>
            </w:r>
            <w:r>
              <w:rPr>
                <w:rFonts w:hint="eastAsia" w:ascii="Times New Roman" w:hAnsi="Times New Roman" w:eastAsia="宋体" w:cs="Times New Roman"/>
                <w:color w:val="auto"/>
                <w:sz w:val="24"/>
                <w:highlight w:val="none"/>
                <w:lang w:eastAsia="zh-CN"/>
              </w:rPr>
              <w:t>非甲烷总烃</w:t>
            </w:r>
            <w:r>
              <w:rPr>
                <w:rFonts w:ascii="Times New Roman" w:hAnsi="Times New Roman" w:eastAsia="宋体" w:cs="Times New Roman"/>
                <w:color w:val="auto"/>
                <w:sz w:val="24"/>
                <w:highlight w:val="none"/>
                <w:lang w:eastAsia="zh-CN"/>
              </w:rPr>
              <w:t>。</w:t>
            </w:r>
          </w:p>
          <w:p w14:paraId="376EDCF4">
            <w:pPr>
              <w:pStyle w:val="4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（1）下料废气（颗粒物）</w:t>
            </w:r>
          </w:p>
          <w:p w14:paraId="317FBC89">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根据《排放源统计调查产排污核算方法和系数手册》中</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33-37、43机械行业系数手册</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中</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04下料核算环节</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钢板、铝板、铝合金板、</w:t>
            </w:r>
            <w:r>
              <w:rPr>
                <w:rFonts w:hint="eastAsia" w:cs="Times New Roman"/>
                <w:color w:val="auto"/>
                <w:sz w:val="24"/>
                <w:highlight w:val="none"/>
                <w:lang w:eastAsia="zh-CN"/>
              </w:rPr>
              <w:t>其他</w:t>
            </w:r>
            <w:r>
              <w:rPr>
                <w:rFonts w:hint="default" w:ascii="Times New Roman" w:hAnsi="Times New Roman" w:eastAsia="宋体" w:cs="Times New Roman"/>
                <w:color w:val="auto"/>
                <w:sz w:val="24"/>
                <w:highlight w:val="none"/>
                <w:lang w:eastAsia="zh-CN"/>
              </w:rPr>
              <w:t>金属材料-等离子切割</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工艺产污系数为1.10kg/t-原料。项目</w:t>
            </w:r>
            <w:r>
              <w:rPr>
                <w:rFonts w:hint="eastAsia" w:cs="Times New Roman"/>
                <w:color w:val="auto"/>
                <w:sz w:val="24"/>
                <w:highlight w:val="none"/>
                <w:lang w:val="en-US" w:eastAsia="zh-CN"/>
              </w:rPr>
              <w:t>采用激光下料机，参照</w:t>
            </w:r>
            <w:r>
              <w:rPr>
                <w:rFonts w:hint="default" w:ascii="Times New Roman" w:hAnsi="Times New Roman" w:cs="Times New Roman"/>
                <w:color w:val="auto"/>
                <w:sz w:val="24"/>
                <w:highlight w:val="none"/>
                <w:lang w:val="en-US" w:eastAsia="zh-CN"/>
              </w:rPr>
              <w:t>等离子切割工艺产污系数，</w:t>
            </w:r>
            <w:r>
              <w:rPr>
                <w:rFonts w:hint="eastAsia" w:cs="Times New Roman"/>
                <w:color w:val="auto"/>
                <w:sz w:val="24"/>
                <w:highlight w:val="none"/>
                <w:lang w:val="en-US" w:eastAsia="zh-CN"/>
              </w:rPr>
              <w:t>项目</w:t>
            </w:r>
            <w:r>
              <w:rPr>
                <w:rFonts w:hint="default" w:ascii="Times New Roman" w:hAnsi="Times New Roman" w:eastAsia="宋体" w:cs="Times New Roman"/>
                <w:color w:val="auto"/>
                <w:sz w:val="24"/>
                <w:highlight w:val="none"/>
                <w:lang w:eastAsia="zh-CN"/>
              </w:rPr>
              <w:t>年使用工件量为</w:t>
            </w:r>
            <w:r>
              <w:rPr>
                <w:rFonts w:hint="eastAsia" w:cs="Times New Roman"/>
                <w:color w:val="auto"/>
                <w:sz w:val="24"/>
                <w:highlight w:val="none"/>
                <w:lang w:val="en-US" w:eastAsia="zh-CN"/>
              </w:rPr>
              <w:t>5170</w:t>
            </w:r>
            <w:r>
              <w:rPr>
                <w:rFonts w:hint="default" w:ascii="Times New Roman" w:hAnsi="Times New Roman" w:eastAsia="宋体" w:cs="Times New Roman"/>
                <w:color w:val="auto"/>
                <w:sz w:val="24"/>
                <w:highlight w:val="none"/>
                <w:lang w:eastAsia="zh-CN"/>
              </w:rPr>
              <w:t>t/a。</w:t>
            </w:r>
          </w:p>
          <w:p w14:paraId="56101281">
            <w:pPr>
              <w:pStyle w:val="47"/>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由此计算项目下料颗粒物</w:t>
            </w:r>
            <w:r>
              <w:rPr>
                <w:rFonts w:hint="default" w:ascii="Times New Roman" w:hAnsi="Times New Roman" w:eastAsia="宋体" w:cs="Times New Roman"/>
                <w:color w:val="auto"/>
                <w:sz w:val="24"/>
                <w:highlight w:val="none"/>
                <w:lang w:eastAsia="zh-CN"/>
              </w:rPr>
              <w:t>产生总量为</w:t>
            </w:r>
            <w:r>
              <w:rPr>
                <w:rFonts w:hint="eastAsia" w:eastAsia="宋体" w:cs="Times New Roman"/>
                <w:color w:val="auto"/>
                <w:sz w:val="24"/>
                <w:highlight w:val="none"/>
                <w:lang w:val="en-US" w:eastAsia="zh-CN"/>
              </w:rPr>
              <w:t>5.687</w:t>
            </w:r>
            <w:r>
              <w:rPr>
                <w:rFonts w:hint="eastAsia"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lang w:eastAsia="zh-CN"/>
              </w:rPr>
              <w:t>/a。</w:t>
            </w:r>
            <w:r>
              <w:rPr>
                <w:rFonts w:hint="eastAsia" w:ascii="Times New Roman" w:hAnsi="Times New Roman" w:eastAsia="宋体" w:cs="Times New Roman"/>
                <w:color w:val="auto"/>
                <w:sz w:val="24"/>
                <w:highlight w:val="none"/>
                <w:lang w:val="en-US" w:eastAsia="zh-CN"/>
              </w:rPr>
              <w:t>项目采用先进激光切割设备，废气通过设备自带</w:t>
            </w:r>
            <w:r>
              <w:rPr>
                <w:rFonts w:hint="eastAsia" w:eastAsia="宋体" w:cs="Times New Roman"/>
                <w:color w:val="auto"/>
                <w:sz w:val="24"/>
                <w:highlight w:val="none"/>
                <w:lang w:val="en-US" w:eastAsia="zh-CN"/>
              </w:rPr>
              <w:t>下吸式</w:t>
            </w:r>
            <w:r>
              <w:rPr>
                <w:rFonts w:hint="eastAsia" w:ascii="Times New Roman" w:hAnsi="Times New Roman" w:eastAsia="宋体" w:cs="Times New Roman"/>
                <w:color w:val="auto"/>
                <w:sz w:val="24"/>
                <w:highlight w:val="none"/>
                <w:lang w:val="en-US" w:eastAsia="zh-CN"/>
              </w:rPr>
              <w:t>集气罩收集后经管道进入</w:t>
            </w:r>
            <w:r>
              <w:rPr>
                <w:rFonts w:hint="eastAsia" w:eastAsia="宋体" w:cs="Times New Roman"/>
                <w:color w:val="auto"/>
                <w:sz w:val="24"/>
                <w:highlight w:val="none"/>
                <w:lang w:val="en-US" w:eastAsia="zh-CN"/>
              </w:rPr>
              <w:t>布袋除尘（TA001）处理后通过15m高排气筒排放（DA001），收集效率为95%，处理效率为99%，则有组织颗粒物排放量为0.054t/a，无组织排放量为0.284t/a。</w:t>
            </w:r>
          </w:p>
          <w:p w14:paraId="1B998D9A">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风量计算：</w:t>
            </w:r>
          </w:p>
          <w:p w14:paraId="2C69F8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根据《环境工程设计手册》（修订版），单个集气罩集气风量计算公式：</w:t>
            </w:r>
          </w:p>
          <w:p w14:paraId="5E85DB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L=kPHVx</w:t>
            </w:r>
          </w:p>
          <w:p w14:paraId="13326F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式中：L——为集气罩集气风量，单位为m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p>
          <w:p w14:paraId="0F972D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K——为安全系数1.4；</w:t>
            </w:r>
          </w:p>
          <w:p w14:paraId="14D6708A">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P——排风罩口敞开面的周长，单位为</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m；</w:t>
            </w:r>
          </w:p>
          <w:p w14:paraId="569240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H——为罩口至污染源的距离，单位为m，本次取0.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m；</w:t>
            </w:r>
          </w:p>
          <w:p w14:paraId="7DA339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Vx：污染源气体流速，一般在0.5m/s~1.5m/s，</w:t>
            </w:r>
            <w:r>
              <w:rPr>
                <w:rFonts w:hint="eastAsia" w:eastAsia="宋体" w:cs="Times New Roman"/>
                <w:color w:val="auto"/>
                <w:sz w:val="24"/>
                <w:szCs w:val="24"/>
                <w:highlight w:val="none"/>
                <w:lang w:val="en-US" w:eastAsia="zh-CN"/>
              </w:rPr>
              <w:t>按照《环境工程设计手册》中的有关公式，烟尘废气收集系统或设备的控制风速要在0.6m/s以上</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本次评价取均值</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m/s</w:t>
            </w:r>
            <w:r>
              <w:rPr>
                <w:rFonts w:hint="eastAsia" w:ascii="Times New Roman" w:hAnsi="Times New Roman" w:eastAsia="宋体" w:cs="Times New Roman"/>
                <w:color w:val="auto"/>
                <w:sz w:val="24"/>
                <w:szCs w:val="24"/>
                <w:highlight w:val="none"/>
                <w:lang w:val="en-US" w:eastAsia="zh-CN"/>
              </w:rPr>
              <w:t>。</w:t>
            </w:r>
          </w:p>
          <w:p w14:paraId="150F53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根据建设单位提供资料</w:t>
            </w:r>
            <w:r>
              <w:rPr>
                <w:rFonts w:hint="default" w:ascii="Times New Roman" w:hAnsi="Times New Roman" w:cs="Times New Roman"/>
                <w:color w:val="auto"/>
                <w:sz w:val="24"/>
                <w:szCs w:val="24"/>
                <w:highlight w:val="none"/>
                <w:lang w:val="en-US" w:eastAsia="zh-CN"/>
              </w:rPr>
              <w:t>：</w:t>
            </w:r>
          </w:p>
          <w:p w14:paraId="1A8300D1">
            <w:pPr>
              <w:pStyle w:val="4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highlight w:val="none"/>
                <w:lang w:val="en-US" w:eastAsia="zh-CN"/>
              </w:rPr>
            </w:pPr>
            <w:r>
              <w:rPr>
                <w:rFonts w:hint="eastAsia" w:eastAsia="宋体" w:cs="Times New Roman"/>
                <w:color w:val="auto"/>
                <w:highlight w:val="none"/>
                <w:lang w:val="en-US" w:eastAsia="zh-CN"/>
              </w:rPr>
              <w:t>项目共设置3台激光下料机及3个集气罩</w:t>
            </w:r>
            <w:r>
              <w:rPr>
                <w:rFonts w:hint="eastAsia" w:ascii="Times New Roman" w:hAnsi="Times New Roman" w:eastAsia="宋体" w:cs="Times New Roman"/>
                <w:color w:val="auto"/>
                <w:highlight w:val="none"/>
                <w:lang w:val="en-US" w:eastAsia="zh-CN"/>
              </w:rPr>
              <w:t>，根据建设单位提供的资料，</w:t>
            </w:r>
            <w:r>
              <w:rPr>
                <w:rFonts w:hint="default" w:ascii="Times New Roman" w:hAnsi="Times New Roman" w:eastAsia="宋体" w:cs="Times New Roman"/>
                <w:color w:val="auto"/>
                <w:sz w:val="24"/>
                <w:szCs w:val="24"/>
                <w:highlight w:val="none"/>
                <w:lang w:val="en-US" w:eastAsia="zh-CN"/>
              </w:rPr>
              <w:t>排风罩口敞开面</w:t>
            </w:r>
            <w:r>
              <w:rPr>
                <w:rFonts w:hint="eastAsia" w:eastAsia="宋体" w:cs="Times New Roman"/>
                <w:color w:val="auto"/>
                <w:sz w:val="24"/>
                <w:szCs w:val="24"/>
                <w:highlight w:val="none"/>
                <w:lang w:val="en-US" w:eastAsia="zh-CN"/>
              </w:rPr>
              <w:t>尺寸为</w:t>
            </w:r>
            <w:r>
              <w:rPr>
                <w:rFonts w:hint="default" w:ascii="Times New Roman" w:hAnsi="Times New Roman" w:eastAsia="宋体" w:cs="Times New Roman"/>
                <w:color w:val="auto"/>
                <w:sz w:val="24"/>
                <w:szCs w:val="24"/>
                <w:highlight w:val="none"/>
                <w:lang w:val="en-US" w:eastAsia="zh-CN"/>
              </w:rPr>
              <w:t>2m×1.5m</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则单个风机风量为3528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eastAsia="宋体" w:cs="Times New Roman"/>
                <w:color w:val="auto"/>
                <w:sz w:val="24"/>
                <w:szCs w:val="24"/>
                <w:highlight w:val="none"/>
                <w:lang w:val="en-US" w:eastAsia="zh-CN"/>
              </w:rPr>
              <w:t>，则</w:t>
            </w:r>
            <w:r>
              <w:rPr>
                <w:rFonts w:hint="eastAsia" w:ascii="Times New Roman" w:hAnsi="Times New Roman" w:eastAsia="宋体" w:cs="Times New Roman"/>
                <w:color w:val="auto"/>
                <w:sz w:val="24"/>
                <w:szCs w:val="24"/>
                <w:highlight w:val="none"/>
                <w:lang w:val="en-US" w:eastAsia="zh-CN"/>
              </w:rPr>
              <w:t>风机风量不低于</w:t>
            </w:r>
            <w:r>
              <w:rPr>
                <w:rFonts w:hint="eastAsia" w:eastAsia="宋体" w:cs="Times New Roman"/>
                <w:color w:val="auto"/>
                <w:sz w:val="24"/>
                <w:szCs w:val="24"/>
                <w:highlight w:val="none"/>
                <w:lang w:val="en-US" w:eastAsia="zh-CN"/>
              </w:rPr>
              <w:t>10584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eastAsia="宋体" w:cs="Times New Roman"/>
                <w:color w:val="auto"/>
                <w:sz w:val="24"/>
                <w:szCs w:val="24"/>
                <w:highlight w:val="none"/>
                <w:lang w:val="en-US" w:eastAsia="zh-CN"/>
              </w:rPr>
              <w:t>。</w:t>
            </w:r>
          </w:p>
          <w:p w14:paraId="7330A028">
            <w:pPr>
              <w:pStyle w:val="4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w:t>
            </w:r>
            <w:r>
              <w:rPr>
                <w:rFonts w:ascii="Times New Roman" w:hAnsi="Times New Roman" w:eastAsia="宋体" w:cs="Times New Roman"/>
                <w:color w:val="auto"/>
                <w:highlight w:val="none"/>
                <w:lang w:eastAsia="zh-CN"/>
              </w:rPr>
              <w:t>）焊接废气</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颗粒物）</w:t>
            </w:r>
          </w:p>
          <w:p w14:paraId="4C14EE25">
            <w:pPr>
              <w:pStyle w:val="47"/>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该项目在焊接过程中会产生焊接烟气，主要成分为焊接烟尘。该项目焊接方式分为氩弧焊、二氧化碳保护焊、埋弧焊等，年使用实芯焊丝</w:t>
            </w:r>
            <w:r>
              <w:rPr>
                <w:rFonts w:hint="eastAsia" w:ascii="Times New Roman" w:hAnsi="Times New Roman" w:eastAsia="宋体" w:cs="Times New Roman"/>
                <w:color w:val="auto"/>
                <w:highlight w:val="none"/>
                <w:lang w:val="en-US" w:eastAsia="zh-CN"/>
              </w:rPr>
              <w:t>1</w:t>
            </w:r>
            <w:r>
              <w:rPr>
                <w:rFonts w:hint="eastAsia" w:eastAsia="宋体" w:cs="Times New Roman"/>
                <w:color w:val="auto"/>
                <w:highlight w:val="none"/>
                <w:lang w:val="en-US" w:eastAsia="zh-CN"/>
              </w:rPr>
              <w:t>4</w:t>
            </w:r>
            <w:r>
              <w:rPr>
                <w:rFonts w:ascii="Times New Roman" w:hAnsi="Times New Roman" w:eastAsia="宋体" w:cs="Times New Roman"/>
                <w:color w:val="auto"/>
                <w:highlight w:val="none"/>
                <w:lang w:eastAsia="zh-CN"/>
              </w:rPr>
              <w:t>t/a。根据《排放源统计调查产排污核算方法和系数手册》中</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lang w:eastAsia="zh-CN"/>
              </w:rPr>
              <w:t>09焊接-焊接件-实心焊丝-二氧化碳保护焊/埋弧焊/氩弧焊-中颗粒物产生系数为9.19kg/t原料</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lang w:eastAsia="zh-CN"/>
              </w:rPr>
              <w:t>。</w:t>
            </w:r>
          </w:p>
          <w:p w14:paraId="4F3B8DA3">
            <w:pPr>
              <w:pStyle w:val="4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由此计算项目颗粒物产生量为</w:t>
            </w:r>
            <w:r>
              <w:rPr>
                <w:rFonts w:hint="eastAsia" w:ascii="Times New Roman" w:hAnsi="Times New Roman" w:eastAsia="宋体" w:cs="Times New Roman"/>
                <w:color w:val="auto"/>
                <w:highlight w:val="none"/>
                <w:lang w:val="en-US" w:eastAsia="zh-CN"/>
              </w:rPr>
              <w:t>0.</w:t>
            </w:r>
            <w:r>
              <w:rPr>
                <w:rFonts w:hint="eastAsia" w:eastAsia="宋体" w:cs="Times New Roman"/>
                <w:color w:val="auto"/>
                <w:highlight w:val="none"/>
                <w:lang w:val="en-US" w:eastAsia="zh-CN"/>
              </w:rPr>
              <w:t>13</w:t>
            </w:r>
            <w:r>
              <w:rPr>
                <w:rFonts w:hint="eastAsia" w:ascii="Times New Roman" w:hAnsi="Times New Roman" w:eastAsia="宋体" w:cs="Times New Roman"/>
                <w:color w:val="auto"/>
                <w:highlight w:val="none"/>
                <w:lang w:val="en-US" w:eastAsia="zh-CN"/>
              </w:rPr>
              <w:t>t/a，项目</w:t>
            </w:r>
            <w:r>
              <w:rPr>
                <w:rFonts w:hint="eastAsia" w:ascii="Times New Roman" w:hAnsi="Times New Roman" w:eastAsia="宋体" w:cs="Times New Roman"/>
                <w:color w:val="auto"/>
                <w:highlight w:val="none"/>
                <w:lang w:eastAsia="zh-CN"/>
              </w:rPr>
              <w:t>焊接烟尘通过集气罩</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eastAsia="zh-CN"/>
              </w:rPr>
              <w:t>布袋除尘器</w:t>
            </w:r>
            <w:r>
              <w:rPr>
                <w:rFonts w:hint="eastAsia" w:eastAsia="宋体" w:cs="Times New Roman"/>
                <w:color w:val="auto"/>
                <w:sz w:val="24"/>
                <w:highlight w:val="none"/>
                <w:lang w:val="en-US" w:eastAsia="zh-CN"/>
              </w:rPr>
              <w:t>（TA001）</w:t>
            </w:r>
            <w:r>
              <w:rPr>
                <w:rFonts w:hint="eastAsia" w:ascii="Times New Roman" w:hAnsi="Times New Roman" w:eastAsia="宋体" w:cs="Times New Roman"/>
                <w:color w:val="auto"/>
                <w:highlight w:val="none"/>
                <w:lang w:eastAsia="zh-CN"/>
              </w:rPr>
              <w:t>收集处理后通过</w:t>
            </w:r>
            <w:r>
              <w:rPr>
                <w:rFonts w:hint="eastAsia" w:eastAsia="宋体" w:cs="Times New Roman"/>
                <w:color w:val="auto"/>
                <w:highlight w:val="none"/>
                <w:lang w:val="en-US" w:eastAsia="zh-CN"/>
              </w:rPr>
              <w:t>15</w:t>
            </w:r>
            <w:r>
              <w:rPr>
                <w:rFonts w:hint="eastAsia" w:ascii="Times New Roman" w:hAnsi="Times New Roman" w:eastAsia="宋体" w:cs="Times New Roman"/>
                <w:color w:val="auto"/>
                <w:highlight w:val="none"/>
                <w:lang w:val="en-US" w:eastAsia="zh-CN"/>
              </w:rPr>
              <w:t>m排气筒排放</w:t>
            </w:r>
            <w:r>
              <w:rPr>
                <w:rFonts w:hint="eastAsia" w:eastAsia="宋体" w:cs="Times New Roman"/>
                <w:color w:val="auto"/>
                <w:highlight w:val="none"/>
                <w:lang w:val="en-US" w:eastAsia="zh-CN"/>
              </w:rPr>
              <w:t>（DA001）</w:t>
            </w:r>
            <w:r>
              <w:rPr>
                <w:rFonts w:hint="eastAsia" w:ascii="Times New Roman" w:hAnsi="Times New Roman" w:eastAsia="宋体" w:cs="Times New Roman"/>
                <w:color w:val="auto"/>
                <w:highlight w:val="none"/>
                <w:lang w:eastAsia="zh-CN"/>
              </w:rPr>
              <w:t>，收集效率为</w:t>
            </w:r>
            <w:r>
              <w:rPr>
                <w:rFonts w:hint="eastAsia" w:ascii="Times New Roman" w:hAnsi="Times New Roman" w:eastAsia="宋体" w:cs="Times New Roman"/>
                <w:color w:val="auto"/>
                <w:highlight w:val="none"/>
                <w:lang w:val="en-US" w:eastAsia="zh-CN"/>
              </w:rPr>
              <w:t>90%，处理效率为9</w:t>
            </w:r>
            <w:r>
              <w:rPr>
                <w:rFonts w:hint="eastAsia" w:eastAsia="宋体" w:cs="Times New Roman"/>
                <w:color w:val="auto"/>
                <w:highlight w:val="none"/>
                <w:lang w:val="en-US" w:eastAsia="zh-CN"/>
              </w:rPr>
              <w:t>9</w:t>
            </w:r>
            <w:r>
              <w:rPr>
                <w:rFonts w:hint="eastAsia" w:ascii="Times New Roman" w:hAnsi="Times New Roman" w:eastAsia="宋体" w:cs="Times New Roman"/>
                <w:color w:val="auto"/>
                <w:highlight w:val="none"/>
                <w:lang w:val="en-US" w:eastAsia="zh-CN"/>
              </w:rPr>
              <w:t>%，则焊接烟尘有组织排放量为0.0</w:t>
            </w:r>
            <w:r>
              <w:rPr>
                <w:rFonts w:hint="eastAsia" w:eastAsia="宋体" w:cs="Times New Roman"/>
                <w:color w:val="auto"/>
                <w:highlight w:val="none"/>
                <w:lang w:val="en-US" w:eastAsia="zh-CN"/>
              </w:rPr>
              <w:t>01</w:t>
            </w:r>
            <w:r>
              <w:rPr>
                <w:rFonts w:hint="eastAsia" w:ascii="Times New Roman" w:hAnsi="Times New Roman" w:eastAsia="宋体" w:cs="Times New Roman"/>
                <w:color w:val="auto"/>
                <w:highlight w:val="none"/>
                <w:lang w:val="en-US" w:eastAsia="zh-CN"/>
              </w:rPr>
              <w:t>t/a，无组织排放量为0.0</w:t>
            </w:r>
            <w:r>
              <w:rPr>
                <w:rFonts w:hint="eastAsia" w:eastAsia="宋体" w:cs="Times New Roman"/>
                <w:color w:val="auto"/>
                <w:highlight w:val="none"/>
                <w:lang w:val="en-US" w:eastAsia="zh-CN"/>
              </w:rPr>
              <w:t>13</w:t>
            </w:r>
            <w:r>
              <w:rPr>
                <w:rFonts w:hint="eastAsia" w:ascii="Times New Roman" w:hAnsi="Times New Roman" w:eastAsia="宋体" w:cs="Times New Roman"/>
                <w:color w:val="auto"/>
                <w:highlight w:val="none"/>
                <w:lang w:val="en-US" w:eastAsia="zh-CN"/>
              </w:rPr>
              <w:t>t/a。</w:t>
            </w:r>
          </w:p>
          <w:p w14:paraId="1C86A3F2">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风量计算：</w:t>
            </w:r>
          </w:p>
          <w:p w14:paraId="6D3B79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根据《环境工程设计手册》（修订版），单个集气罩集气风量计算公式：</w:t>
            </w:r>
          </w:p>
          <w:p w14:paraId="65E731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L=kPHVx</w:t>
            </w:r>
          </w:p>
          <w:p w14:paraId="745FD2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式中：L——为集气罩集气风量，单位为m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p>
          <w:p w14:paraId="5C96D1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K——为安全系数1.4；</w:t>
            </w:r>
          </w:p>
          <w:p w14:paraId="49189B90">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P——排风罩口敞开面的周长，单位为m；</w:t>
            </w:r>
          </w:p>
          <w:p w14:paraId="3F202A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H——为罩口至污染源的距离，单位为m，本次取0.</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m；</w:t>
            </w:r>
          </w:p>
          <w:p w14:paraId="4AD64A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Vx：污染源气体流速，一般在0.5m/s~1.5m/s，</w:t>
            </w:r>
            <w:r>
              <w:rPr>
                <w:rFonts w:hint="eastAsia" w:ascii="Times New Roman" w:hAnsi="Times New Roman" w:eastAsia="宋体" w:cs="Times New Roman"/>
                <w:color w:val="auto"/>
                <w:sz w:val="24"/>
                <w:szCs w:val="24"/>
                <w:highlight w:val="none"/>
                <w:lang w:val="en-US" w:eastAsia="zh-CN"/>
              </w:rPr>
              <w:t>按照《环境工程设计手册》中的有关公式，烟尘废气收集系统或设备的控制风速要在0.6m/s以上，</w:t>
            </w:r>
            <w:r>
              <w:rPr>
                <w:rFonts w:hint="default" w:ascii="Times New Roman" w:hAnsi="Times New Roman" w:eastAsia="宋体" w:cs="Times New Roman"/>
                <w:color w:val="auto"/>
                <w:sz w:val="24"/>
                <w:szCs w:val="24"/>
                <w:highlight w:val="none"/>
                <w:lang w:val="en-US" w:eastAsia="zh-CN"/>
              </w:rPr>
              <w:t>本次评价取均值</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m/s</w:t>
            </w:r>
            <w:r>
              <w:rPr>
                <w:rFonts w:hint="eastAsia" w:ascii="Times New Roman" w:hAnsi="Times New Roman" w:eastAsia="宋体" w:cs="Times New Roman"/>
                <w:color w:val="auto"/>
                <w:sz w:val="24"/>
                <w:szCs w:val="24"/>
                <w:highlight w:val="none"/>
                <w:lang w:val="en-US" w:eastAsia="zh-CN"/>
              </w:rPr>
              <w:t>。</w:t>
            </w:r>
          </w:p>
          <w:p w14:paraId="7809DF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eastAsia="宋体" w:cs="Times New Roman"/>
                <w:color w:val="auto"/>
                <w:sz w:val="24"/>
                <w:szCs w:val="24"/>
                <w:highlight w:val="none"/>
                <w:lang w:val="en-US" w:eastAsia="zh-CN"/>
              </w:rPr>
              <w:t>根据建设单位提供资料</w:t>
            </w:r>
            <w:r>
              <w:rPr>
                <w:rFonts w:hint="eastAsia" w:ascii="Times New Roman" w:hAnsi="Times New Roman" w:eastAsia="宋体" w:cs="Times New Roman"/>
                <w:color w:val="auto"/>
                <w:sz w:val="24"/>
                <w:szCs w:val="24"/>
                <w:highlight w:val="none"/>
                <w:lang w:val="en-US" w:eastAsia="zh-CN"/>
              </w:rPr>
              <w:t>，焊接固定</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个工位，采用柔性软管集气罩收集经布袋除尘器处理，</w:t>
            </w:r>
            <w:r>
              <w:rPr>
                <w:rFonts w:hint="default" w:ascii="Times New Roman" w:hAnsi="Times New Roman" w:eastAsia="宋体" w:cs="Times New Roman"/>
                <w:color w:val="auto"/>
                <w:sz w:val="24"/>
                <w:szCs w:val="24"/>
                <w:highlight w:val="none"/>
                <w:lang w:val="en-US" w:eastAsia="zh-CN"/>
              </w:rPr>
              <w:t>排风罩口敞开面</w:t>
            </w:r>
            <w:r>
              <w:rPr>
                <w:rFonts w:hint="eastAsia" w:cs="Times New Roman"/>
                <w:color w:val="auto"/>
                <w:sz w:val="24"/>
                <w:szCs w:val="24"/>
                <w:highlight w:val="none"/>
                <w:lang w:val="en-US" w:eastAsia="zh-CN"/>
              </w:rPr>
              <w:t>尺寸为0.05m</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0.05m的圆形，</w:t>
            </w:r>
            <w:r>
              <w:rPr>
                <w:rFonts w:hint="default" w:ascii="Times New Roman" w:hAnsi="Times New Roman" w:eastAsia="宋体" w:cs="Times New Roman"/>
                <w:color w:val="auto"/>
                <w:sz w:val="24"/>
                <w:szCs w:val="24"/>
                <w:highlight w:val="none"/>
                <w:lang w:val="en-US" w:eastAsia="zh-CN"/>
              </w:rPr>
              <w:t>经计算本项目设置的单个集气罩集气风量最低为</w:t>
            </w:r>
            <w:r>
              <w:rPr>
                <w:rFonts w:hint="eastAsia" w:cs="Times New Roman"/>
                <w:color w:val="auto"/>
                <w:sz w:val="24"/>
                <w:szCs w:val="24"/>
                <w:highlight w:val="none"/>
                <w:lang w:val="en-US" w:eastAsia="zh-CN"/>
              </w:rPr>
              <w:t>475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风机</w:t>
            </w:r>
            <w:r>
              <w:rPr>
                <w:rFonts w:hint="eastAsia"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lang w:val="en-US" w:eastAsia="zh-CN"/>
              </w:rPr>
              <w:t>设计风量为</w:t>
            </w:r>
            <w:r>
              <w:rPr>
                <w:rFonts w:hint="eastAsia" w:cs="Times New Roman"/>
                <w:color w:val="auto"/>
                <w:sz w:val="24"/>
                <w:szCs w:val="24"/>
                <w:highlight w:val="none"/>
                <w:lang w:val="en-US" w:eastAsia="zh-CN"/>
              </w:rPr>
              <w:t>2375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p>
          <w:p w14:paraId="4540081A">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snapToGrid w:val="0"/>
                <w:color w:val="auto"/>
                <w:sz w:val="24"/>
                <w:szCs w:val="21"/>
                <w:highlight w:val="none"/>
                <w:lang w:val="en-US" w:eastAsia="zh-CN" w:bidi="ar-SA"/>
              </w:rPr>
              <w:t>（3）</w:t>
            </w:r>
            <w:r>
              <w:rPr>
                <w:rFonts w:hint="eastAsia" w:ascii="Times New Roman" w:hAnsi="Times New Roman" w:eastAsia="宋体" w:cs="Times New Roman"/>
                <w:color w:val="auto"/>
                <w:sz w:val="24"/>
                <w:highlight w:val="none"/>
                <w:lang w:val="en-US" w:eastAsia="zh-CN"/>
              </w:rPr>
              <w:t>打磨</w:t>
            </w:r>
            <w:r>
              <w:rPr>
                <w:rFonts w:hint="eastAsia" w:cs="Times New Roman"/>
                <w:color w:val="auto"/>
                <w:sz w:val="24"/>
                <w:highlight w:val="none"/>
                <w:lang w:val="en-US" w:eastAsia="zh-CN"/>
              </w:rPr>
              <w:t>抛光</w:t>
            </w:r>
            <w:r>
              <w:rPr>
                <w:rFonts w:hint="eastAsia" w:ascii="Times New Roman" w:hAnsi="Times New Roman" w:eastAsia="宋体" w:cs="Times New Roman"/>
                <w:color w:val="auto"/>
                <w:sz w:val="24"/>
                <w:highlight w:val="none"/>
                <w:lang w:val="en-US" w:eastAsia="zh-CN"/>
              </w:rPr>
              <w:t>废气（颗粒物）</w:t>
            </w:r>
          </w:p>
          <w:p w14:paraId="19D3ABF1">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经焊接后的工件在焊接点位会有焊点，采用打磨机对焊点人工打磨，粗打磨之后部分工件需要进行精打磨抛光处理，打磨抛光产生的打磨粉尘粒径、质量较小。根据《</w:t>
            </w:r>
            <w:r>
              <w:rPr>
                <w:rFonts w:hint="default" w:ascii="Times New Roman" w:hAnsi="Times New Roman" w:eastAsia="宋体" w:cs="Times New Roman"/>
                <w:color w:val="auto"/>
                <w:sz w:val="24"/>
                <w:highlight w:val="none"/>
                <w:lang w:eastAsia="zh-CN"/>
              </w:rPr>
              <w:t>排放源统计调查产排污核算方法和系数手册》中</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33-37、43机械行业系数手册</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预处理环节“打磨、抛光”工序中颗粒物产污系数为2.19kg/吨</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原料。根据业主提供的资料，本项目打磨抛光量为总原材料量的40%，即</w:t>
            </w:r>
            <w:r>
              <w:rPr>
                <w:rFonts w:hint="eastAsia" w:cs="Times New Roman"/>
                <w:color w:val="auto"/>
                <w:sz w:val="24"/>
                <w:highlight w:val="none"/>
                <w:lang w:val="en-US" w:eastAsia="zh-CN"/>
              </w:rPr>
              <w:t>2068</w:t>
            </w:r>
            <w:r>
              <w:rPr>
                <w:rFonts w:hint="eastAsia" w:ascii="Times New Roman" w:hAnsi="Times New Roman" w:eastAsia="宋体" w:cs="Times New Roman"/>
                <w:color w:val="auto"/>
                <w:sz w:val="24"/>
                <w:highlight w:val="none"/>
                <w:lang w:val="en-US" w:eastAsia="zh-CN"/>
              </w:rPr>
              <w:t>t/a，则项目粉尘产生量约为</w:t>
            </w:r>
            <w:r>
              <w:rPr>
                <w:rFonts w:hint="eastAsia" w:cs="Times New Roman"/>
                <w:color w:val="auto"/>
                <w:sz w:val="24"/>
                <w:highlight w:val="none"/>
                <w:lang w:val="en-US" w:eastAsia="zh-CN"/>
              </w:rPr>
              <w:t>4.53</w:t>
            </w:r>
            <w:r>
              <w:rPr>
                <w:rFonts w:hint="eastAsia" w:ascii="Times New Roman" w:hAnsi="Times New Roman" w:eastAsia="宋体" w:cs="Times New Roman"/>
                <w:color w:val="auto"/>
                <w:sz w:val="24"/>
                <w:highlight w:val="none"/>
                <w:lang w:val="en-US" w:eastAsia="zh-CN"/>
              </w:rPr>
              <w:t>t/a</w:t>
            </w:r>
            <w:r>
              <w:rPr>
                <w:rFonts w:hint="eastAsia" w:cs="Times New Roman"/>
                <w:color w:val="auto"/>
                <w:sz w:val="24"/>
                <w:highlight w:val="none"/>
                <w:lang w:val="en-US" w:eastAsia="zh-CN"/>
              </w:rPr>
              <w:t>。</w:t>
            </w:r>
          </w:p>
          <w:p w14:paraId="01A38DAC">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因</w:t>
            </w:r>
            <w:r>
              <w:rPr>
                <w:rFonts w:hint="eastAsia" w:ascii="Times New Roman" w:hAnsi="Times New Roman" w:eastAsia="宋体" w:cs="Times New Roman"/>
                <w:color w:val="auto"/>
                <w:sz w:val="24"/>
                <w:highlight w:val="none"/>
                <w:lang w:val="en-US" w:eastAsia="zh-CN"/>
              </w:rPr>
              <w:t>打磨抛光</w:t>
            </w:r>
            <w:r>
              <w:rPr>
                <w:rFonts w:hint="eastAsia" w:cs="Times New Roman"/>
                <w:color w:val="auto"/>
                <w:sz w:val="24"/>
                <w:highlight w:val="none"/>
                <w:lang w:val="en-US" w:eastAsia="zh-CN"/>
              </w:rPr>
              <w:t>均为人工操作，操作台均在焊接工位进行，打磨过程均在焊接工序全部完成后进行统一打磨抛光，打磨抛光单班工作时间约8h，产生的废气由焊接工位设置的集气管道收集</w:t>
            </w:r>
            <w:r>
              <w:rPr>
                <w:rFonts w:hint="eastAsia" w:ascii="Times New Roman" w:hAnsi="Times New Roman" w:eastAsia="宋体" w:cs="Times New Roman"/>
                <w:color w:val="auto"/>
                <w:sz w:val="24"/>
                <w:highlight w:val="none"/>
                <w:lang w:val="en-US" w:eastAsia="zh-CN"/>
              </w:rPr>
              <w:t>，收集后的粉尘通过管道经布袋除尘器</w:t>
            </w:r>
            <w:r>
              <w:rPr>
                <w:rFonts w:hint="eastAsia" w:eastAsia="宋体" w:cs="Times New Roman"/>
                <w:color w:val="auto"/>
                <w:sz w:val="24"/>
                <w:highlight w:val="none"/>
                <w:lang w:val="en-US" w:eastAsia="zh-CN"/>
              </w:rPr>
              <w:t>（TA001）</w:t>
            </w:r>
            <w:r>
              <w:rPr>
                <w:rFonts w:hint="eastAsia" w:ascii="Times New Roman" w:hAnsi="Times New Roman" w:eastAsia="宋体" w:cs="Times New Roman"/>
                <w:color w:val="auto"/>
                <w:sz w:val="24"/>
                <w:highlight w:val="none"/>
                <w:lang w:val="en-US" w:eastAsia="zh-CN"/>
              </w:rPr>
              <w:t>处理后通过15m高排气筒排放（DA00</w:t>
            </w: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），收集效率为90%，处理效率为99%，则打磨/抛光有组织排放量为</w:t>
            </w:r>
            <w:r>
              <w:rPr>
                <w:rFonts w:hint="eastAsia" w:cs="Times New Roman"/>
                <w:color w:val="auto"/>
                <w:sz w:val="24"/>
                <w:highlight w:val="none"/>
                <w:lang w:val="en-US" w:eastAsia="zh-CN"/>
              </w:rPr>
              <w:t>0.04</w:t>
            </w:r>
            <w:r>
              <w:rPr>
                <w:rFonts w:hint="eastAsia" w:ascii="Times New Roman" w:hAnsi="Times New Roman" w:eastAsia="宋体" w:cs="Times New Roman"/>
                <w:color w:val="auto"/>
                <w:sz w:val="24"/>
                <w:highlight w:val="none"/>
                <w:lang w:val="en-US" w:eastAsia="zh-CN"/>
              </w:rPr>
              <w:t>t/a，无组织排放量为</w:t>
            </w:r>
            <w:r>
              <w:rPr>
                <w:rFonts w:hint="eastAsia" w:cs="Times New Roman"/>
                <w:color w:val="auto"/>
                <w:sz w:val="24"/>
                <w:highlight w:val="none"/>
                <w:lang w:val="en-US" w:eastAsia="zh-CN"/>
              </w:rPr>
              <w:t>0.453</w:t>
            </w:r>
            <w:r>
              <w:rPr>
                <w:rFonts w:hint="eastAsia" w:ascii="Times New Roman" w:hAnsi="Times New Roman" w:eastAsia="宋体" w:cs="Times New Roman"/>
                <w:color w:val="auto"/>
                <w:sz w:val="24"/>
                <w:highlight w:val="none"/>
                <w:lang w:val="en-US" w:eastAsia="zh-CN"/>
              </w:rPr>
              <w:t>t/a。</w:t>
            </w:r>
          </w:p>
          <w:p w14:paraId="03D732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综上，项目下料、焊接、打磨抛光均有集气罩收集后通过一套布袋除尘器处理后由一根15m高排气筒排放（DA001），由以上计算所需风机总风量为12959m³/h，考虑到风阻（&gt;1500m³/h），则风机总风量为15000m³/h。</w:t>
            </w:r>
          </w:p>
          <w:p w14:paraId="76F99F37">
            <w:pPr>
              <w:pStyle w:val="4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（4）抛丸粉尘：</w:t>
            </w:r>
            <w:r>
              <w:rPr>
                <w:rFonts w:hint="default" w:ascii="Times New Roman" w:hAnsi="Times New Roman" w:eastAsia="宋体" w:cs="Times New Roman"/>
                <w:color w:val="auto"/>
                <w:kern w:val="2"/>
                <w:sz w:val="24"/>
                <w:szCs w:val="24"/>
                <w:highlight w:val="none"/>
                <w:lang w:val="en-US" w:eastAsia="zh-CN" w:bidi="ar-SA"/>
              </w:rPr>
              <w:t>项目在抛丸工序中会产生抛丸粉尘，根据《排放源统计调查产排污核算方法和系数手册》中“33-37、43机械行业系数手册”中“06预处理环节”中原料为“钢材（含板材、构件等）、铝材（含板材、构件等）、铝合金（含板材、构件等）、铁材、</w:t>
            </w:r>
            <w:r>
              <w:rPr>
                <w:rFonts w:hint="eastAsia" w:eastAsia="宋体" w:cs="Times New Roman"/>
                <w:color w:val="auto"/>
                <w:kern w:val="2"/>
                <w:sz w:val="24"/>
                <w:szCs w:val="24"/>
                <w:highlight w:val="none"/>
                <w:lang w:val="en-US" w:eastAsia="zh-CN" w:bidi="ar-SA"/>
              </w:rPr>
              <w:t>其他</w:t>
            </w:r>
            <w:r>
              <w:rPr>
                <w:rFonts w:hint="default" w:ascii="Times New Roman" w:hAnsi="Times New Roman" w:eastAsia="宋体" w:cs="Times New Roman"/>
                <w:color w:val="auto"/>
                <w:kern w:val="2"/>
                <w:sz w:val="24"/>
                <w:szCs w:val="24"/>
                <w:highlight w:val="none"/>
                <w:lang w:val="en-US" w:eastAsia="zh-CN" w:bidi="ar-SA"/>
              </w:rPr>
              <w:t>金属材料”的“抛丸、喷砂、打磨、滚筒”工艺产污系数为2.19kg/t-原料。</w:t>
            </w:r>
          </w:p>
          <w:p w14:paraId="5C66AC75">
            <w:pPr>
              <w:pStyle w:val="4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根据企业提供资料，项目</w:t>
            </w:r>
            <w:r>
              <w:rPr>
                <w:rFonts w:hint="eastAsia" w:eastAsia="宋体" w:cs="Times New Roman"/>
                <w:color w:val="auto"/>
                <w:kern w:val="2"/>
                <w:sz w:val="24"/>
                <w:szCs w:val="24"/>
                <w:highlight w:val="none"/>
                <w:lang w:val="en-US" w:eastAsia="zh-CN" w:bidi="ar-SA"/>
              </w:rPr>
              <w:t>抛丸工序仅用于桥架生产，桥架钢材</w:t>
            </w:r>
            <w:r>
              <w:rPr>
                <w:rFonts w:hint="default" w:ascii="Times New Roman" w:hAnsi="Times New Roman" w:eastAsia="宋体" w:cs="Times New Roman"/>
                <w:color w:val="auto"/>
                <w:kern w:val="2"/>
                <w:sz w:val="24"/>
                <w:szCs w:val="24"/>
                <w:highlight w:val="none"/>
                <w:lang w:val="en-US" w:eastAsia="zh-CN" w:bidi="ar-SA"/>
              </w:rPr>
              <w:t>使用量为</w:t>
            </w:r>
            <w:r>
              <w:rPr>
                <w:rFonts w:hint="eastAsia" w:eastAsia="宋体" w:cs="Times New Roman"/>
                <w:color w:val="auto"/>
                <w:kern w:val="2"/>
                <w:sz w:val="24"/>
                <w:szCs w:val="24"/>
                <w:highlight w:val="none"/>
                <w:lang w:val="en-US" w:eastAsia="zh-CN" w:bidi="ar-SA"/>
              </w:rPr>
              <w:t>420</w:t>
            </w:r>
            <w:r>
              <w:rPr>
                <w:rFonts w:hint="default" w:ascii="Times New Roman" w:hAnsi="Times New Roman" w:eastAsia="宋体" w:cs="Times New Roman"/>
                <w:color w:val="auto"/>
                <w:kern w:val="2"/>
                <w:sz w:val="24"/>
                <w:szCs w:val="24"/>
                <w:highlight w:val="none"/>
                <w:lang w:val="en-US" w:eastAsia="zh-CN" w:bidi="ar-SA"/>
              </w:rPr>
              <w:t>t/a，则抛丸粉尘的产生量为</w:t>
            </w:r>
            <w:r>
              <w:rPr>
                <w:rFonts w:hint="eastAsia" w:eastAsia="宋体" w:cs="Times New Roman"/>
                <w:color w:val="auto"/>
                <w:kern w:val="2"/>
                <w:sz w:val="24"/>
                <w:szCs w:val="24"/>
                <w:highlight w:val="none"/>
                <w:lang w:val="en-US" w:eastAsia="zh-CN" w:bidi="ar-SA"/>
              </w:rPr>
              <w:t>0.92</w:t>
            </w:r>
            <w:r>
              <w:rPr>
                <w:rFonts w:hint="default" w:ascii="Times New Roman" w:hAnsi="Times New Roman" w:eastAsia="宋体" w:cs="Times New Roman"/>
                <w:color w:val="auto"/>
                <w:kern w:val="2"/>
                <w:sz w:val="24"/>
                <w:szCs w:val="24"/>
                <w:highlight w:val="none"/>
                <w:lang w:val="en-US" w:eastAsia="zh-CN" w:bidi="ar-SA"/>
              </w:rPr>
              <w:t>t/a。通过</w:t>
            </w:r>
            <w:r>
              <w:rPr>
                <w:rFonts w:hint="eastAsia" w:eastAsia="宋体" w:cs="Times New Roman"/>
                <w:color w:val="auto"/>
                <w:kern w:val="2"/>
                <w:sz w:val="24"/>
                <w:szCs w:val="24"/>
                <w:highlight w:val="none"/>
                <w:lang w:val="en-US" w:eastAsia="zh-CN" w:bidi="ar-SA"/>
              </w:rPr>
              <w:t>密闭收集后由设备</w:t>
            </w:r>
            <w:r>
              <w:rPr>
                <w:rFonts w:hint="default" w:ascii="Times New Roman" w:hAnsi="Times New Roman" w:eastAsia="宋体" w:cs="Times New Roman"/>
                <w:color w:val="auto"/>
                <w:kern w:val="2"/>
                <w:sz w:val="24"/>
                <w:szCs w:val="24"/>
                <w:highlight w:val="none"/>
                <w:lang w:val="en-US" w:eastAsia="zh-CN" w:bidi="ar-SA"/>
              </w:rPr>
              <w:t>自带除尘器</w:t>
            </w:r>
            <w:r>
              <w:rPr>
                <w:rFonts w:hint="eastAsia" w:eastAsia="宋体" w:cs="Times New Roman"/>
                <w:color w:val="auto"/>
                <w:sz w:val="24"/>
                <w:highlight w:val="none"/>
                <w:lang w:val="en-US" w:eastAsia="zh-CN"/>
              </w:rPr>
              <w:t>（TA002）</w:t>
            </w:r>
            <w:r>
              <w:rPr>
                <w:rFonts w:hint="default" w:ascii="Times New Roman" w:hAnsi="Times New Roman" w:eastAsia="宋体" w:cs="Times New Roman"/>
                <w:color w:val="auto"/>
                <w:kern w:val="2"/>
                <w:sz w:val="24"/>
                <w:szCs w:val="24"/>
                <w:highlight w:val="none"/>
                <w:lang w:val="en-US" w:eastAsia="zh-CN" w:bidi="ar-SA"/>
              </w:rPr>
              <w:t>处理后通过15m高排气筒</w:t>
            </w:r>
            <w:r>
              <w:rPr>
                <w:rFonts w:hint="eastAsia"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DA00</w:t>
            </w:r>
            <w:r>
              <w:rPr>
                <w:rFonts w:hint="eastAsia"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排放。</w:t>
            </w:r>
            <w:r>
              <w:rPr>
                <w:rFonts w:hint="eastAsia" w:eastAsia="宋体" w:cs="Times New Roman"/>
                <w:color w:val="auto"/>
                <w:kern w:val="2"/>
                <w:sz w:val="24"/>
                <w:szCs w:val="24"/>
                <w:highlight w:val="none"/>
                <w:lang w:val="en-US" w:eastAsia="zh-CN" w:bidi="ar-SA"/>
              </w:rPr>
              <w:t>风机风量为3500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SA"/>
              </w:rPr>
              <w:t>收集效率取95%，除尘效率9</w:t>
            </w:r>
            <w:r>
              <w:rPr>
                <w:rFonts w:hint="eastAsia" w:eastAsia="宋体" w:cs="Times New Roman"/>
                <w:color w:val="auto"/>
                <w:kern w:val="2"/>
                <w:sz w:val="24"/>
                <w:szCs w:val="24"/>
                <w:highlight w:val="none"/>
                <w:lang w:val="en-US" w:eastAsia="zh-CN" w:bidi="ar-SA"/>
              </w:rPr>
              <w:t>9</w:t>
            </w:r>
            <w:r>
              <w:rPr>
                <w:rFonts w:hint="default" w:ascii="Times New Roman" w:hAnsi="Times New Roman" w:eastAsia="宋体" w:cs="Times New Roman"/>
                <w:color w:val="auto"/>
                <w:kern w:val="2"/>
                <w:sz w:val="24"/>
                <w:szCs w:val="24"/>
                <w:highlight w:val="none"/>
                <w:lang w:val="en-US" w:eastAsia="zh-CN" w:bidi="ar-SA"/>
              </w:rPr>
              <w:t>%。则有组织粉尘排放量为</w:t>
            </w:r>
            <w:r>
              <w:rPr>
                <w:rFonts w:hint="eastAsia" w:eastAsia="宋体" w:cs="Times New Roman"/>
                <w:color w:val="auto"/>
                <w:kern w:val="2"/>
                <w:sz w:val="24"/>
                <w:szCs w:val="24"/>
                <w:highlight w:val="none"/>
                <w:lang w:val="en-US" w:eastAsia="zh-CN" w:bidi="ar-SA"/>
              </w:rPr>
              <w:t>0.009</w:t>
            </w:r>
            <w:r>
              <w:rPr>
                <w:rFonts w:hint="default" w:ascii="Times New Roman" w:hAnsi="Times New Roman" w:eastAsia="宋体" w:cs="Times New Roman"/>
                <w:color w:val="auto"/>
                <w:kern w:val="2"/>
                <w:sz w:val="24"/>
                <w:szCs w:val="24"/>
                <w:highlight w:val="none"/>
                <w:lang w:val="en-US" w:eastAsia="zh-CN" w:bidi="ar-SA"/>
              </w:rPr>
              <w:t>t/a。未收集到的粉尘以无组织的形式在车间内排放，则无组织粉尘排放量为</w:t>
            </w:r>
            <w:r>
              <w:rPr>
                <w:rFonts w:hint="eastAsia" w:eastAsia="宋体" w:cs="Times New Roman"/>
                <w:color w:val="auto"/>
                <w:kern w:val="2"/>
                <w:sz w:val="24"/>
                <w:szCs w:val="24"/>
                <w:highlight w:val="none"/>
                <w:lang w:val="en-US" w:eastAsia="zh-CN" w:bidi="ar-SA"/>
              </w:rPr>
              <w:t>0.047</w:t>
            </w:r>
            <w:r>
              <w:rPr>
                <w:rFonts w:hint="default" w:ascii="Times New Roman" w:hAnsi="Times New Roman" w:eastAsia="宋体" w:cs="Times New Roman"/>
                <w:color w:val="auto"/>
                <w:kern w:val="2"/>
                <w:sz w:val="24"/>
                <w:szCs w:val="24"/>
                <w:highlight w:val="none"/>
                <w:lang w:val="en-US" w:eastAsia="zh-CN" w:bidi="ar-SA"/>
              </w:rPr>
              <w:t>t/a。</w:t>
            </w:r>
          </w:p>
          <w:p w14:paraId="7EC74966">
            <w:pPr>
              <w:pStyle w:val="16"/>
              <w:keepNext w:val="0"/>
              <w:keepLines w:val="0"/>
              <w:pageBreakBefore w:val="0"/>
              <w:numPr>
                <w:ilvl w:val="0"/>
                <w:numId w:val="0"/>
              </w:numPr>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4）喷塑废气（颗粒物）</w:t>
            </w:r>
          </w:p>
          <w:p w14:paraId="7AF6963B">
            <w:pPr>
              <w:pStyle w:val="31"/>
              <w:keepNext w:val="0"/>
              <w:keepLines w:val="0"/>
              <w:pageBreakBefore w:val="0"/>
              <w:widowControl/>
              <w:numPr>
                <w:ilvl w:val="1"/>
                <w:numId w:val="0"/>
              </w:numPr>
              <w:kinsoku w:val="0"/>
              <w:wordWrap/>
              <w:overflowPunct/>
              <w:topLinePunct w:val="0"/>
              <w:autoSpaceDE w:val="0"/>
              <w:autoSpaceDN w:val="0"/>
              <w:bidi w:val="0"/>
              <w:adjustRightInd/>
              <w:snapToGrid/>
              <w:spacing w:line="360" w:lineRule="auto"/>
              <w:ind w:firstLine="440" w:firstLineChars="200"/>
              <w:jc w:val="both"/>
              <w:textAlignment w:val="baseline"/>
              <w:rPr>
                <w:rFonts w:hint="eastAsia" w:ascii="Times New Roman" w:hAnsi="Times New Roman" w:eastAsia="宋体" w:cs="Times New Roman"/>
                <w:b w:val="0"/>
                <w:bCs w:val="0"/>
                <w:color w:val="auto"/>
                <w:kern w:val="24"/>
                <w:sz w:val="24"/>
                <w:szCs w:val="20"/>
                <w:highlight w:val="none"/>
                <w:lang w:val="en-US" w:eastAsia="zh-CN" w:bidi="ar-SA"/>
              </w:rPr>
            </w:pPr>
            <w:r>
              <w:rPr>
                <w:rFonts w:hint="eastAsia" w:ascii="Times New Roman" w:hAnsi="Times New Roman" w:eastAsia="宋体" w:cs="Times New Roman"/>
                <w:b w:val="0"/>
                <w:bCs w:val="0"/>
                <w:color w:val="auto"/>
                <w:spacing w:val="-10"/>
                <w:sz w:val="24"/>
                <w:szCs w:val="24"/>
                <w:highlight w:val="none"/>
                <w:lang w:val="en-US" w:eastAsia="zh-CN"/>
              </w:rPr>
              <w:t>根据前文塑粉用量核算和</w:t>
            </w:r>
            <w:r>
              <w:rPr>
                <w:rFonts w:hint="eastAsia" w:ascii="Times New Roman" w:hAnsi="Times New Roman" w:eastAsia="宋体" w:cs="Times New Roman"/>
                <w:b w:val="0"/>
                <w:bCs w:val="0"/>
                <w:color w:val="auto"/>
                <w:kern w:val="24"/>
                <w:sz w:val="24"/>
                <w:szCs w:val="20"/>
                <w:highlight w:val="none"/>
                <w:lang w:val="en-US" w:eastAsia="zh-CN" w:bidi="ar-SA"/>
              </w:rPr>
              <w:t>建设单位提供的资料，项目塑粉使用量为</w:t>
            </w:r>
            <w:r>
              <w:rPr>
                <w:rFonts w:hint="eastAsia" w:ascii="Times New Roman" w:hAnsi="Times New Roman" w:cs="Times New Roman"/>
                <w:b w:val="0"/>
                <w:bCs w:val="0"/>
                <w:color w:val="auto"/>
                <w:kern w:val="24"/>
                <w:sz w:val="24"/>
                <w:szCs w:val="20"/>
                <w:highlight w:val="none"/>
                <w:lang w:val="en-US" w:eastAsia="zh-CN" w:bidi="ar-SA"/>
              </w:rPr>
              <w:t>146.8</w:t>
            </w:r>
            <w:r>
              <w:rPr>
                <w:rFonts w:hint="eastAsia" w:ascii="Times New Roman" w:hAnsi="Times New Roman" w:eastAsia="宋体" w:cs="Times New Roman"/>
                <w:b w:val="0"/>
                <w:bCs w:val="0"/>
                <w:color w:val="auto"/>
                <w:kern w:val="24"/>
                <w:sz w:val="24"/>
                <w:szCs w:val="20"/>
                <w:highlight w:val="none"/>
                <w:lang w:val="en-US" w:eastAsia="zh-CN" w:bidi="ar-SA"/>
              </w:rPr>
              <w:t>t/a。根据《排放源统计调查产排污核算方法和系数手册》（环境部公告2021年24号）33金属制品业行业系数手册中表14涂装系数表相关参数可知，涂装件喷塑工序产污系数为300千克/吨-原料，因此本项目喷塑粉尘产生量为</w:t>
            </w:r>
            <w:r>
              <w:rPr>
                <w:rFonts w:hint="eastAsia" w:ascii="Times New Roman" w:hAnsi="Times New Roman" w:cs="Times New Roman"/>
                <w:b w:val="0"/>
                <w:bCs w:val="0"/>
                <w:color w:val="auto"/>
                <w:kern w:val="24"/>
                <w:sz w:val="24"/>
                <w:szCs w:val="20"/>
                <w:highlight w:val="none"/>
                <w:lang w:val="en-US" w:eastAsia="zh-CN" w:bidi="ar-SA"/>
              </w:rPr>
              <w:t>146.8</w:t>
            </w:r>
            <w:r>
              <w:rPr>
                <w:rFonts w:hint="default" w:ascii="Times New Roman" w:hAnsi="Times New Roman" w:cs="Times New Roman"/>
                <w:b w:val="0"/>
                <w:bCs w:val="0"/>
                <w:color w:val="auto"/>
                <w:kern w:val="24"/>
                <w:sz w:val="24"/>
                <w:szCs w:val="20"/>
                <w:highlight w:val="none"/>
                <w:lang w:val="en-US" w:eastAsia="zh-CN" w:bidi="ar-SA"/>
              </w:rPr>
              <w:t>×30</w:t>
            </w:r>
            <w:r>
              <w:rPr>
                <w:rFonts w:hint="default" w:ascii="Times New Roman" w:hAnsi="Times New Roman" w:eastAsia="宋体" w:cs="Times New Roman"/>
                <w:b w:val="0"/>
                <w:bCs w:val="0"/>
                <w:color w:val="auto"/>
                <w:kern w:val="24"/>
                <w:sz w:val="24"/>
                <w:szCs w:val="20"/>
                <w:highlight w:val="none"/>
                <w:lang w:val="en-US" w:eastAsia="zh-CN" w:bidi="ar-SA"/>
              </w:rPr>
              <w:t>0/10</w:t>
            </w:r>
            <w:r>
              <w:rPr>
                <w:rFonts w:hint="default" w:ascii="Times New Roman" w:hAnsi="Times New Roman" w:eastAsia="宋体" w:cs="Times New Roman"/>
                <w:b w:val="0"/>
                <w:bCs w:val="0"/>
                <w:color w:val="auto"/>
                <w:kern w:val="24"/>
                <w:sz w:val="24"/>
                <w:szCs w:val="20"/>
                <w:highlight w:val="none"/>
                <w:vertAlign w:val="superscript"/>
                <w:lang w:val="en-US" w:eastAsia="zh-CN" w:bidi="ar-SA"/>
              </w:rPr>
              <w:t>-3</w:t>
            </w:r>
            <w:r>
              <w:rPr>
                <w:rFonts w:hint="default" w:ascii="Times New Roman" w:hAnsi="Times New Roman" w:eastAsia="宋体" w:cs="Times New Roman"/>
                <w:b w:val="0"/>
                <w:bCs w:val="0"/>
                <w:color w:val="auto"/>
                <w:kern w:val="24"/>
                <w:sz w:val="24"/>
                <w:szCs w:val="20"/>
                <w:highlight w:val="none"/>
                <w:lang w:val="en-US" w:eastAsia="zh-CN" w:bidi="ar-SA"/>
              </w:rPr>
              <w:t>=</w:t>
            </w:r>
            <w:r>
              <w:rPr>
                <w:rFonts w:hint="eastAsia" w:ascii="Times New Roman" w:hAnsi="Times New Roman" w:cs="Times New Roman"/>
                <w:b w:val="0"/>
                <w:bCs w:val="0"/>
                <w:color w:val="auto"/>
                <w:kern w:val="24"/>
                <w:sz w:val="24"/>
                <w:szCs w:val="20"/>
                <w:highlight w:val="none"/>
                <w:lang w:val="en-US" w:eastAsia="zh-CN" w:bidi="ar-SA"/>
              </w:rPr>
              <w:t>44.1</w:t>
            </w:r>
            <w:r>
              <w:rPr>
                <w:rFonts w:hint="eastAsia" w:ascii="Times New Roman" w:hAnsi="Times New Roman" w:eastAsia="宋体" w:cs="Times New Roman"/>
                <w:b w:val="0"/>
                <w:bCs w:val="0"/>
                <w:color w:val="auto"/>
                <w:kern w:val="24"/>
                <w:sz w:val="24"/>
                <w:szCs w:val="20"/>
                <w:highlight w:val="none"/>
                <w:lang w:val="en-US" w:eastAsia="zh-CN" w:bidi="ar-SA"/>
              </w:rPr>
              <w:t>t/a。本项目喷塑房内安装的集气系统</w:t>
            </w:r>
            <w:r>
              <w:rPr>
                <w:rFonts w:hint="eastAsia" w:cs="Times New Roman"/>
                <w:b w:val="0"/>
                <w:bCs w:val="0"/>
                <w:color w:val="auto"/>
                <w:kern w:val="24"/>
                <w:sz w:val="24"/>
                <w:szCs w:val="20"/>
                <w:highlight w:val="none"/>
                <w:lang w:val="en-US" w:eastAsia="zh-CN" w:bidi="ar-SA"/>
              </w:rPr>
              <w:t>，废气经密闭收集</w:t>
            </w:r>
            <w:r>
              <w:rPr>
                <w:rFonts w:hint="eastAsia" w:ascii="Times New Roman" w:hAnsi="Times New Roman" w:eastAsia="宋体" w:cs="Times New Roman"/>
                <w:b w:val="0"/>
                <w:bCs w:val="0"/>
                <w:color w:val="auto"/>
                <w:kern w:val="24"/>
                <w:sz w:val="24"/>
                <w:szCs w:val="20"/>
                <w:highlight w:val="none"/>
                <w:lang w:val="en-US" w:eastAsia="zh-CN" w:bidi="ar-SA"/>
              </w:rPr>
              <w:t>+滤芯</w:t>
            </w:r>
            <w:r>
              <w:rPr>
                <w:rFonts w:hint="eastAsia" w:ascii="Times New Roman" w:hAnsi="Times New Roman" w:cs="Times New Roman"/>
                <w:b w:val="0"/>
                <w:bCs w:val="0"/>
                <w:color w:val="auto"/>
                <w:kern w:val="24"/>
                <w:sz w:val="24"/>
                <w:szCs w:val="20"/>
                <w:highlight w:val="none"/>
                <w:lang w:val="en-US" w:eastAsia="zh-CN" w:bidi="ar-SA"/>
              </w:rPr>
              <w:t>除尘+布袋除尘器</w:t>
            </w:r>
            <w:r>
              <w:rPr>
                <w:rFonts w:hint="default" w:ascii="Times New Roman" w:hAnsi="Times New Roman" w:eastAsia="宋体" w:cs="Times New Roman"/>
                <w:b w:val="0"/>
                <w:bCs w:val="0"/>
                <w:color w:val="auto"/>
                <w:sz w:val="24"/>
                <w:highlight w:val="none"/>
                <w:lang w:val="en-US" w:eastAsia="zh-CN"/>
              </w:rPr>
              <w:t>（TA003）</w:t>
            </w:r>
            <w:r>
              <w:rPr>
                <w:rFonts w:hint="eastAsia" w:ascii="Times New Roman" w:hAnsi="Times New Roman" w:eastAsia="宋体" w:cs="Times New Roman"/>
                <w:b w:val="0"/>
                <w:bCs w:val="0"/>
                <w:color w:val="auto"/>
                <w:sz w:val="24"/>
                <w:highlight w:val="none"/>
                <w:lang w:val="en-US" w:eastAsia="zh-CN"/>
              </w:rPr>
              <w:t>处理后由15m高排气筒排放（DA003），收集</w:t>
            </w:r>
            <w:r>
              <w:rPr>
                <w:rFonts w:hint="eastAsia" w:ascii="Times New Roman" w:hAnsi="Times New Roman" w:eastAsia="宋体" w:cs="Times New Roman"/>
                <w:b w:val="0"/>
                <w:bCs w:val="0"/>
                <w:color w:val="auto"/>
                <w:kern w:val="24"/>
                <w:sz w:val="24"/>
                <w:szCs w:val="20"/>
                <w:highlight w:val="none"/>
                <w:lang w:val="en-US" w:eastAsia="zh-CN" w:bidi="ar-SA"/>
              </w:rPr>
              <w:t>效率95%，处理效率</w:t>
            </w:r>
            <w:r>
              <w:rPr>
                <w:rFonts w:hint="eastAsia" w:ascii="Times New Roman" w:hAnsi="Times New Roman" w:cs="Times New Roman"/>
                <w:b w:val="0"/>
                <w:bCs w:val="0"/>
                <w:color w:val="auto"/>
                <w:kern w:val="24"/>
                <w:sz w:val="24"/>
                <w:szCs w:val="20"/>
                <w:highlight w:val="none"/>
                <w:lang w:val="en-US" w:eastAsia="zh-CN" w:bidi="ar-SA"/>
              </w:rPr>
              <w:t>以</w:t>
            </w:r>
            <w:r>
              <w:rPr>
                <w:rFonts w:hint="eastAsia" w:ascii="Times New Roman" w:hAnsi="Times New Roman" w:eastAsia="宋体" w:cs="Times New Roman"/>
                <w:b w:val="0"/>
                <w:bCs w:val="0"/>
                <w:color w:val="auto"/>
                <w:kern w:val="24"/>
                <w:sz w:val="24"/>
                <w:szCs w:val="20"/>
                <w:highlight w:val="none"/>
                <w:lang w:val="en-US" w:eastAsia="zh-CN" w:bidi="ar-SA"/>
              </w:rPr>
              <w:t>99%</w:t>
            </w:r>
            <w:r>
              <w:rPr>
                <w:rFonts w:hint="eastAsia" w:ascii="Times New Roman" w:hAnsi="Times New Roman" w:cs="Times New Roman"/>
                <w:b w:val="0"/>
                <w:bCs w:val="0"/>
                <w:color w:val="auto"/>
                <w:kern w:val="24"/>
                <w:sz w:val="24"/>
                <w:szCs w:val="20"/>
                <w:highlight w:val="none"/>
                <w:lang w:val="en-US" w:eastAsia="zh-CN" w:bidi="ar-SA"/>
              </w:rPr>
              <w:t>计，收集后</w:t>
            </w:r>
            <w:r>
              <w:rPr>
                <w:rFonts w:hint="eastAsia" w:cs="Times New Roman"/>
                <w:b w:val="0"/>
                <w:bCs w:val="0"/>
                <w:color w:val="auto"/>
                <w:kern w:val="24"/>
                <w:sz w:val="24"/>
                <w:szCs w:val="20"/>
                <w:highlight w:val="none"/>
                <w:lang w:val="en-US" w:eastAsia="zh-CN" w:bidi="ar-SA"/>
              </w:rPr>
              <w:t>粉尘</w:t>
            </w:r>
            <w:r>
              <w:rPr>
                <w:rFonts w:hint="eastAsia" w:ascii="Times New Roman" w:hAnsi="Times New Roman" w:eastAsia="宋体" w:cs="Times New Roman"/>
                <w:b w:val="0"/>
                <w:bCs w:val="0"/>
                <w:color w:val="auto"/>
                <w:kern w:val="24"/>
                <w:sz w:val="24"/>
                <w:szCs w:val="20"/>
                <w:highlight w:val="none"/>
                <w:lang w:val="en-US" w:eastAsia="zh-CN" w:bidi="ar-SA"/>
              </w:rPr>
              <w:t>回用于生产中，则粉尘有组织排放量为</w:t>
            </w:r>
            <w:r>
              <w:rPr>
                <w:rFonts w:hint="eastAsia" w:ascii="Times New Roman" w:hAnsi="Times New Roman" w:cs="Times New Roman"/>
                <w:b w:val="0"/>
                <w:bCs w:val="0"/>
                <w:color w:val="auto"/>
                <w:kern w:val="24"/>
                <w:sz w:val="24"/>
                <w:szCs w:val="20"/>
                <w:highlight w:val="none"/>
                <w:lang w:val="en-US" w:eastAsia="zh-CN" w:bidi="ar-SA"/>
              </w:rPr>
              <w:t>0.419</w:t>
            </w:r>
            <w:r>
              <w:rPr>
                <w:rFonts w:hint="eastAsia" w:ascii="Times New Roman" w:hAnsi="Times New Roman" w:eastAsia="宋体" w:cs="Times New Roman"/>
                <w:b w:val="0"/>
                <w:bCs w:val="0"/>
                <w:color w:val="auto"/>
                <w:kern w:val="24"/>
                <w:sz w:val="24"/>
                <w:szCs w:val="20"/>
                <w:highlight w:val="none"/>
                <w:lang w:val="en-US" w:eastAsia="zh-CN" w:bidi="ar-SA"/>
              </w:rPr>
              <w:t>t/a，无组织排放量为</w:t>
            </w:r>
            <w:r>
              <w:rPr>
                <w:rFonts w:hint="eastAsia" w:ascii="Times New Roman" w:hAnsi="Times New Roman" w:cs="Times New Roman"/>
                <w:b w:val="0"/>
                <w:bCs w:val="0"/>
                <w:color w:val="auto"/>
                <w:kern w:val="24"/>
                <w:sz w:val="24"/>
                <w:szCs w:val="20"/>
                <w:highlight w:val="none"/>
                <w:lang w:val="en-US" w:eastAsia="zh-CN" w:bidi="ar-SA"/>
              </w:rPr>
              <w:t>2.2t</w:t>
            </w:r>
            <w:r>
              <w:rPr>
                <w:rFonts w:hint="eastAsia" w:ascii="Times New Roman" w:hAnsi="Times New Roman" w:eastAsia="宋体" w:cs="Times New Roman"/>
                <w:b w:val="0"/>
                <w:bCs w:val="0"/>
                <w:color w:val="auto"/>
                <w:kern w:val="24"/>
                <w:sz w:val="24"/>
                <w:szCs w:val="20"/>
                <w:highlight w:val="none"/>
                <w:lang w:val="en-US" w:eastAsia="zh-CN" w:bidi="ar-SA"/>
              </w:rPr>
              <w:t>/a。</w:t>
            </w:r>
          </w:p>
          <w:p w14:paraId="1ED4B874">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风量计算：</w:t>
            </w:r>
          </w:p>
          <w:p w14:paraId="60A5804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color w:val="auto"/>
                <w:kern w:val="2"/>
                <w:sz w:val="24"/>
                <w:szCs w:val="24"/>
                <w:highlight w:val="none"/>
                <w:lang w:val="en-US" w:eastAsia="zh-CN"/>
              </w:rPr>
            </w:pPr>
            <w:r>
              <w:rPr>
                <w:rFonts w:hint="eastAsia" w:cs="Times New Roman"/>
                <w:color w:val="auto"/>
                <w:kern w:val="2"/>
                <w:sz w:val="24"/>
                <w:szCs w:val="24"/>
                <w:highlight w:val="none"/>
                <w:lang w:val="en-US" w:eastAsia="zh-CN"/>
              </w:rPr>
              <w:t>项目</w:t>
            </w:r>
            <w:r>
              <w:rPr>
                <w:rFonts w:hint="default" w:ascii="Times New Roman" w:hAnsi="Times New Roman" w:cs="Times New Roman"/>
                <w:color w:val="auto"/>
                <w:kern w:val="2"/>
                <w:sz w:val="24"/>
                <w:szCs w:val="24"/>
                <w:highlight w:val="none"/>
                <w:lang w:val="en-US" w:eastAsia="zh-CN"/>
              </w:rPr>
              <w:t>喷塑房尺寸L</w:t>
            </w:r>
            <w:r>
              <w:rPr>
                <w:rFonts w:hint="eastAsia" w:cs="Times New Roman"/>
                <w:color w:val="auto"/>
                <w:kern w:val="2"/>
                <w:sz w:val="24"/>
                <w:szCs w:val="24"/>
                <w:highlight w:val="none"/>
                <w:lang w:val="en-US" w:eastAsia="zh-CN"/>
              </w:rPr>
              <w:t>13</w:t>
            </w:r>
            <w:r>
              <w:rPr>
                <w:rFonts w:hint="default" w:ascii="Times New Roman" w:hAnsi="Times New Roman" w:cs="Times New Roman"/>
                <w:color w:val="auto"/>
                <w:kern w:val="2"/>
                <w:sz w:val="24"/>
                <w:szCs w:val="24"/>
                <w:highlight w:val="none"/>
                <w:lang w:val="en-US" w:eastAsia="zh-CN"/>
              </w:rPr>
              <w:t>×W</w:t>
            </w:r>
            <w:r>
              <w:rPr>
                <w:rFonts w:hint="eastAsia" w:cs="Times New Roman"/>
                <w:color w:val="auto"/>
                <w:kern w:val="2"/>
                <w:sz w:val="24"/>
                <w:szCs w:val="24"/>
                <w:highlight w:val="none"/>
                <w:lang w:val="en-US" w:eastAsia="zh-CN"/>
              </w:rPr>
              <w:t>9.25</w:t>
            </w:r>
            <w:r>
              <w:rPr>
                <w:rFonts w:hint="default" w:ascii="Times New Roman" w:hAnsi="Times New Roman" w:cs="Times New Roman"/>
                <w:color w:val="auto"/>
                <w:kern w:val="2"/>
                <w:sz w:val="24"/>
                <w:szCs w:val="24"/>
                <w:highlight w:val="none"/>
                <w:lang w:val="en-US" w:eastAsia="zh-CN"/>
              </w:rPr>
              <w:t>×H</w:t>
            </w:r>
            <w:r>
              <w:rPr>
                <w:rFonts w:hint="eastAsia" w:cs="Times New Roman"/>
                <w:color w:val="auto"/>
                <w:kern w:val="2"/>
                <w:sz w:val="24"/>
                <w:szCs w:val="24"/>
                <w:highlight w:val="none"/>
                <w:lang w:val="en-US" w:eastAsia="zh-CN"/>
              </w:rPr>
              <w:t>5.5</w:t>
            </w:r>
            <w:r>
              <w:rPr>
                <w:rFonts w:hint="default" w:ascii="Times New Roman" w:hAnsi="Times New Roman" w:cs="Times New Roman"/>
                <w:color w:val="auto"/>
                <w:kern w:val="2"/>
                <w:sz w:val="24"/>
                <w:szCs w:val="24"/>
                <w:highlight w:val="none"/>
                <w:lang w:val="en-US" w:eastAsia="zh-CN"/>
              </w:rPr>
              <w:t>(m)</w:t>
            </w:r>
            <w:r>
              <w:rPr>
                <w:rFonts w:hint="eastAsia" w:cs="Times New Roman"/>
                <w:color w:val="auto"/>
                <w:kern w:val="2"/>
                <w:sz w:val="24"/>
                <w:szCs w:val="24"/>
                <w:highlight w:val="none"/>
                <w:lang w:val="en-US" w:eastAsia="zh-CN"/>
              </w:rPr>
              <w:t>，</w:t>
            </w:r>
            <w:r>
              <w:rPr>
                <w:rFonts w:hint="default" w:ascii="Times New Roman" w:hAnsi="Times New Roman" w:cs="Times New Roman"/>
                <w:color w:val="auto"/>
                <w:kern w:val="2"/>
                <w:sz w:val="24"/>
                <w:szCs w:val="24"/>
                <w:highlight w:val="none"/>
                <w:lang w:val="en-US" w:eastAsia="zh-CN"/>
              </w:rPr>
              <w:t>1小时换气</w:t>
            </w:r>
            <w:r>
              <w:rPr>
                <w:rFonts w:hint="eastAsia" w:cs="Times New Roman"/>
                <w:color w:val="auto"/>
                <w:kern w:val="2"/>
                <w:sz w:val="24"/>
                <w:szCs w:val="24"/>
                <w:highlight w:val="none"/>
                <w:lang w:val="en-US" w:eastAsia="zh-CN"/>
              </w:rPr>
              <w:t>20</w:t>
            </w:r>
            <w:r>
              <w:rPr>
                <w:rFonts w:hint="default" w:ascii="Times New Roman" w:hAnsi="Times New Roman" w:cs="Times New Roman"/>
                <w:color w:val="auto"/>
                <w:kern w:val="2"/>
                <w:sz w:val="24"/>
                <w:szCs w:val="24"/>
                <w:highlight w:val="none"/>
                <w:lang w:val="en-US" w:eastAsia="zh-CN"/>
              </w:rPr>
              <w:t>次，则</w:t>
            </w:r>
            <w:r>
              <w:rPr>
                <w:rFonts w:hint="eastAsia" w:ascii="Times New Roman" w:hAnsi="Times New Roman" w:cs="Times New Roman"/>
                <w:color w:val="auto"/>
                <w:kern w:val="2"/>
                <w:sz w:val="24"/>
                <w:szCs w:val="24"/>
                <w:highlight w:val="none"/>
                <w:lang w:val="en-US" w:eastAsia="zh-CN"/>
              </w:rPr>
              <w:t>风量为</w:t>
            </w:r>
            <w:r>
              <w:rPr>
                <w:rFonts w:hint="eastAsia" w:cs="Times New Roman"/>
                <w:color w:val="auto"/>
                <w:kern w:val="2"/>
                <w:sz w:val="24"/>
                <w:szCs w:val="24"/>
                <w:highlight w:val="none"/>
                <w:lang w:val="en-US" w:eastAsia="zh-CN"/>
              </w:rPr>
              <w:t>13227</w:t>
            </w:r>
            <w:r>
              <w:rPr>
                <w:rFonts w:hint="default" w:ascii="Times New Roman" w:hAnsi="Times New Roman" w:cs="Times New Roman"/>
                <w:color w:val="auto"/>
                <w:kern w:val="2"/>
                <w:sz w:val="24"/>
                <w:szCs w:val="24"/>
                <w:highlight w:val="none"/>
                <w:lang w:val="en-US" w:eastAsia="zh-CN"/>
              </w:rPr>
              <w:t>m</w:t>
            </w:r>
            <w:r>
              <w:rPr>
                <w:rFonts w:hint="default" w:ascii="Times New Roman" w:hAnsi="Times New Roman" w:cs="Times New Roman"/>
                <w:color w:val="auto"/>
                <w:kern w:val="2"/>
                <w:sz w:val="24"/>
                <w:szCs w:val="24"/>
                <w:highlight w:val="none"/>
                <w:vertAlign w:val="superscript"/>
                <w:lang w:val="en-US" w:eastAsia="zh-CN"/>
              </w:rPr>
              <w:t>3</w:t>
            </w:r>
            <w:r>
              <w:rPr>
                <w:rFonts w:hint="default" w:ascii="Times New Roman" w:hAnsi="Times New Roman" w:cs="Times New Roman"/>
                <w:color w:val="auto"/>
                <w:kern w:val="2"/>
                <w:sz w:val="24"/>
                <w:szCs w:val="24"/>
                <w:highlight w:val="none"/>
                <w:lang w:val="en-US" w:eastAsia="zh-CN"/>
              </w:rPr>
              <w:t>/h</w:t>
            </w:r>
            <w:r>
              <w:rPr>
                <w:rFonts w:hint="eastAsia" w:ascii="Times New Roman" w:hAnsi="Times New Roman" w:cs="Times New Roman"/>
                <w:color w:val="auto"/>
                <w:kern w:val="2"/>
                <w:sz w:val="24"/>
                <w:szCs w:val="24"/>
                <w:highlight w:val="none"/>
                <w:lang w:val="en-US" w:eastAsia="zh-CN"/>
              </w:rPr>
              <w:t>，</w:t>
            </w:r>
            <w:r>
              <w:rPr>
                <w:rFonts w:hint="default" w:ascii="Times New Roman" w:hAnsi="Times New Roman" w:cs="Times New Roman"/>
                <w:color w:val="auto"/>
                <w:kern w:val="2"/>
                <w:sz w:val="24"/>
                <w:szCs w:val="24"/>
                <w:highlight w:val="none"/>
                <w:lang w:val="en-US" w:eastAsia="zh-CN"/>
              </w:rPr>
              <w:t>考虑管道损耗</w:t>
            </w:r>
            <w:r>
              <w:rPr>
                <w:rFonts w:hint="eastAsia" w:cs="Times New Roman"/>
                <w:color w:val="auto"/>
                <w:sz w:val="24"/>
                <w:szCs w:val="24"/>
                <w:highlight w:val="none"/>
                <w:lang w:val="en-US" w:eastAsia="zh-CN"/>
              </w:rPr>
              <w:t>（&gt;1500m³/h）</w:t>
            </w:r>
            <w:r>
              <w:rPr>
                <w:rFonts w:hint="default" w:ascii="Times New Roman" w:hAnsi="Times New Roman" w:cs="Times New Roman"/>
                <w:color w:val="auto"/>
                <w:kern w:val="2"/>
                <w:sz w:val="24"/>
                <w:szCs w:val="24"/>
                <w:highlight w:val="none"/>
                <w:lang w:val="en-US" w:eastAsia="zh-CN"/>
              </w:rPr>
              <w:t>，则风机风量为</w:t>
            </w:r>
            <w:r>
              <w:rPr>
                <w:rFonts w:hint="eastAsia" w:cs="Times New Roman"/>
                <w:color w:val="auto"/>
                <w:kern w:val="2"/>
                <w:sz w:val="24"/>
                <w:szCs w:val="24"/>
                <w:highlight w:val="none"/>
                <w:lang w:val="en-US" w:eastAsia="zh-CN"/>
              </w:rPr>
              <w:t>15000</w:t>
            </w:r>
            <w:r>
              <w:rPr>
                <w:rFonts w:hint="default" w:ascii="Times New Roman" w:hAnsi="Times New Roman" w:cs="Times New Roman"/>
                <w:color w:val="auto"/>
                <w:kern w:val="2"/>
                <w:sz w:val="24"/>
                <w:szCs w:val="24"/>
                <w:highlight w:val="none"/>
                <w:lang w:val="en-US" w:eastAsia="zh-CN"/>
              </w:rPr>
              <w:t>m</w:t>
            </w:r>
            <w:r>
              <w:rPr>
                <w:rFonts w:hint="default" w:ascii="Times New Roman" w:hAnsi="Times New Roman" w:cs="Times New Roman"/>
                <w:color w:val="auto"/>
                <w:kern w:val="2"/>
                <w:sz w:val="24"/>
                <w:szCs w:val="24"/>
                <w:highlight w:val="none"/>
                <w:vertAlign w:val="superscript"/>
                <w:lang w:val="en-US" w:eastAsia="zh-CN"/>
              </w:rPr>
              <w:t>3</w:t>
            </w:r>
            <w:r>
              <w:rPr>
                <w:rFonts w:hint="default" w:ascii="Times New Roman" w:hAnsi="Times New Roman" w:cs="Times New Roman"/>
                <w:color w:val="auto"/>
                <w:kern w:val="2"/>
                <w:sz w:val="24"/>
                <w:szCs w:val="24"/>
                <w:highlight w:val="none"/>
                <w:lang w:val="en-US" w:eastAsia="zh-CN"/>
              </w:rPr>
              <w:t>/h。</w:t>
            </w:r>
          </w:p>
          <w:p w14:paraId="6403F7B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rPr>
              <w:t>根据企业以往生产经验，项目年喷塑时间约为</w:t>
            </w:r>
            <w:r>
              <w:rPr>
                <w:rFonts w:hint="eastAsia" w:cs="Times New Roman"/>
                <w:color w:val="auto"/>
                <w:kern w:val="2"/>
                <w:sz w:val="24"/>
                <w:szCs w:val="24"/>
                <w:highlight w:val="none"/>
                <w:lang w:val="en-US" w:eastAsia="zh-CN"/>
              </w:rPr>
              <w:t>1800</w:t>
            </w:r>
            <w:r>
              <w:rPr>
                <w:rFonts w:hint="eastAsia" w:ascii="Times New Roman" w:hAnsi="Times New Roman" w:cs="Times New Roman"/>
                <w:color w:val="auto"/>
                <w:kern w:val="2"/>
                <w:sz w:val="24"/>
                <w:szCs w:val="24"/>
                <w:highlight w:val="none"/>
                <w:lang w:val="en-US" w:eastAsia="zh-CN"/>
              </w:rPr>
              <w:t>h，经计算得出，排放速率为0.</w:t>
            </w:r>
            <w:r>
              <w:rPr>
                <w:rFonts w:hint="eastAsia" w:cs="Times New Roman"/>
                <w:color w:val="auto"/>
                <w:kern w:val="2"/>
                <w:sz w:val="24"/>
                <w:szCs w:val="24"/>
                <w:highlight w:val="none"/>
                <w:lang w:val="en-US" w:eastAsia="zh-CN"/>
              </w:rPr>
              <w:t>222</w:t>
            </w:r>
            <w:r>
              <w:rPr>
                <w:rFonts w:hint="eastAsia" w:ascii="Times New Roman" w:hAnsi="Times New Roman" w:cs="Times New Roman"/>
                <w:color w:val="auto"/>
                <w:kern w:val="2"/>
                <w:sz w:val="24"/>
                <w:szCs w:val="24"/>
                <w:highlight w:val="none"/>
                <w:lang w:val="en-US" w:eastAsia="zh-CN"/>
              </w:rPr>
              <w:t>kg/h，排放浓度为</w:t>
            </w:r>
            <w:r>
              <w:rPr>
                <w:rFonts w:hint="eastAsia" w:cs="Times New Roman"/>
                <w:color w:val="auto"/>
                <w:kern w:val="2"/>
                <w:sz w:val="24"/>
                <w:szCs w:val="24"/>
                <w:highlight w:val="none"/>
                <w:lang w:val="en-US" w:eastAsia="zh-CN"/>
              </w:rPr>
              <w:t>14.8</w:t>
            </w:r>
            <w:r>
              <w:rPr>
                <w:rFonts w:hint="eastAsia" w:ascii="Times New Roman" w:hAnsi="Times New Roman" w:cs="Times New Roman"/>
                <w:color w:val="auto"/>
                <w:kern w:val="2"/>
                <w:sz w:val="24"/>
                <w:szCs w:val="24"/>
                <w:highlight w:val="none"/>
                <w:lang w:val="en-US" w:eastAsia="zh-CN"/>
              </w:rPr>
              <w:t>mg/m³。</w:t>
            </w:r>
          </w:p>
          <w:p w14:paraId="44A25FD8">
            <w:pPr>
              <w:pStyle w:val="31"/>
              <w:keepNext w:val="0"/>
              <w:keepLines w:val="0"/>
              <w:pageBreakBefore w:val="0"/>
              <w:widowControl/>
              <w:numPr>
                <w:ilvl w:val="1"/>
                <w:numId w:val="0"/>
              </w:numPr>
              <w:kinsoku w:val="0"/>
              <w:wordWrap/>
              <w:overflowPunct/>
              <w:topLinePunct w:val="0"/>
              <w:autoSpaceDE w:val="0"/>
              <w:autoSpaceDN w:val="0"/>
              <w:bidi w:val="0"/>
              <w:adjustRightInd/>
              <w:snapToGrid/>
              <w:spacing w:line="360" w:lineRule="auto"/>
              <w:ind w:left="479" w:leftChars="228" w:firstLine="0" w:firstLineChars="0"/>
              <w:jc w:val="both"/>
              <w:textAlignment w:val="baseline"/>
              <w:rPr>
                <w:rFonts w:hint="default" w:ascii="Times New Roman" w:hAnsi="Times New Roman" w:cs="Times New Roman"/>
                <w:b w:val="0"/>
                <w:bCs/>
                <w:color w:val="auto"/>
                <w:highlight w:val="none"/>
              </w:rPr>
            </w:pPr>
            <w:r>
              <w:rPr>
                <w:rFonts w:hint="eastAsia" w:ascii="Times New Roman" w:hAnsi="Times New Roman" w:eastAsia="宋体" w:cs="Times New Roman"/>
                <w:b w:val="0"/>
                <w:bCs/>
                <w:color w:val="auto"/>
                <w:kern w:val="24"/>
                <w:sz w:val="24"/>
                <w:szCs w:val="20"/>
                <w:highlight w:val="none"/>
                <w:lang w:val="en-US" w:eastAsia="zh-CN" w:bidi="ar-SA"/>
              </w:rPr>
              <w:t>（</w:t>
            </w:r>
            <w:r>
              <w:rPr>
                <w:rFonts w:hint="eastAsia" w:ascii="Times New Roman" w:hAnsi="Times New Roman" w:cs="Times New Roman"/>
                <w:b w:val="0"/>
                <w:bCs/>
                <w:color w:val="auto"/>
                <w:kern w:val="24"/>
                <w:sz w:val="24"/>
                <w:szCs w:val="20"/>
                <w:highlight w:val="none"/>
                <w:lang w:val="en-US" w:eastAsia="zh-CN" w:bidi="ar-SA"/>
              </w:rPr>
              <w:t>5</w:t>
            </w:r>
            <w:r>
              <w:rPr>
                <w:rFonts w:hint="eastAsia" w:ascii="Times New Roman" w:hAnsi="Times New Roman" w:eastAsia="宋体" w:cs="Times New Roman"/>
                <w:b w:val="0"/>
                <w:bCs/>
                <w:color w:val="auto"/>
                <w:kern w:val="24"/>
                <w:sz w:val="24"/>
                <w:szCs w:val="20"/>
                <w:highlight w:val="none"/>
                <w:lang w:val="en-US" w:eastAsia="zh-CN" w:bidi="ar-SA"/>
              </w:rPr>
              <w:t>）固化废气（非甲烷总烃）</w:t>
            </w:r>
            <w:r>
              <w:rPr>
                <w:rFonts w:hint="eastAsia" w:ascii="Times New Roman" w:hAnsi="Times New Roman" w:eastAsia="宋体" w:cs="Times New Roman"/>
                <w:b w:val="0"/>
                <w:bCs/>
                <w:color w:val="auto"/>
                <w:kern w:val="24"/>
                <w:sz w:val="24"/>
                <w:szCs w:val="20"/>
                <w:highlight w:val="none"/>
                <w:lang w:val="en-US" w:eastAsia="zh-CN" w:bidi="ar-SA"/>
              </w:rPr>
              <w:br w:type="textWrapping"/>
            </w:r>
            <w:r>
              <w:rPr>
                <w:rFonts w:hint="default" w:ascii="Times New Roman" w:hAnsi="Times New Roman" w:cs="Times New Roman"/>
                <w:b w:val="0"/>
                <w:bCs/>
                <w:color w:val="auto"/>
                <w:highlight w:val="none"/>
                <w:lang w:val="en-US" w:eastAsia="zh-CN"/>
              </w:rPr>
              <w:t>本项目</w:t>
            </w:r>
            <w:r>
              <w:rPr>
                <w:rFonts w:hint="default" w:ascii="Times New Roman" w:hAnsi="Times New Roman" w:cs="Times New Roman"/>
                <w:b w:val="0"/>
                <w:bCs/>
                <w:color w:val="auto"/>
                <w:highlight w:val="none"/>
              </w:rPr>
              <w:t>固化过程仅有少量有机</w:t>
            </w:r>
            <w:r>
              <w:rPr>
                <w:rFonts w:hint="eastAsia" w:ascii="Times New Roman" w:hAnsi="Times New Roman" w:cs="Times New Roman"/>
                <w:b w:val="0"/>
                <w:bCs/>
                <w:color w:val="auto"/>
                <w:highlight w:val="none"/>
                <w:lang w:eastAsia="zh-CN"/>
              </w:rPr>
              <w:t>气体逸出</w:t>
            </w:r>
            <w:r>
              <w:rPr>
                <w:rFonts w:hint="default" w:ascii="Times New Roman" w:hAnsi="Times New Roman" w:cs="Times New Roman"/>
                <w:b w:val="0"/>
                <w:bCs/>
                <w:color w:val="auto"/>
                <w:highlight w:val="none"/>
              </w:rPr>
              <w:t>，以非甲烷总烃计。</w:t>
            </w:r>
          </w:p>
          <w:p w14:paraId="297E72DF">
            <w:pPr>
              <w:pStyle w:val="9"/>
              <w:keepNext w:val="0"/>
              <w:keepLines w:val="0"/>
              <w:pageBreakBefore w:val="0"/>
              <w:widowControl/>
              <w:kinsoku/>
              <w:wordWrap/>
              <w:overflowPunct/>
              <w:topLinePunct w:val="0"/>
              <w:autoSpaceDE w:val="0"/>
              <w:autoSpaceDN w:val="0"/>
              <w:bidi w:val="0"/>
              <w:adjustRightInd/>
              <w:snapToGrid/>
              <w:spacing w:before="0" w:after="0" w:line="360" w:lineRule="auto"/>
              <w:ind w:left="0" w:leftChars="0" w:right="0"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根据《排放源统计调查产排污核算方法和系数手册》（环境部公告2021年24号）33金属制品业行业系数手册中表14涂装系数表相关参数可知，涂装件在喷塑后固化工序产污系数为1.20千克/吨-原料。本项目</w:t>
            </w:r>
            <w:r>
              <w:rPr>
                <w:rFonts w:hint="eastAsia" w:ascii="Times New Roman" w:hAnsi="Times New Roman" w:eastAsia="宋体" w:cs="Times New Roman"/>
                <w:color w:val="auto"/>
                <w:kern w:val="2"/>
                <w:sz w:val="24"/>
                <w:szCs w:val="24"/>
                <w:highlight w:val="none"/>
                <w:lang w:val="en-US" w:eastAsia="zh-CN" w:bidi="ar-SA"/>
              </w:rPr>
              <w:t>塑粉</w:t>
            </w:r>
            <w:r>
              <w:rPr>
                <w:rFonts w:hint="default" w:ascii="Times New Roman" w:hAnsi="Times New Roman" w:eastAsia="宋体" w:cs="Times New Roman"/>
                <w:color w:val="auto"/>
                <w:kern w:val="2"/>
                <w:sz w:val="24"/>
                <w:szCs w:val="24"/>
                <w:highlight w:val="none"/>
                <w:lang w:val="en-US" w:eastAsia="zh-CN" w:bidi="ar-SA"/>
              </w:rPr>
              <w:t>使用量为</w:t>
            </w:r>
            <w:r>
              <w:rPr>
                <w:rFonts w:hint="eastAsia" w:cs="Times New Roman"/>
                <w:color w:val="auto"/>
                <w:kern w:val="2"/>
                <w:sz w:val="24"/>
                <w:szCs w:val="24"/>
                <w:highlight w:val="none"/>
                <w:lang w:val="en-US" w:eastAsia="zh-CN" w:bidi="ar-SA"/>
              </w:rPr>
              <w:t>146.8</w:t>
            </w:r>
            <w:r>
              <w:rPr>
                <w:rFonts w:hint="default" w:ascii="Times New Roman" w:hAnsi="Times New Roman" w:eastAsia="宋体" w:cs="Times New Roman"/>
                <w:color w:val="auto"/>
                <w:kern w:val="2"/>
                <w:sz w:val="24"/>
                <w:szCs w:val="24"/>
                <w:highlight w:val="none"/>
                <w:lang w:val="en-US" w:eastAsia="zh-CN" w:bidi="ar-SA"/>
              </w:rPr>
              <w:t>t/a，则非甲烷总烃产生量</w:t>
            </w:r>
            <w:r>
              <w:rPr>
                <w:rFonts w:hint="eastAsia" w:cs="Times New Roman"/>
                <w:color w:val="auto"/>
                <w:kern w:val="2"/>
                <w:sz w:val="24"/>
                <w:szCs w:val="24"/>
                <w:highlight w:val="none"/>
                <w:lang w:val="en-US" w:eastAsia="zh-CN" w:bidi="ar-SA"/>
              </w:rPr>
              <w:t>约</w:t>
            </w:r>
            <w:r>
              <w:rPr>
                <w:rFonts w:hint="default" w:ascii="Times New Roman" w:hAnsi="Times New Roman" w:eastAsia="宋体" w:cs="Times New Roman"/>
                <w:color w:val="auto"/>
                <w:kern w:val="2"/>
                <w:sz w:val="24"/>
                <w:szCs w:val="24"/>
                <w:highlight w:val="none"/>
                <w:lang w:val="en-US" w:eastAsia="zh-CN" w:bidi="ar-SA"/>
              </w:rPr>
              <w:t>为</w:t>
            </w:r>
            <w:r>
              <w:rPr>
                <w:rFonts w:hint="default" w:ascii="Times New Roman" w:hAnsi="Times New Roman" w:cs="Times New Roman"/>
                <w:color w:val="auto"/>
                <w:kern w:val="2"/>
                <w:sz w:val="24"/>
                <w:szCs w:val="24"/>
                <w:highlight w:val="none"/>
                <w:lang w:val="en-US" w:eastAsia="zh-CN" w:bidi="ar-SA"/>
              </w:rPr>
              <w:t>0.</w:t>
            </w:r>
            <w:r>
              <w:rPr>
                <w:rFonts w:hint="eastAsia" w:cs="Times New Roman"/>
                <w:color w:val="auto"/>
                <w:kern w:val="2"/>
                <w:sz w:val="24"/>
                <w:szCs w:val="24"/>
                <w:highlight w:val="none"/>
                <w:lang w:val="en-US" w:eastAsia="zh-CN" w:bidi="ar-SA"/>
              </w:rPr>
              <w:t>176</w:t>
            </w:r>
            <w:r>
              <w:rPr>
                <w:rFonts w:hint="default" w:ascii="Times New Roman" w:hAnsi="Times New Roman" w:eastAsia="宋体" w:cs="Times New Roman"/>
                <w:color w:val="auto"/>
                <w:kern w:val="2"/>
                <w:sz w:val="24"/>
                <w:szCs w:val="24"/>
                <w:highlight w:val="none"/>
                <w:lang w:val="en-US" w:eastAsia="zh-CN" w:bidi="ar-SA"/>
              </w:rPr>
              <w:t>t/a。</w:t>
            </w:r>
          </w:p>
          <w:p w14:paraId="13F5BE39">
            <w:pPr>
              <w:pStyle w:val="9"/>
              <w:keepNext w:val="0"/>
              <w:keepLines w:val="0"/>
              <w:pageBreakBefore w:val="0"/>
              <w:widowControl/>
              <w:kinsoku/>
              <w:wordWrap/>
              <w:overflowPunct/>
              <w:topLinePunct w:val="0"/>
              <w:autoSpaceDE w:val="0"/>
              <w:autoSpaceDN w:val="0"/>
              <w:bidi w:val="0"/>
              <w:adjustRightInd/>
              <w:snapToGrid/>
              <w:spacing w:before="0" w:after="0" w:line="360" w:lineRule="auto"/>
              <w:ind w:right="0" w:firstLine="480" w:firstLineChars="200"/>
              <w:jc w:val="both"/>
              <w:textAlignment w:val="baseline"/>
              <w:rPr>
                <w:rFonts w:hint="eastAsia" w:ascii="Times New Roman" w:hAnsi="Times New Roman" w:cs="Times New Roman"/>
                <w:color w:val="auto"/>
                <w:kern w:val="2"/>
                <w:sz w:val="24"/>
                <w:szCs w:val="24"/>
                <w:highlight w:val="none"/>
                <w:lang w:val="en-US" w:eastAsia="zh-CN" w:bidi="ar-SA"/>
              </w:rPr>
            </w:pPr>
            <w:r>
              <w:rPr>
                <w:rFonts w:hint="default" w:ascii="Times New Roman" w:hAnsi="Times New Roman" w:eastAsia="宋体" w:cs="Times New Roman"/>
                <w:color w:val="auto"/>
                <w:kern w:val="24"/>
                <w:sz w:val="24"/>
                <w:szCs w:val="20"/>
                <w:highlight w:val="none"/>
                <w:lang w:val="en-US" w:eastAsia="zh-CN" w:bidi="ar-SA"/>
              </w:rPr>
              <w:t>固化工序</w:t>
            </w:r>
            <w:r>
              <w:rPr>
                <w:rFonts w:hint="eastAsia" w:cs="Times New Roman"/>
                <w:color w:val="auto"/>
                <w:kern w:val="24"/>
                <w:sz w:val="24"/>
                <w:szCs w:val="20"/>
                <w:highlight w:val="none"/>
                <w:lang w:val="en-US" w:eastAsia="zh-CN" w:bidi="ar-SA"/>
              </w:rPr>
              <w:t>年</w:t>
            </w:r>
            <w:r>
              <w:rPr>
                <w:rFonts w:hint="default" w:ascii="Times New Roman" w:hAnsi="Times New Roman" w:eastAsia="宋体" w:cs="Times New Roman"/>
                <w:color w:val="auto"/>
                <w:kern w:val="24"/>
                <w:sz w:val="24"/>
                <w:szCs w:val="20"/>
                <w:highlight w:val="none"/>
                <w:lang w:val="en-US" w:eastAsia="zh-CN" w:bidi="ar-SA"/>
              </w:rPr>
              <w:t>工作时间为1</w:t>
            </w:r>
            <w:r>
              <w:rPr>
                <w:rFonts w:hint="eastAsia" w:cs="Times New Roman"/>
                <w:color w:val="auto"/>
                <w:kern w:val="24"/>
                <w:sz w:val="24"/>
                <w:szCs w:val="20"/>
                <w:highlight w:val="none"/>
                <w:lang w:val="en-US" w:eastAsia="zh-CN" w:bidi="ar-SA"/>
              </w:rPr>
              <w:t>8</w:t>
            </w:r>
            <w:r>
              <w:rPr>
                <w:rFonts w:hint="default" w:ascii="Times New Roman" w:hAnsi="Times New Roman" w:eastAsia="宋体" w:cs="Times New Roman"/>
                <w:color w:val="auto"/>
                <w:kern w:val="24"/>
                <w:sz w:val="24"/>
                <w:szCs w:val="20"/>
                <w:highlight w:val="none"/>
                <w:lang w:val="en-US" w:eastAsia="zh-CN" w:bidi="ar-SA"/>
              </w:rPr>
              <w:t>00h</w:t>
            </w:r>
            <w:r>
              <w:rPr>
                <w:rFonts w:hint="eastAsia" w:cs="Times New Roman"/>
                <w:color w:val="auto"/>
                <w:kern w:val="24"/>
                <w:sz w:val="24"/>
                <w:szCs w:val="20"/>
                <w:highlight w:val="none"/>
                <w:lang w:val="en-US" w:eastAsia="zh-CN" w:bidi="ar-SA"/>
              </w:rPr>
              <w:t>，</w:t>
            </w:r>
            <w:r>
              <w:rPr>
                <w:rFonts w:hint="default" w:ascii="Times New Roman" w:hAnsi="Times New Roman" w:cs="Times New Roman"/>
                <w:color w:val="auto"/>
                <w:sz w:val="24"/>
                <w:szCs w:val="24"/>
                <w:highlight w:val="none"/>
              </w:rPr>
              <w:t>粉末</w:t>
            </w:r>
            <w:r>
              <w:rPr>
                <w:rFonts w:hint="default" w:ascii="Times New Roman" w:hAnsi="Times New Roman" w:cs="Times New Roman"/>
                <w:color w:val="auto"/>
                <w:sz w:val="24"/>
                <w:szCs w:val="24"/>
                <w:highlight w:val="none"/>
                <w:lang w:eastAsia="zh-CN"/>
              </w:rPr>
              <w:t>固化</w:t>
            </w:r>
            <w:r>
              <w:rPr>
                <w:rFonts w:hint="default" w:ascii="Times New Roman" w:hAnsi="Times New Roman" w:cs="Times New Roman"/>
                <w:color w:val="auto"/>
                <w:sz w:val="24"/>
                <w:szCs w:val="24"/>
                <w:highlight w:val="none"/>
              </w:rPr>
              <w:t>过程是在</w:t>
            </w:r>
            <w:r>
              <w:rPr>
                <w:rFonts w:hint="default" w:ascii="Times New Roman" w:hAnsi="Times New Roman" w:cs="Times New Roman"/>
                <w:color w:val="auto"/>
                <w:sz w:val="24"/>
                <w:szCs w:val="24"/>
                <w:highlight w:val="none"/>
                <w:lang w:eastAsia="zh-CN"/>
              </w:rPr>
              <w:t>环形烘道中</w:t>
            </w:r>
            <w:r>
              <w:rPr>
                <w:rFonts w:hint="default" w:ascii="Times New Roman" w:hAnsi="Times New Roman" w:cs="Times New Roman"/>
                <w:color w:val="auto"/>
                <w:sz w:val="24"/>
                <w:szCs w:val="24"/>
                <w:highlight w:val="none"/>
              </w:rPr>
              <w:t>进行</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天然气燃烧产生的热气直接接触产品表面，使其塑粉固化</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烘道</w:t>
            </w:r>
            <w:r>
              <w:rPr>
                <w:rFonts w:hint="default" w:ascii="Times New Roman" w:hAnsi="Times New Roman" w:cs="Times New Roman"/>
                <w:color w:val="auto"/>
                <w:sz w:val="24"/>
                <w:szCs w:val="24"/>
                <w:highlight w:val="none"/>
              </w:rPr>
              <w:t>密闭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pacing w:val="-5"/>
                <w:sz w:val="24"/>
                <w:szCs w:val="24"/>
                <w:highlight w:val="none"/>
                <w:lang w:eastAsia="zh-CN"/>
              </w:rPr>
              <w:t>烘道尺寸为</w:t>
            </w:r>
            <w:r>
              <w:rPr>
                <w:rFonts w:hint="default" w:ascii="Times New Roman" w:hAnsi="Times New Roman" w:eastAsia="宋体" w:cs="Times New Roman"/>
                <w:color w:val="auto"/>
                <w:kern w:val="24"/>
                <w:sz w:val="24"/>
                <w:szCs w:val="20"/>
                <w:highlight w:val="none"/>
                <w:lang w:val="en-US" w:eastAsia="zh-CN" w:bidi="ar-SA"/>
              </w:rPr>
              <w:t>：L</w:t>
            </w:r>
            <w:r>
              <w:rPr>
                <w:rFonts w:hint="eastAsia" w:cs="Times New Roman"/>
                <w:color w:val="auto"/>
                <w:kern w:val="24"/>
                <w:sz w:val="24"/>
                <w:szCs w:val="20"/>
                <w:highlight w:val="none"/>
                <w:lang w:val="en-US" w:eastAsia="zh-CN" w:bidi="ar-SA"/>
              </w:rPr>
              <w:t>63</w:t>
            </w:r>
            <w:r>
              <w:rPr>
                <w:rFonts w:hint="default" w:ascii="Times New Roman" w:hAnsi="Times New Roman" w:eastAsia="宋体" w:cs="Times New Roman"/>
                <w:color w:val="auto"/>
                <w:kern w:val="24"/>
                <w:sz w:val="24"/>
                <w:szCs w:val="20"/>
                <w:highlight w:val="none"/>
                <w:lang w:val="en-US" w:eastAsia="zh-CN" w:bidi="ar-SA"/>
              </w:rPr>
              <w:t>m×W</w:t>
            </w:r>
            <w:r>
              <w:rPr>
                <w:rFonts w:hint="eastAsia" w:ascii="Times New Roman" w:hAnsi="Times New Roman" w:eastAsia="宋体" w:cs="Times New Roman"/>
                <w:color w:val="auto"/>
                <w:kern w:val="24"/>
                <w:sz w:val="24"/>
                <w:szCs w:val="20"/>
                <w:highlight w:val="none"/>
                <w:lang w:val="en-US" w:eastAsia="zh-CN" w:bidi="ar-SA"/>
              </w:rPr>
              <w:t>2</w:t>
            </w:r>
            <w:r>
              <w:rPr>
                <w:rFonts w:hint="eastAsia" w:cs="Times New Roman"/>
                <w:color w:val="auto"/>
                <w:kern w:val="24"/>
                <w:sz w:val="24"/>
                <w:szCs w:val="20"/>
                <w:highlight w:val="none"/>
                <w:lang w:val="en-US" w:eastAsia="zh-CN" w:bidi="ar-SA"/>
              </w:rPr>
              <w:t>.45</w:t>
            </w:r>
            <w:r>
              <w:rPr>
                <w:rFonts w:hint="default" w:ascii="Times New Roman" w:hAnsi="Times New Roman" w:eastAsia="宋体" w:cs="Times New Roman"/>
                <w:color w:val="auto"/>
                <w:kern w:val="24"/>
                <w:sz w:val="24"/>
                <w:szCs w:val="20"/>
                <w:highlight w:val="none"/>
                <w:lang w:val="en-US" w:eastAsia="zh-CN" w:bidi="ar-SA"/>
              </w:rPr>
              <w:t>m×H</w:t>
            </w:r>
            <w:r>
              <w:rPr>
                <w:rFonts w:hint="eastAsia" w:cs="Times New Roman"/>
                <w:color w:val="auto"/>
                <w:kern w:val="24"/>
                <w:sz w:val="24"/>
                <w:szCs w:val="20"/>
                <w:highlight w:val="none"/>
                <w:lang w:val="en-US" w:eastAsia="zh-CN" w:bidi="ar-SA"/>
              </w:rPr>
              <w:t>5.1</w:t>
            </w:r>
            <w:r>
              <w:rPr>
                <w:rFonts w:hint="default" w:ascii="Times New Roman" w:hAnsi="Times New Roman" w:eastAsia="宋体" w:cs="Times New Roman"/>
                <w:color w:val="auto"/>
                <w:kern w:val="24"/>
                <w:sz w:val="24"/>
                <w:szCs w:val="20"/>
                <w:highlight w:val="none"/>
                <w:lang w:val="en-US" w:eastAsia="zh-CN" w:bidi="ar-SA"/>
              </w:rPr>
              <w:t>m，</w:t>
            </w:r>
            <w:r>
              <w:rPr>
                <w:rFonts w:hint="eastAsia" w:ascii="Times New Roman" w:hAnsi="Times New Roman" w:cs="Times New Roman"/>
                <w:color w:val="auto"/>
                <w:sz w:val="24"/>
                <w:szCs w:val="24"/>
                <w:highlight w:val="none"/>
                <w:lang w:eastAsia="zh-CN"/>
              </w:rPr>
              <w:t>仅需在烘道</w:t>
            </w:r>
            <w:r>
              <w:rPr>
                <w:rFonts w:hint="eastAsia" w:cs="Times New Roman"/>
                <w:color w:val="auto"/>
                <w:sz w:val="24"/>
                <w:szCs w:val="24"/>
                <w:highlight w:val="none"/>
                <w:lang w:val="en-US" w:eastAsia="zh-CN"/>
              </w:rPr>
              <w:t>进</w:t>
            </w:r>
            <w:r>
              <w:rPr>
                <w:rFonts w:hint="eastAsia" w:ascii="Times New Roman" w:hAnsi="Times New Roman" w:cs="Times New Roman"/>
                <w:color w:val="auto"/>
                <w:sz w:val="24"/>
                <w:szCs w:val="24"/>
                <w:highlight w:val="none"/>
                <w:lang w:eastAsia="zh-CN"/>
              </w:rPr>
              <w:t>出口处</w:t>
            </w:r>
            <w:r>
              <w:rPr>
                <w:rFonts w:hint="eastAsia" w:cs="Times New Roman"/>
                <w:color w:val="auto"/>
                <w:sz w:val="24"/>
                <w:szCs w:val="24"/>
                <w:highlight w:val="none"/>
                <w:lang w:val="en-US" w:eastAsia="zh-CN"/>
              </w:rPr>
              <w:t>各</w:t>
            </w:r>
            <w:r>
              <w:rPr>
                <w:rFonts w:hint="eastAsia" w:ascii="Times New Roman" w:hAnsi="Times New Roman" w:cs="Times New Roman"/>
                <w:color w:val="auto"/>
                <w:sz w:val="24"/>
                <w:szCs w:val="24"/>
                <w:highlight w:val="none"/>
                <w:lang w:eastAsia="zh-CN"/>
              </w:rPr>
              <w:t>设置一个集气罩</w:t>
            </w:r>
            <w:r>
              <w:rPr>
                <w:rFonts w:hint="default" w:ascii="Times New Roman" w:hAnsi="Times New Roman" w:cs="Times New Roman"/>
                <w:color w:val="auto"/>
                <w:spacing w:val="-1"/>
                <w:sz w:val="24"/>
                <w:szCs w:val="24"/>
                <w:highlight w:val="none"/>
              </w:rPr>
              <w:t>，</w:t>
            </w:r>
            <w:r>
              <w:rPr>
                <w:rFonts w:hint="eastAsia" w:ascii="Times New Roman" w:hAnsi="Times New Roman" w:eastAsia="宋体" w:cs="Times New Roman"/>
                <w:color w:val="auto"/>
                <w:spacing w:val="-1"/>
                <w:sz w:val="24"/>
                <w:szCs w:val="24"/>
                <w:highlight w:val="none"/>
                <w:lang w:val="en-US" w:eastAsia="zh-CN"/>
              </w:rPr>
              <w:t>集气罩两侧设置垂帘可形成微负压，</w:t>
            </w:r>
            <w:r>
              <w:rPr>
                <w:rFonts w:hint="eastAsia" w:cs="Times New Roman"/>
                <w:color w:val="auto"/>
                <w:spacing w:val="-1"/>
                <w:sz w:val="24"/>
                <w:szCs w:val="24"/>
                <w:highlight w:val="none"/>
                <w:lang w:val="en-US" w:eastAsia="zh-CN"/>
              </w:rPr>
              <w:t>烘道口宽为2.45m，项目拟设计集气罩尺寸为2.5m</w:t>
            </w:r>
            <w:r>
              <w:rPr>
                <w:rFonts w:hint="default" w:ascii="Times New Roman" w:hAnsi="Times New Roman" w:eastAsia="宋体" w:cs="Times New Roman"/>
                <w:color w:val="auto"/>
                <w:kern w:val="24"/>
                <w:sz w:val="24"/>
                <w:szCs w:val="20"/>
                <w:highlight w:val="none"/>
                <w:lang w:val="en-US" w:eastAsia="zh-CN" w:bidi="ar-SA"/>
              </w:rPr>
              <w:t>×</w:t>
            </w:r>
            <w:r>
              <w:rPr>
                <w:rFonts w:hint="eastAsia" w:cs="Times New Roman"/>
                <w:color w:val="auto"/>
                <w:kern w:val="24"/>
                <w:sz w:val="24"/>
                <w:szCs w:val="20"/>
                <w:highlight w:val="none"/>
                <w:lang w:val="en-US" w:eastAsia="zh-CN" w:bidi="ar-SA"/>
              </w:rPr>
              <w:t>0.5</w:t>
            </w:r>
            <w:r>
              <w:rPr>
                <w:rFonts w:hint="eastAsia" w:ascii="Times New Roman" w:hAnsi="Times New Roman" w:eastAsia="宋体" w:cs="Times New Roman"/>
                <w:color w:val="auto"/>
                <w:kern w:val="24"/>
                <w:sz w:val="24"/>
                <w:szCs w:val="20"/>
                <w:highlight w:val="none"/>
                <w:lang w:val="en-US" w:eastAsia="zh-CN" w:bidi="ar-SA"/>
              </w:rPr>
              <w:t>m，则集气罩设计周长为</w:t>
            </w:r>
            <w:r>
              <w:rPr>
                <w:rFonts w:hint="eastAsia" w:cs="Times New Roman"/>
                <w:color w:val="auto"/>
                <w:kern w:val="24"/>
                <w:sz w:val="24"/>
                <w:szCs w:val="20"/>
                <w:highlight w:val="none"/>
                <w:lang w:val="en-US" w:eastAsia="zh-CN" w:bidi="ar-SA"/>
              </w:rPr>
              <w:t>6</w:t>
            </w:r>
            <w:r>
              <w:rPr>
                <w:rFonts w:hint="eastAsia" w:ascii="Times New Roman" w:hAnsi="Times New Roman" w:eastAsia="宋体" w:cs="Times New Roman"/>
                <w:color w:val="auto"/>
                <w:kern w:val="24"/>
                <w:sz w:val="24"/>
                <w:szCs w:val="20"/>
                <w:highlight w:val="none"/>
                <w:lang w:val="en-US" w:eastAsia="zh-CN" w:bidi="ar-SA"/>
              </w:rPr>
              <w:t>m，天然气燃烧废气由低氮燃烧器处理，</w:t>
            </w:r>
            <w:r>
              <w:rPr>
                <w:rFonts w:hint="default" w:ascii="Times New Roman" w:hAnsi="Times New Roman" w:cs="Times New Roman"/>
                <w:color w:val="auto"/>
                <w:spacing w:val="-1"/>
                <w:sz w:val="24"/>
                <w:szCs w:val="24"/>
                <w:highlight w:val="none"/>
              </w:rPr>
              <w:t>固化</w:t>
            </w:r>
            <w:r>
              <w:rPr>
                <w:rFonts w:hint="default" w:ascii="Times New Roman" w:hAnsi="Times New Roman" w:eastAsia="宋体" w:cs="Times New Roman"/>
                <w:color w:val="auto"/>
                <w:spacing w:val="-1"/>
                <w:sz w:val="24"/>
                <w:szCs w:val="24"/>
                <w:highlight w:val="none"/>
                <w:lang w:eastAsia="zh-CN"/>
              </w:rPr>
              <w:t>废气经</w:t>
            </w:r>
            <w:r>
              <w:rPr>
                <w:rFonts w:hint="eastAsia" w:ascii="Times New Roman" w:hAnsi="Times New Roman" w:eastAsia="宋体" w:cs="Times New Roman"/>
                <w:color w:val="auto"/>
                <w:spacing w:val="-1"/>
                <w:sz w:val="24"/>
                <w:szCs w:val="24"/>
                <w:highlight w:val="none"/>
                <w:lang w:val="en-US" w:eastAsia="zh-CN"/>
              </w:rPr>
              <w:t>集气罩</w:t>
            </w:r>
            <w:r>
              <w:rPr>
                <w:rFonts w:hint="eastAsia" w:cs="Times New Roman"/>
                <w:color w:val="auto"/>
                <w:sz w:val="24"/>
                <w:szCs w:val="24"/>
                <w:highlight w:val="none"/>
                <w:lang w:val="en-US" w:eastAsia="zh-CN"/>
              </w:rPr>
              <w:t>+风冷+</w:t>
            </w:r>
            <w:r>
              <w:rPr>
                <w:rFonts w:hint="default" w:ascii="Times New Roman" w:hAnsi="Times New Roman" w:cs="Times New Roman"/>
                <w:color w:val="auto"/>
                <w:sz w:val="24"/>
                <w:szCs w:val="24"/>
                <w:highlight w:val="none"/>
                <w:lang w:eastAsia="zh-CN"/>
              </w:rPr>
              <w:t>二级活性炭吸附处理后</w:t>
            </w:r>
            <w:r>
              <w:rPr>
                <w:rFonts w:hint="default" w:ascii="Times New Roman" w:hAnsi="Times New Roman" w:cs="Times New Roman"/>
                <w:color w:val="auto"/>
                <w:kern w:val="2"/>
                <w:sz w:val="24"/>
                <w:szCs w:val="24"/>
                <w:highlight w:val="none"/>
                <w:lang w:val="en-US" w:eastAsia="zh-CN" w:bidi="ar-SA"/>
              </w:rPr>
              <w:t>通过一根15m高排气筒排放（DA00</w:t>
            </w:r>
            <w:r>
              <w:rPr>
                <w:rFonts w:hint="eastAsia" w:ascii="Times New Roman" w:hAnsi="Times New Roman" w:cs="Times New Roman"/>
                <w:color w:val="auto"/>
                <w:kern w:val="2"/>
                <w:sz w:val="24"/>
                <w:szCs w:val="24"/>
                <w:highlight w:val="none"/>
                <w:lang w:val="en-US" w:eastAsia="zh-CN" w:bidi="ar-SA"/>
              </w:rPr>
              <w:t>3</w:t>
            </w:r>
            <w:r>
              <w:rPr>
                <w:rFonts w:hint="default" w:ascii="Times New Roman" w:hAnsi="Times New Roman" w:cs="Times New Roman"/>
                <w:color w:val="auto"/>
                <w:kern w:val="2"/>
                <w:sz w:val="24"/>
                <w:szCs w:val="24"/>
                <w:highlight w:val="none"/>
                <w:lang w:val="en-US" w:eastAsia="zh-CN" w:bidi="ar-SA"/>
              </w:rPr>
              <w:t>）收集效率为95%，处理效率为90%，则项目非甲烷总烃有组织排放为0.0</w:t>
            </w:r>
            <w:r>
              <w:rPr>
                <w:rFonts w:hint="eastAsia" w:cs="Times New Roman"/>
                <w:color w:val="auto"/>
                <w:kern w:val="2"/>
                <w:sz w:val="24"/>
                <w:szCs w:val="24"/>
                <w:highlight w:val="none"/>
                <w:lang w:val="en-US" w:eastAsia="zh-CN" w:bidi="ar-SA"/>
              </w:rPr>
              <w:t>17</w:t>
            </w:r>
            <w:r>
              <w:rPr>
                <w:rFonts w:hint="default" w:ascii="Times New Roman" w:hAnsi="Times New Roman" w:cs="Times New Roman"/>
                <w:color w:val="auto"/>
                <w:kern w:val="2"/>
                <w:sz w:val="24"/>
                <w:szCs w:val="24"/>
                <w:highlight w:val="none"/>
                <w:lang w:val="en-US" w:eastAsia="zh-CN" w:bidi="ar-SA"/>
              </w:rPr>
              <w:t>t/a</w:t>
            </w:r>
            <w:r>
              <w:rPr>
                <w:rFonts w:hint="eastAsia" w:ascii="Times New Roman" w:hAnsi="Times New Roman" w:cs="Times New Roman"/>
                <w:color w:val="auto"/>
                <w:kern w:val="2"/>
                <w:sz w:val="24"/>
                <w:szCs w:val="24"/>
                <w:highlight w:val="none"/>
                <w:lang w:val="en-US" w:eastAsia="zh-CN" w:bidi="ar-SA"/>
              </w:rPr>
              <w:t>，无组织排放量为0.00</w:t>
            </w:r>
            <w:r>
              <w:rPr>
                <w:rFonts w:hint="eastAsia" w:cs="Times New Roman"/>
                <w:color w:val="auto"/>
                <w:kern w:val="2"/>
                <w:sz w:val="24"/>
                <w:szCs w:val="24"/>
                <w:highlight w:val="none"/>
                <w:lang w:val="en-US" w:eastAsia="zh-CN" w:bidi="ar-SA"/>
              </w:rPr>
              <w:t>8</w:t>
            </w:r>
            <w:r>
              <w:rPr>
                <w:rFonts w:hint="default" w:ascii="Times New Roman" w:hAnsi="Times New Roman" w:cs="Times New Roman"/>
                <w:color w:val="auto"/>
                <w:kern w:val="2"/>
                <w:sz w:val="24"/>
                <w:szCs w:val="24"/>
                <w:highlight w:val="none"/>
                <w:lang w:val="en-US" w:eastAsia="zh-CN" w:bidi="ar-SA"/>
              </w:rPr>
              <w:t>t/a</w:t>
            </w:r>
            <w:r>
              <w:rPr>
                <w:rFonts w:hint="eastAsia" w:ascii="Times New Roman" w:hAnsi="Times New Roman" w:cs="Times New Roman"/>
                <w:color w:val="auto"/>
                <w:kern w:val="2"/>
                <w:sz w:val="24"/>
                <w:szCs w:val="24"/>
                <w:highlight w:val="none"/>
                <w:lang w:val="en-US" w:eastAsia="zh-CN" w:bidi="ar-SA"/>
              </w:rPr>
              <w:t>。</w:t>
            </w:r>
          </w:p>
          <w:p w14:paraId="023BF4DC">
            <w:pPr>
              <w:pStyle w:val="4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风量计算：</w:t>
            </w:r>
          </w:p>
          <w:p w14:paraId="4D666B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eastAsia" w:ascii="Times New Roman" w:hAnsi="Times New Roman" w:eastAsia="宋体" w:cs="Times New Roman"/>
                <w:color w:val="auto"/>
                <w:sz w:val="24"/>
                <w:szCs w:val="24"/>
                <w:highlight w:val="none"/>
                <w:lang w:val="en-US" w:eastAsia="zh-CN"/>
              </w:rPr>
              <w:t>环境工程</w:t>
            </w:r>
            <w:r>
              <w:rPr>
                <w:rFonts w:hint="default" w:ascii="Times New Roman" w:hAnsi="Times New Roman" w:eastAsia="宋体" w:cs="Times New Roman"/>
                <w:color w:val="auto"/>
                <w:sz w:val="24"/>
                <w:szCs w:val="24"/>
                <w:highlight w:val="none"/>
                <w:lang w:val="en-US" w:eastAsia="zh-CN"/>
              </w:rPr>
              <w:t>设计手册》</w:t>
            </w:r>
            <w:r>
              <w:rPr>
                <w:rFonts w:hint="eastAsia" w:ascii="Times New Roman" w:hAnsi="Times New Roman" w:eastAsia="宋体" w:cs="Times New Roman"/>
                <w:color w:val="auto"/>
                <w:sz w:val="24"/>
                <w:szCs w:val="24"/>
                <w:highlight w:val="none"/>
                <w:lang w:val="en-US" w:eastAsia="zh-CN"/>
              </w:rPr>
              <w:t>（修订版）</w:t>
            </w:r>
            <w:r>
              <w:rPr>
                <w:rFonts w:hint="default" w:ascii="Times New Roman" w:hAnsi="Times New Roman" w:eastAsia="宋体" w:cs="Times New Roman"/>
                <w:color w:val="auto"/>
                <w:sz w:val="24"/>
                <w:szCs w:val="24"/>
                <w:highlight w:val="none"/>
                <w:lang w:val="en-US" w:eastAsia="zh-CN"/>
              </w:rPr>
              <w:t>，单个集气罩集气风量计算公式：</w:t>
            </w:r>
          </w:p>
          <w:p w14:paraId="3134227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L=kPHv</w:t>
            </w:r>
            <w:r>
              <w:rPr>
                <w:rFonts w:hint="eastAsia" w:ascii="Times New Roman" w:hAnsi="Times New Roman" w:eastAsia="宋体" w:cs="Times New Roman"/>
                <w:color w:val="auto"/>
                <w:sz w:val="24"/>
                <w:szCs w:val="24"/>
                <w:highlight w:val="none"/>
                <w:vertAlign w:val="subscript"/>
                <w:lang w:val="en-US" w:eastAsia="zh-CN"/>
              </w:rPr>
              <w:t>x</w:t>
            </w:r>
          </w:p>
          <w:p w14:paraId="1CFD909B">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r>
              <w:rPr>
                <w:rFonts w:hint="eastAsia"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lang w:val="en-US" w:eastAsia="zh-CN"/>
              </w:rPr>
              <w:t>——为集气罩集气风量，单位为m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p>
          <w:p w14:paraId="63A97BD5">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K——为安全系数1.4；</w:t>
            </w:r>
          </w:p>
          <w:p w14:paraId="3CFC91E8">
            <w:pPr>
              <w:keepNext w:val="0"/>
              <w:keepLines w:val="0"/>
              <w:pageBreakBefore w:val="0"/>
              <w:widowControl w:val="0"/>
              <w:kinsoku/>
              <w:wordWrap/>
              <w:overflowPunct/>
              <w:topLinePunct w:val="0"/>
              <w:autoSpaceDE/>
              <w:autoSpaceDN/>
              <w:bidi w:val="0"/>
              <w:adjustRightInd w:val="0"/>
              <w:snapToGrid w:val="0"/>
              <w:spacing w:line="348"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排风罩口敞开面的周长</w:t>
            </w:r>
            <w:r>
              <w:rPr>
                <w:rFonts w:hint="default" w:ascii="Times New Roman" w:hAnsi="Times New Roman" w:eastAsia="宋体" w:cs="Times New Roman"/>
                <w:color w:val="auto"/>
                <w:sz w:val="24"/>
                <w:szCs w:val="24"/>
                <w:highlight w:val="none"/>
                <w:lang w:val="en-US" w:eastAsia="zh-CN"/>
              </w:rPr>
              <w:t>，单位为</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w:t>
            </w:r>
          </w:p>
          <w:p w14:paraId="45ABE226">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lang w:val="en-US" w:eastAsia="zh-CN"/>
              </w:rPr>
              <w:t>——为罩口至污染源的距离，单位为m，本次取</w:t>
            </w:r>
            <w:r>
              <w:rPr>
                <w:rFonts w:hint="eastAsia"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lang w:val="en-US" w:eastAsia="zh-CN"/>
              </w:rPr>
              <w:t>m；</w:t>
            </w:r>
          </w:p>
          <w:p w14:paraId="0D5438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eastAsia="宋体" w:cs="Times New Roman"/>
                <w:color w:val="auto"/>
                <w:sz w:val="24"/>
                <w:szCs w:val="24"/>
                <w:highlight w:val="none"/>
                <w:lang w:val="en-US" w:eastAsia="zh-CN"/>
              </w:rPr>
              <w:t xml:space="preserve">      V</w:t>
            </w:r>
            <w:r>
              <w:rPr>
                <w:rFonts w:hint="eastAsia" w:ascii="Times New Roman" w:hAnsi="Times New Roman" w:eastAsia="宋体" w:cs="Times New Roman"/>
                <w:color w:val="auto"/>
                <w:sz w:val="24"/>
                <w:szCs w:val="24"/>
                <w:highlight w:val="none"/>
                <w:lang w:val="en-US" w:eastAsia="zh-CN"/>
              </w:rPr>
              <w:t>x</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污染源气体流速，一般在0.5m/s~1.5m/s，</w:t>
            </w:r>
            <w:r>
              <w:rPr>
                <w:rFonts w:hint="eastAsia" w:ascii="Times New Roman" w:hAnsi="Times New Roman" w:eastAsia="宋体" w:cs="Times New Roman"/>
                <w:color w:val="auto"/>
                <w:sz w:val="24"/>
                <w:szCs w:val="24"/>
                <w:highlight w:val="none"/>
                <w:lang w:val="en-US" w:eastAsia="zh-CN"/>
              </w:rPr>
              <w:t>按照《环境工程设计手册》中的有关公式，烟尘废气收集系统或设备的控制风速要在0.6m/s以上，</w:t>
            </w:r>
            <w:r>
              <w:rPr>
                <w:rFonts w:hint="default" w:ascii="Times New Roman" w:hAnsi="Times New Roman" w:eastAsia="宋体" w:cs="Times New Roman"/>
                <w:color w:val="auto"/>
                <w:sz w:val="24"/>
                <w:szCs w:val="24"/>
                <w:highlight w:val="none"/>
                <w:lang w:val="en-US" w:eastAsia="zh-CN"/>
              </w:rPr>
              <w:t>本次评价取均值</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m/s</w:t>
            </w:r>
          </w:p>
          <w:p w14:paraId="4C7DA4D7">
            <w:pPr>
              <w:pStyle w:val="16"/>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napToGrid w:val="0"/>
                <w:color w:val="auto"/>
                <w:sz w:val="24"/>
                <w:szCs w:val="21"/>
                <w:highlight w:val="none"/>
                <w:lang w:val="en-US" w:eastAsia="zh-CN" w:bidi="ar-SA"/>
              </w:rPr>
            </w:pPr>
            <w:r>
              <w:rPr>
                <w:rFonts w:hint="eastAsia" w:ascii="Times New Roman" w:hAnsi="Times New Roman" w:eastAsia="宋体" w:cs="Times New Roman"/>
                <w:snapToGrid w:val="0"/>
                <w:color w:val="auto"/>
                <w:sz w:val="24"/>
                <w:szCs w:val="21"/>
                <w:highlight w:val="none"/>
                <w:lang w:val="en-US" w:eastAsia="zh-CN" w:bidi="ar-SA"/>
              </w:rPr>
              <w:t>计算得出本项目单个集气罩所需的风机风量为</w:t>
            </w:r>
            <w:r>
              <w:rPr>
                <w:rFonts w:hint="eastAsia" w:cs="Times New Roman"/>
                <w:snapToGrid w:val="0"/>
                <w:color w:val="auto"/>
                <w:sz w:val="24"/>
                <w:szCs w:val="21"/>
                <w:highlight w:val="none"/>
                <w:lang w:val="en-US" w:eastAsia="zh-CN" w:bidi="ar-SA"/>
              </w:rPr>
              <w:t>7056</w:t>
            </w:r>
            <w:r>
              <w:rPr>
                <w:rFonts w:ascii="Times New Roman" w:hAnsi="Times New Roman" w:eastAsia="宋体" w:cs="Times New Roman"/>
                <w:snapToGrid w:val="0"/>
                <w:color w:val="auto"/>
                <w:sz w:val="24"/>
                <w:szCs w:val="21"/>
                <w:highlight w:val="none"/>
                <w:lang w:val="en-US" w:eastAsia="zh-CN" w:bidi="ar-SA"/>
              </w:rPr>
              <w:t>m</w:t>
            </w:r>
            <w:r>
              <w:rPr>
                <w:rFonts w:ascii="Times New Roman" w:hAnsi="Times New Roman" w:eastAsia="宋体" w:cs="Times New Roman"/>
                <w:snapToGrid w:val="0"/>
                <w:color w:val="auto"/>
                <w:sz w:val="24"/>
                <w:szCs w:val="21"/>
                <w:highlight w:val="none"/>
                <w:vertAlign w:val="superscript"/>
                <w:lang w:val="en-US" w:eastAsia="zh-CN" w:bidi="ar-SA"/>
              </w:rPr>
              <w:t>3</w:t>
            </w:r>
            <w:r>
              <w:rPr>
                <w:rFonts w:ascii="Times New Roman" w:hAnsi="Times New Roman" w:eastAsia="宋体" w:cs="Times New Roman"/>
                <w:snapToGrid w:val="0"/>
                <w:color w:val="auto"/>
                <w:sz w:val="24"/>
                <w:szCs w:val="21"/>
                <w:highlight w:val="none"/>
                <w:lang w:val="en-US" w:eastAsia="zh-CN" w:bidi="ar-SA"/>
              </w:rPr>
              <w:t>/h</w:t>
            </w:r>
            <w:r>
              <w:rPr>
                <w:rFonts w:hint="eastAsia" w:ascii="Times New Roman" w:hAnsi="Times New Roman" w:eastAsia="宋体" w:cs="Times New Roman"/>
                <w:snapToGrid w:val="0"/>
                <w:color w:val="auto"/>
                <w:sz w:val="24"/>
                <w:szCs w:val="21"/>
                <w:highlight w:val="none"/>
                <w:lang w:val="en-US" w:eastAsia="zh-CN" w:bidi="ar-SA"/>
              </w:rPr>
              <w:t>，项目</w:t>
            </w:r>
            <w:r>
              <w:rPr>
                <w:rFonts w:hint="eastAsia" w:cs="Times New Roman"/>
                <w:snapToGrid w:val="0"/>
                <w:color w:val="auto"/>
                <w:sz w:val="24"/>
                <w:szCs w:val="21"/>
                <w:highlight w:val="none"/>
                <w:lang w:val="en-US" w:eastAsia="zh-CN" w:bidi="ar-SA"/>
              </w:rPr>
              <w:t>进</w:t>
            </w:r>
            <w:r>
              <w:rPr>
                <w:rFonts w:hint="eastAsia" w:ascii="Times New Roman" w:hAnsi="Times New Roman" w:eastAsia="宋体" w:cs="Times New Roman"/>
                <w:snapToGrid w:val="0"/>
                <w:color w:val="auto"/>
                <w:sz w:val="24"/>
                <w:szCs w:val="21"/>
                <w:highlight w:val="none"/>
                <w:lang w:val="en-US" w:eastAsia="zh-CN" w:bidi="ar-SA"/>
              </w:rPr>
              <w:t>出口</w:t>
            </w:r>
            <w:r>
              <w:rPr>
                <w:rFonts w:hint="eastAsia" w:cs="Times New Roman"/>
                <w:snapToGrid w:val="0"/>
                <w:color w:val="auto"/>
                <w:sz w:val="24"/>
                <w:szCs w:val="21"/>
                <w:highlight w:val="none"/>
                <w:lang w:val="en-US" w:eastAsia="zh-CN" w:bidi="ar-SA"/>
              </w:rPr>
              <w:t>各</w:t>
            </w:r>
            <w:r>
              <w:rPr>
                <w:rFonts w:hint="eastAsia" w:ascii="Times New Roman" w:hAnsi="Times New Roman" w:eastAsia="宋体" w:cs="Times New Roman"/>
                <w:snapToGrid w:val="0"/>
                <w:color w:val="auto"/>
                <w:sz w:val="24"/>
                <w:szCs w:val="21"/>
                <w:highlight w:val="none"/>
                <w:lang w:val="en-US" w:eastAsia="zh-CN" w:bidi="ar-SA"/>
              </w:rPr>
              <w:t>设置一个</w:t>
            </w:r>
            <w:r>
              <w:rPr>
                <w:rFonts w:hint="eastAsia" w:cs="Times New Roman"/>
                <w:snapToGrid w:val="0"/>
                <w:color w:val="auto"/>
                <w:sz w:val="24"/>
                <w:szCs w:val="21"/>
                <w:highlight w:val="none"/>
                <w:lang w:val="en-US" w:eastAsia="zh-CN" w:bidi="ar-SA"/>
              </w:rPr>
              <w:t>集气罩</w:t>
            </w:r>
            <w:r>
              <w:rPr>
                <w:rFonts w:hint="eastAsia" w:ascii="Times New Roman" w:hAnsi="Times New Roman" w:eastAsia="宋体" w:cs="Times New Roman"/>
                <w:snapToGrid w:val="0"/>
                <w:color w:val="auto"/>
                <w:sz w:val="24"/>
                <w:szCs w:val="21"/>
                <w:highlight w:val="none"/>
                <w:lang w:val="en-US" w:eastAsia="zh-CN" w:bidi="ar-SA"/>
              </w:rPr>
              <w:t>，考虑</w:t>
            </w:r>
            <w:r>
              <w:rPr>
                <w:rFonts w:hint="eastAsia" w:cs="Times New Roman"/>
                <w:snapToGrid w:val="0"/>
                <w:color w:val="auto"/>
                <w:sz w:val="24"/>
                <w:szCs w:val="21"/>
                <w:highlight w:val="none"/>
                <w:lang w:val="en-US" w:eastAsia="zh-CN" w:bidi="ar-SA"/>
              </w:rPr>
              <w:t>风阻</w:t>
            </w:r>
            <w:r>
              <w:rPr>
                <w:rFonts w:hint="eastAsia" w:cs="Times New Roman"/>
                <w:color w:val="auto"/>
                <w:sz w:val="24"/>
                <w:szCs w:val="24"/>
                <w:highlight w:val="none"/>
                <w:lang w:val="en-US" w:eastAsia="zh-CN"/>
              </w:rPr>
              <w:t>（&gt;1500m³/h）</w:t>
            </w:r>
            <w:r>
              <w:rPr>
                <w:rFonts w:hint="eastAsia" w:ascii="Times New Roman" w:hAnsi="Times New Roman" w:eastAsia="宋体" w:cs="Times New Roman"/>
                <w:snapToGrid w:val="0"/>
                <w:color w:val="auto"/>
                <w:sz w:val="24"/>
                <w:szCs w:val="21"/>
                <w:highlight w:val="none"/>
                <w:lang w:val="en-US" w:eastAsia="zh-CN" w:bidi="ar-SA"/>
              </w:rPr>
              <w:t>，则风机风量为</w:t>
            </w:r>
            <w:r>
              <w:rPr>
                <w:rFonts w:hint="eastAsia" w:cs="Times New Roman"/>
                <w:snapToGrid w:val="0"/>
                <w:color w:val="auto"/>
                <w:sz w:val="24"/>
                <w:szCs w:val="21"/>
                <w:highlight w:val="none"/>
                <w:lang w:val="en-US" w:eastAsia="zh-CN" w:bidi="ar-SA"/>
              </w:rPr>
              <w:t>15000</w:t>
            </w:r>
            <w:r>
              <w:rPr>
                <w:rFonts w:ascii="Times New Roman" w:hAnsi="Times New Roman" w:eastAsia="宋体" w:cs="Times New Roman"/>
                <w:snapToGrid w:val="0"/>
                <w:color w:val="auto"/>
                <w:sz w:val="24"/>
                <w:szCs w:val="21"/>
                <w:highlight w:val="none"/>
                <w:lang w:val="en-US" w:eastAsia="zh-CN" w:bidi="ar-SA"/>
              </w:rPr>
              <w:t>m</w:t>
            </w:r>
            <w:r>
              <w:rPr>
                <w:rFonts w:ascii="Times New Roman" w:hAnsi="Times New Roman" w:eastAsia="宋体" w:cs="Times New Roman"/>
                <w:snapToGrid w:val="0"/>
                <w:color w:val="auto"/>
                <w:sz w:val="24"/>
                <w:szCs w:val="21"/>
                <w:highlight w:val="none"/>
                <w:vertAlign w:val="superscript"/>
                <w:lang w:val="en-US" w:eastAsia="zh-CN" w:bidi="ar-SA"/>
              </w:rPr>
              <w:t>3</w:t>
            </w:r>
            <w:r>
              <w:rPr>
                <w:rFonts w:ascii="Times New Roman" w:hAnsi="Times New Roman" w:eastAsia="宋体" w:cs="Times New Roman"/>
                <w:snapToGrid w:val="0"/>
                <w:color w:val="auto"/>
                <w:sz w:val="24"/>
                <w:szCs w:val="21"/>
                <w:highlight w:val="none"/>
                <w:lang w:val="en-US" w:eastAsia="zh-CN" w:bidi="ar-SA"/>
              </w:rPr>
              <w:t>/h</w:t>
            </w:r>
            <w:r>
              <w:rPr>
                <w:rFonts w:hint="eastAsia" w:ascii="Times New Roman" w:hAnsi="Times New Roman" w:eastAsia="宋体" w:cs="Times New Roman"/>
                <w:snapToGrid w:val="0"/>
                <w:color w:val="auto"/>
                <w:sz w:val="24"/>
                <w:szCs w:val="21"/>
                <w:highlight w:val="none"/>
                <w:lang w:val="en-US" w:eastAsia="zh-CN" w:bidi="ar-SA"/>
              </w:rPr>
              <w:t>。</w:t>
            </w:r>
          </w:p>
          <w:p w14:paraId="09486F34">
            <w:pPr>
              <w:pStyle w:val="9"/>
              <w:keepNext w:val="0"/>
              <w:keepLines w:val="0"/>
              <w:pageBreakBefore w:val="0"/>
              <w:widowControl/>
              <w:kinsoku/>
              <w:wordWrap/>
              <w:overflowPunct/>
              <w:topLinePunct w:val="0"/>
              <w:autoSpaceDE w:val="0"/>
              <w:autoSpaceDN w:val="0"/>
              <w:bidi w:val="0"/>
              <w:adjustRightInd/>
              <w:snapToGrid/>
              <w:spacing w:before="0" w:after="0" w:line="360" w:lineRule="auto"/>
              <w:ind w:right="0" w:firstLine="480" w:firstLineChars="200"/>
              <w:jc w:val="both"/>
              <w:textAlignment w:val="baseline"/>
              <w:rPr>
                <w:rFonts w:hint="eastAsia"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（6）喷漆废气</w:t>
            </w:r>
          </w:p>
          <w:p w14:paraId="5F37F95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bidi="ar-SA"/>
              </w:rPr>
              <w:t>根据前文用漆量核算分析，</w:t>
            </w:r>
            <w:r>
              <w:rPr>
                <w:rFonts w:hint="eastAsia" w:ascii="Times New Roman" w:hAnsi="Times New Roman" w:eastAsia="宋体" w:cs="Times New Roman"/>
                <w:color w:val="auto"/>
                <w:kern w:val="2"/>
                <w:sz w:val="24"/>
                <w:szCs w:val="24"/>
                <w:highlight w:val="none"/>
                <w:lang w:val="en-US" w:eastAsia="zh-CN"/>
              </w:rPr>
              <w:t>水性底漆取</w:t>
            </w:r>
            <w:r>
              <w:rPr>
                <w:rFonts w:hint="eastAsia" w:cs="Times New Roman"/>
                <w:color w:val="auto"/>
                <w:kern w:val="2"/>
                <w:sz w:val="24"/>
                <w:szCs w:val="24"/>
                <w:highlight w:val="none"/>
                <w:lang w:val="en-US" w:eastAsia="zh-CN"/>
              </w:rPr>
              <w:t>32</w:t>
            </w:r>
            <w:r>
              <w:rPr>
                <w:rFonts w:hint="eastAsia" w:ascii="Times New Roman" w:hAnsi="Times New Roman" w:eastAsia="宋体" w:cs="Times New Roman"/>
                <w:color w:val="auto"/>
                <w:kern w:val="2"/>
                <w:sz w:val="24"/>
                <w:szCs w:val="24"/>
                <w:highlight w:val="none"/>
                <w:lang w:val="en-US" w:eastAsia="zh-CN"/>
              </w:rPr>
              <w:t>t/a，水性面漆取</w:t>
            </w:r>
            <w:r>
              <w:rPr>
                <w:rFonts w:hint="eastAsia" w:cs="Times New Roman"/>
                <w:color w:val="auto"/>
                <w:kern w:val="2"/>
                <w:sz w:val="24"/>
                <w:szCs w:val="24"/>
                <w:highlight w:val="none"/>
                <w:lang w:val="en-US" w:eastAsia="zh-CN"/>
              </w:rPr>
              <w:t>50.2</w:t>
            </w:r>
            <w:r>
              <w:rPr>
                <w:rFonts w:hint="eastAsia" w:ascii="Times New Roman" w:hAnsi="Times New Roman" w:eastAsia="宋体" w:cs="Times New Roman"/>
                <w:color w:val="auto"/>
                <w:kern w:val="2"/>
                <w:sz w:val="24"/>
                <w:szCs w:val="24"/>
                <w:highlight w:val="none"/>
                <w:lang w:val="en-US" w:eastAsia="zh-CN"/>
              </w:rPr>
              <w:t>t/a。根据企业提供的检测报告可知，水性底漆VOC含量为</w:t>
            </w:r>
            <w:r>
              <w:rPr>
                <w:rFonts w:hint="eastAsia" w:cs="Times New Roman"/>
                <w:color w:val="auto"/>
                <w:kern w:val="2"/>
                <w:sz w:val="24"/>
                <w:szCs w:val="24"/>
                <w:highlight w:val="none"/>
                <w:lang w:val="en-US" w:eastAsia="zh-CN"/>
              </w:rPr>
              <w:t>80</w:t>
            </w:r>
            <w:r>
              <w:rPr>
                <w:rFonts w:hint="eastAsia" w:ascii="Times New Roman" w:hAnsi="Times New Roman" w:eastAsia="宋体" w:cs="Times New Roman"/>
                <w:color w:val="auto"/>
                <w:kern w:val="2"/>
                <w:sz w:val="24"/>
                <w:szCs w:val="24"/>
                <w:highlight w:val="none"/>
                <w:lang w:val="en-US" w:eastAsia="zh-CN"/>
              </w:rPr>
              <w:t>g/L，水性面漆VOC含量为113g/L。经计算：项目水性面漆挥发性有机物产生量约</w:t>
            </w:r>
            <w:r>
              <w:rPr>
                <w:rFonts w:hint="eastAsia" w:cs="Times New Roman"/>
                <w:color w:val="auto"/>
                <w:kern w:val="2"/>
                <w:sz w:val="24"/>
                <w:szCs w:val="24"/>
                <w:highlight w:val="none"/>
                <w:lang w:val="en-US" w:eastAsia="zh-CN"/>
              </w:rPr>
              <w:t>4.1</w:t>
            </w:r>
            <w:r>
              <w:rPr>
                <w:rFonts w:hint="eastAsia" w:ascii="Times New Roman" w:hAnsi="Times New Roman" w:eastAsia="宋体" w:cs="Times New Roman"/>
                <w:color w:val="auto"/>
                <w:kern w:val="2"/>
                <w:sz w:val="24"/>
                <w:szCs w:val="24"/>
                <w:highlight w:val="none"/>
                <w:lang w:val="en-US" w:eastAsia="zh-CN"/>
              </w:rPr>
              <w:t>t/a，</w:t>
            </w:r>
            <w:r>
              <w:rPr>
                <w:rFonts w:hint="eastAsia" w:cs="Times New Roman"/>
                <w:color w:val="auto"/>
                <w:kern w:val="2"/>
                <w:sz w:val="24"/>
                <w:szCs w:val="24"/>
                <w:highlight w:val="none"/>
                <w:lang w:val="en-US" w:eastAsia="zh-CN"/>
              </w:rPr>
              <w:t>颗粒物产生量为8.414t/a，</w:t>
            </w:r>
            <w:r>
              <w:rPr>
                <w:rFonts w:hint="eastAsia" w:ascii="Times New Roman" w:hAnsi="Times New Roman" w:eastAsia="宋体" w:cs="Times New Roman"/>
                <w:color w:val="auto"/>
                <w:kern w:val="2"/>
                <w:sz w:val="24"/>
                <w:szCs w:val="24"/>
                <w:highlight w:val="none"/>
                <w:lang w:val="en-US" w:eastAsia="zh-CN"/>
              </w:rPr>
              <w:t>水性底漆挥发性有机物</w:t>
            </w:r>
            <w:r>
              <w:rPr>
                <w:rFonts w:hint="eastAsia" w:cs="Times New Roman"/>
                <w:color w:val="auto"/>
                <w:kern w:val="2"/>
                <w:sz w:val="24"/>
                <w:szCs w:val="24"/>
                <w:highlight w:val="none"/>
                <w:lang w:val="en-US" w:eastAsia="zh-CN"/>
              </w:rPr>
              <w:t>产生量</w:t>
            </w:r>
            <w:r>
              <w:rPr>
                <w:rFonts w:hint="eastAsia" w:ascii="Times New Roman" w:hAnsi="Times New Roman" w:eastAsia="宋体" w:cs="Times New Roman"/>
                <w:color w:val="auto"/>
                <w:kern w:val="2"/>
                <w:sz w:val="24"/>
                <w:szCs w:val="24"/>
                <w:highlight w:val="none"/>
                <w:lang w:val="en-US" w:eastAsia="zh-CN"/>
              </w:rPr>
              <w:t>为</w:t>
            </w:r>
            <w:r>
              <w:rPr>
                <w:rFonts w:hint="eastAsia" w:cs="Times New Roman"/>
                <w:color w:val="auto"/>
                <w:kern w:val="2"/>
                <w:sz w:val="24"/>
                <w:szCs w:val="24"/>
                <w:highlight w:val="none"/>
                <w:lang w:val="en-US" w:eastAsia="zh-CN"/>
              </w:rPr>
              <w:t>1.6</w:t>
            </w:r>
            <w:r>
              <w:rPr>
                <w:rFonts w:hint="eastAsia" w:ascii="Times New Roman" w:hAnsi="Times New Roman" w:eastAsia="宋体" w:cs="Times New Roman"/>
                <w:color w:val="auto"/>
                <w:kern w:val="2"/>
                <w:sz w:val="24"/>
                <w:szCs w:val="24"/>
                <w:highlight w:val="none"/>
                <w:lang w:val="en-US" w:eastAsia="zh-CN"/>
              </w:rPr>
              <w:t>t/a</w:t>
            </w:r>
            <w:r>
              <w:rPr>
                <w:rFonts w:hint="eastAsia" w:cs="Times New Roman"/>
                <w:color w:val="auto"/>
                <w:kern w:val="2"/>
                <w:sz w:val="24"/>
                <w:szCs w:val="24"/>
                <w:highlight w:val="none"/>
                <w:lang w:val="en-US" w:eastAsia="zh-CN"/>
              </w:rPr>
              <w:t>，颗粒物产生量为9.6t/a。喷漆废气</w:t>
            </w:r>
            <w:r>
              <w:rPr>
                <w:rFonts w:hint="default" w:ascii="Times New Roman" w:hAnsi="Times New Roman" w:eastAsia="宋体" w:cs="Times New Roman"/>
                <w:b w:val="0"/>
                <w:bCs w:val="0"/>
                <w:color w:val="auto"/>
                <w:sz w:val="24"/>
                <w:szCs w:val="24"/>
                <w:highlight w:val="none"/>
                <w:lang w:val="en-US" w:eastAsia="zh-CN"/>
              </w:rPr>
              <w:t>经密闭负压收集后通过干式过滤+二级活性炭吸附装置，收集效率</w:t>
            </w:r>
            <w:r>
              <w:rPr>
                <w:rFonts w:hint="default" w:ascii="Times New Roman" w:hAnsi="Times New Roman" w:cs="Times New Roman"/>
                <w:b w:val="0"/>
                <w:bCs w:val="0"/>
                <w:color w:val="auto"/>
                <w:sz w:val="24"/>
                <w:szCs w:val="24"/>
                <w:highlight w:val="none"/>
                <w:lang w:val="en-US" w:eastAsia="zh-CN"/>
              </w:rPr>
              <w:t>均为</w:t>
            </w:r>
            <w:r>
              <w:rPr>
                <w:rFonts w:hint="default" w:ascii="Times New Roman" w:hAnsi="Times New Roman" w:eastAsia="宋体" w:cs="Times New Roman"/>
                <w:b w:val="0"/>
                <w:bCs w:val="0"/>
                <w:color w:val="auto"/>
                <w:sz w:val="24"/>
                <w:szCs w:val="24"/>
                <w:highlight w:val="none"/>
                <w:lang w:val="en-US" w:eastAsia="zh-CN"/>
              </w:rPr>
              <w:t>95%，处理效率</w:t>
            </w:r>
            <w:r>
              <w:rPr>
                <w:rFonts w:hint="default" w:ascii="Times New Roman" w:hAnsi="Times New Roman" w:cs="Times New Roman"/>
                <w:b w:val="0"/>
                <w:bCs w:val="0"/>
                <w:color w:val="auto"/>
                <w:sz w:val="24"/>
                <w:szCs w:val="24"/>
                <w:highlight w:val="none"/>
                <w:lang w:val="en-US" w:eastAsia="zh-CN"/>
              </w:rPr>
              <w:t>均为</w:t>
            </w:r>
            <w:r>
              <w:rPr>
                <w:rFonts w:hint="default" w:ascii="Times New Roman" w:hAnsi="Times New Roman" w:eastAsia="宋体" w:cs="Times New Roman"/>
                <w:b w:val="0"/>
                <w:bCs w:val="0"/>
                <w:color w:val="auto"/>
                <w:sz w:val="24"/>
                <w:szCs w:val="24"/>
                <w:highlight w:val="none"/>
                <w:lang w:val="en-US" w:eastAsia="zh-CN"/>
              </w:rPr>
              <w:t>90%。</w:t>
            </w:r>
          </w:p>
          <w:p w14:paraId="3C9ACBAB">
            <w:pPr>
              <w:pStyle w:val="4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项目烘干与固化共用一套设备，</w:t>
            </w:r>
            <w:r>
              <w:rPr>
                <w:rFonts w:hint="eastAsia" w:eastAsia="宋体" w:cs="Times New Roman"/>
                <w:b w:val="0"/>
                <w:bCs w:val="0"/>
                <w:color w:val="auto"/>
                <w:sz w:val="24"/>
                <w:szCs w:val="24"/>
                <w:highlight w:val="none"/>
                <w:lang w:val="en-US" w:eastAsia="zh-CN"/>
              </w:rPr>
              <w:t>因固化时间较长，温度较高，项目在运作期间，固化之后残留的余温即可用于喷漆烘干使用，因此烘干工序与固化工序</w:t>
            </w:r>
            <w:r>
              <w:rPr>
                <w:rFonts w:hint="eastAsia" w:ascii="Times New Roman" w:hAnsi="Times New Roman" w:eastAsia="宋体" w:cs="Times New Roman"/>
                <w:b w:val="0"/>
                <w:bCs w:val="0"/>
                <w:color w:val="auto"/>
                <w:sz w:val="24"/>
                <w:szCs w:val="24"/>
                <w:highlight w:val="none"/>
                <w:lang w:val="en-US" w:eastAsia="zh-CN"/>
              </w:rPr>
              <w:t>错开时间，</w:t>
            </w:r>
            <w:r>
              <w:rPr>
                <w:rFonts w:hint="eastAsia" w:eastAsia="宋体" w:cs="Times New Roman"/>
                <w:b w:val="0"/>
                <w:bCs w:val="0"/>
                <w:color w:val="auto"/>
                <w:sz w:val="24"/>
                <w:szCs w:val="24"/>
                <w:highlight w:val="none"/>
                <w:lang w:val="en-US" w:eastAsia="zh-CN"/>
              </w:rPr>
              <w:t>一般情况下固化在前，烘干在后。</w:t>
            </w:r>
            <w:r>
              <w:rPr>
                <w:rFonts w:hint="eastAsia" w:ascii="Times New Roman" w:hAnsi="Times New Roman" w:eastAsia="宋体" w:cs="Times New Roman"/>
                <w:b w:val="0"/>
                <w:bCs w:val="0"/>
                <w:color w:val="auto"/>
                <w:sz w:val="24"/>
                <w:szCs w:val="24"/>
                <w:highlight w:val="none"/>
                <w:lang w:val="en-US" w:eastAsia="zh-CN"/>
              </w:rPr>
              <w:t>考虑到油漆喷涂过程中产生的</w:t>
            </w:r>
            <w:r>
              <w:rPr>
                <w:rFonts w:hint="eastAsia" w:eastAsia="宋体" w:cs="Times New Roman"/>
                <w:b w:val="0"/>
                <w:bCs w:val="0"/>
                <w:color w:val="auto"/>
                <w:sz w:val="24"/>
                <w:szCs w:val="24"/>
                <w:highlight w:val="none"/>
                <w:lang w:val="en-US" w:eastAsia="zh-CN"/>
              </w:rPr>
              <w:t>挥发份</w:t>
            </w:r>
            <w:r>
              <w:rPr>
                <w:rFonts w:hint="eastAsia" w:ascii="Times New Roman" w:hAnsi="Times New Roman" w:eastAsia="宋体" w:cs="Times New Roman"/>
                <w:b w:val="0"/>
                <w:bCs w:val="0"/>
                <w:color w:val="auto"/>
                <w:sz w:val="24"/>
                <w:szCs w:val="24"/>
                <w:highlight w:val="none"/>
                <w:lang w:val="en-US" w:eastAsia="zh-CN"/>
              </w:rPr>
              <w:t>，喷漆工序产生的非甲烷总烃取40%，烘干工序产生的非甲烷总烃取60%，则喷漆工序产生量为</w:t>
            </w:r>
            <w:r>
              <w:rPr>
                <w:rFonts w:hint="eastAsia" w:eastAsia="宋体" w:cs="Times New Roman"/>
                <w:b w:val="0"/>
                <w:bCs w:val="0"/>
                <w:color w:val="auto"/>
                <w:sz w:val="24"/>
                <w:szCs w:val="24"/>
                <w:highlight w:val="none"/>
                <w:lang w:val="en-US" w:eastAsia="zh-CN"/>
              </w:rPr>
              <w:t>2.28</w:t>
            </w:r>
            <w:r>
              <w:rPr>
                <w:rFonts w:hint="eastAsia" w:ascii="Times New Roman" w:hAnsi="Times New Roman" w:eastAsia="宋体" w:cs="Times New Roman"/>
                <w:b w:val="0"/>
                <w:bCs w:val="0"/>
                <w:color w:val="auto"/>
                <w:sz w:val="24"/>
                <w:szCs w:val="24"/>
                <w:highlight w:val="none"/>
                <w:lang w:val="en-US" w:eastAsia="zh-CN"/>
              </w:rPr>
              <w:t>t/a，烘干工序产生的非甲烷总烃产生量为</w:t>
            </w:r>
            <w:r>
              <w:rPr>
                <w:rFonts w:hint="eastAsia" w:eastAsia="宋体" w:cs="Times New Roman"/>
                <w:b w:val="0"/>
                <w:bCs w:val="0"/>
                <w:color w:val="auto"/>
                <w:sz w:val="24"/>
                <w:szCs w:val="24"/>
                <w:highlight w:val="none"/>
                <w:lang w:val="en-US" w:eastAsia="zh-CN"/>
              </w:rPr>
              <w:t>3.42</w:t>
            </w:r>
            <w:r>
              <w:rPr>
                <w:rFonts w:hint="eastAsia" w:ascii="Times New Roman" w:hAnsi="Times New Roman" w:eastAsia="宋体" w:cs="Times New Roman"/>
                <w:b w:val="0"/>
                <w:bCs w:val="0"/>
                <w:color w:val="auto"/>
                <w:sz w:val="24"/>
                <w:szCs w:val="24"/>
                <w:highlight w:val="none"/>
                <w:lang w:val="en-US" w:eastAsia="zh-CN"/>
              </w:rPr>
              <w:t>t/a。经计算喷漆工序非甲烷总烃有组织排放量为</w:t>
            </w:r>
            <w:r>
              <w:rPr>
                <w:rFonts w:hint="eastAsia" w:eastAsia="宋体" w:cs="Times New Roman"/>
                <w:b w:val="0"/>
                <w:bCs w:val="0"/>
                <w:color w:val="auto"/>
                <w:sz w:val="24"/>
                <w:szCs w:val="24"/>
                <w:highlight w:val="none"/>
                <w:lang w:val="en-US" w:eastAsia="zh-CN"/>
              </w:rPr>
              <w:t>0.217</w:t>
            </w:r>
            <w:r>
              <w:rPr>
                <w:rFonts w:hint="eastAsia" w:ascii="Times New Roman" w:hAnsi="Times New Roman" w:eastAsia="宋体" w:cs="Times New Roman"/>
                <w:b w:val="0"/>
                <w:bCs w:val="0"/>
                <w:color w:val="auto"/>
                <w:sz w:val="24"/>
                <w:szCs w:val="24"/>
                <w:highlight w:val="none"/>
                <w:lang w:val="en-US" w:eastAsia="zh-CN"/>
              </w:rPr>
              <w:t>t/a。烘干工序非甲烷总烃有组织排放量为</w:t>
            </w:r>
            <w:r>
              <w:rPr>
                <w:rFonts w:hint="eastAsia" w:eastAsia="宋体" w:cs="Times New Roman"/>
                <w:b w:val="0"/>
                <w:bCs w:val="0"/>
                <w:color w:val="auto"/>
                <w:sz w:val="24"/>
                <w:szCs w:val="24"/>
                <w:highlight w:val="none"/>
                <w:lang w:val="en-US" w:eastAsia="zh-CN"/>
              </w:rPr>
              <w:t>0.325</w:t>
            </w:r>
            <w:r>
              <w:rPr>
                <w:rFonts w:hint="eastAsia" w:ascii="Times New Roman" w:hAnsi="Times New Roman" w:eastAsia="宋体" w:cs="Times New Roman"/>
                <w:b w:val="0"/>
                <w:bCs w:val="0"/>
                <w:color w:val="auto"/>
                <w:sz w:val="24"/>
                <w:szCs w:val="24"/>
                <w:highlight w:val="none"/>
                <w:lang w:val="en-US" w:eastAsia="zh-CN"/>
              </w:rPr>
              <w:t>t/a。</w:t>
            </w:r>
          </w:p>
          <w:p w14:paraId="45B526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0"/>
                <w:highlight w:val="none"/>
                <w:lang w:val="en-US" w:eastAsia="zh-CN" w:bidi="ar"/>
              </w:rPr>
            </w:pPr>
            <w:r>
              <w:rPr>
                <w:rFonts w:hint="eastAsia" w:cs="Times New Roman"/>
                <w:color w:val="auto"/>
                <w:kern w:val="2"/>
                <w:sz w:val="24"/>
                <w:szCs w:val="24"/>
                <w:highlight w:val="none"/>
                <w:lang w:val="en-US" w:eastAsia="zh-CN"/>
              </w:rPr>
              <w:t>企业设置1座底漆喷涂室和1座面漆喷涂室，产品先经过底漆喷涂室喷涂后直接由导轨运至面漆喷漆室喷涂，喷涂之后的产品再由导轨进入固化区域进行烘干，尺寸分别为：</w:t>
            </w:r>
            <w:r>
              <w:rPr>
                <w:rFonts w:hint="default" w:ascii="Times New Roman" w:hAnsi="Times New Roman" w:cs="Times New Roman"/>
                <w:color w:val="auto"/>
                <w:sz w:val="24"/>
                <w:szCs w:val="24"/>
                <w:highlight w:val="none"/>
                <w:lang w:eastAsia="zh-CN"/>
              </w:rPr>
              <w:t>L</w:t>
            </w:r>
            <w:r>
              <w:rPr>
                <w:rFonts w:hint="eastAsia" w:ascii="Times New Roman" w:hAnsi="Times New Roman" w:cs="Times New Roman"/>
                <w:color w:val="auto"/>
                <w:sz w:val="24"/>
                <w:szCs w:val="24"/>
                <w:highlight w:val="none"/>
                <w:lang w:val="en-US" w:eastAsia="zh-CN"/>
              </w:rPr>
              <w:t>11</w:t>
            </w:r>
            <w:r>
              <w:rPr>
                <w:rFonts w:hint="default" w:ascii="Times New Roman" w:hAnsi="Times New Roman" w:cs="Times New Roman"/>
                <w:color w:val="auto"/>
                <w:sz w:val="24"/>
                <w:szCs w:val="24"/>
                <w:highlight w:val="none"/>
                <w:lang w:eastAsia="zh-CN"/>
              </w:rPr>
              <w:t>m×W</w:t>
            </w:r>
            <w:r>
              <w:rPr>
                <w:rFonts w:hint="eastAsia" w:ascii="Times New Roman" w:hAnsi="Times New Roman" w:cs="Times New Roman"/>
                <w:color w:val="auto"/>
                <w:sz w:val="24"/>
                <w:szCs w:val="24"/>
                <w:highlight w:val="none"/>
                <w:lang w:val="en-US" w:eastAsia="zh-CN"/>
              </w:rPr>
              <w:t>5.2</w:t>
            </w:r>
            <w:r>
              <w:rPr>
                <w:rFonts w:hint="default" w:ascii="Times New Roman" w:hAnsi="Times New Roman" w:cs="Times New Roman"/>
                <w:color w:val="auto"/>
                <w:sz w:val="24"/>
                <w:szCs w:val="24"/>
                <w:highlight w:val="none"/>
                <w:lang w:eastAsia="zh-CN"/>
              </w:rPr>
              <w:t>m×H</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m</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L</w:t>
            </w:r>
            <w:r>
              <w:rPr>
                <w:rFonts w:hint="eastAsia"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lang w:eastAsia="zh-CN"/>
              </w:rPr>
              <w:t>m×W</w:t>
            </w:r>
            <w:r>
              <w:rPr>
                <w:rFonts w:hint="eastAsia" w:ascii="Times New Roman" w:hAnsi="Times New Roman" w:cs="Times New Roman"/>
                <w:color w:val="auto"/>
                <w:sz w:val="24"/>
                <w:szCs w:val="24"/>
                <w:highlight w:val="none"/>
                <w:lang w:val="en-US" w:eastAsia="zh-CN"/>
              </w:rPr>
              <w:t>5.2</w:t>
            </w:r>
            <w:r>
              <w:rPr>
                <w:rFonts w:hint="default" w:ascii="Times New Roman" w:hAnsi="Times New Roman" w:cs="Times New Roman"/>
                <w:color w:val="auto"/>
                <w:sz w:val="24"/>
                <w:szCs w:val="24"/>
                <w:highlight w:val="none"/>
                <w:lang w:eastAsia="zh-CN"/>
              </w:rPr>
              <w:t>m×H</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m</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kern w:val="2"/>
                <w:sz w:val="24"/>
                <w:szCs w:val="24"/>
                <w:highlight w:val="none"/>
                <w:lang w:val="en-US" w:eastAsia="zh-CN"/>
              </w:rPr>
              <w:t>喷漆房采用密闭负压收集，</w:t>
            </w:r>
            <w:r>
              <w:rPr>
                <w:rFonts w:hint="eastAsia" w:cs="Times New Roman"/>
                <w:color w:val="auto"/>
                <w:kern w:val="2"/>
                <w:sz w:val="24"/>
                <w:szCs w:val="24"/>
                <w:highlight w:val="none"/>
                <w:lang w:val="en-US" w:eastAsia="zh-CN"/>
              </w:rPr>
              <w:t>考虑到人工喷涂时送风情况，</w:t>
            </w:r>
            <w:r>
              <w:rPr>
                <w:rFonts w:hint="default" w:ascii="Times New Roman" w:hAnsi="Times New Roman" w:cs="Times New Roman"/>
                <w:color w:val="auto"/>
                <w:kern w:val="2"/>
                <w:sz w:val="24"/>
                <w:szCs w:val="24"/>
                <w:highlight w:val="none"/>
                <w:lang w:val="en-US" w:eastAsia="zh-CN"/>
              </w:rPr>
              <w:t>工作时换风次数约为</w:t>
            </w:r>
            <w:r>
              <w:rPr>
                <w:rFonts w:hint="eastAsia" w:cs="Times New Roman"/>
                <w:color w:val="auto"/>
                <w:kern w:val="2"/>
                <w:sz w:val="24"/>
                <w:szCs w:val="24"/>
                <w:highlight w:val="none"/>
                <w:lang w:val="en-US" w:eastAsia="zh-CN"/>
              </w:rPr>
              <w:t>40</w:t>
            </w:r>
            <w:r>
              <w:rPr>
                <w:rFonts w:hint="default" w:ascii="Times New Roman" w:hAnsi="Times New Roman" w:cs="Times New Roman"/>
                <w:color w:val="auto"/>
                <w:kern w:val="2"/>
                <w:sz w:val="24"/>
                <w:szCs w:val="24"/>
                <w:highlight w:val="none"/>
                <w:lang w:val="en-US" w:eastAsia="zh-CN"/>
              </w:rPr>
              <w:t>次/小时，则风量为</w:t>
            </w:r>
            <w:r>
              <w:rPr>
                <w:rFonts w:hint="eastAsia" w:cs="Times New Roman"/>
                <w:color w:val="auto"/>
                <w:kern w:val="2"/>
                <w:sz w:val="24"/>
                <w:szCs w:val="24"/>
                <w:highlight w:val="none"/>
                <w:lang w:val="en-US" w:eastAsia="zh-CN"/>
              </w:rPr>
              <w:t>19136</w:t>
            </w:r>
            <w:r>
              <w:rPr>
                <w:rFonts w:hint="default" w:ascii="Times New Roman" w:hAnsi="Times New Roman" w:cs="Times New Roman"/>
                <w:color w:val="auto"/>
                <w:kern w:val="2"/>
                <w:sz w:val="24"/>
                <w:szCs w:val="24"/>
                <w:highlight w:val="none"/>
                <w:lang w:val="en-US" w:eastAsia="zh-CN"/>
              </w:rPr>
              <w:t>m</w:t>
            </w:r>
            <w:r>
              <w:rPr>
                <w:rFonts w:hint="default" w:ascii="Times New Roman" w:hAnsi="Times New Roman" w:cs="Times New Roman"/>
                <w:color w:val="auto"/>
                <w:kern w:val="2"/>
                <w:sz w:val="24"/>
                <w:szCs w:val="24"/>
                <w:highlight w:val="none"/>
                <w:vertAlign w:val="superscript"/>
                <w:lang w:val="en-US" w:eastAsia="zh-CN"/>
              </w:rPr>
              <w:t>3</w:t>
            </w:r>
            <w:r>
              <w:rPr>
                <w:rFonts w:hint="default" w:ascii="Times New Roman" w:hAnsi="Times New Roman" w:cs="Times New Roman"/>
                <w:color w:val="auto"/>
                <w:kern w:val="2"/>
                <w:sz w:val="24"/>
                <w:szCs w:val="24"/>
                <w:highlight w:val="none"/>
                <w:lang w:val="en-US" w:eastAsia="zh-CN"/>
              </w:rPr>
              <w:t>/h，考虑到风阻，风机设计风量为</w:t>
            </w:r>
            <w:r>
              <w:rPr>
                <w:rFonts w:hint="eastAsia" w:cs="Times New Roman"/>
                <w:color w:val="auto"/>
                <w:kern w:val="2"/>
                <w:sz w:val="24"/>
                <w:szCs w:val="24"/>
                <w:highlight w:val="none"/>
                <w:lang w:val="en-US" w:eastAsia="zh-CN"/>
              </w:rPr>
              <w:t>25000</w:t>
            </w:r>
            <w:r>
              <w:rPr>
                <w:rFonts w:hint="default" w:ascii="Times New Roman" w:hAnsi="Times New Roman" w:cs="Times New Roman"/>
                <w:color w:val="auto"/>
                <w:kern w:val="2"/>
                <w:sz w:val="24"/>
                <w:szCs w:val="24"/>
                <w:highlight w:val="none"/>
                <w:lang w:val="en-US" w:eastAsia="zh-CN"/>
              </w:rPr>
              <w:t>m</w:t>
            </w:r>
            <w:r>
              <w:rPr>
                <w:rFonts w:hint="default" w:ascii="Times New Roman" w:hAnsi="Times New Roman" w:cs="Times New Roman"/>
                <w:color w:val="auto"/>
                <w:kern w:val="2"/>
                <w:sz w:val="24"/>
                <w:szCs w:val="24"/>
                <w:highlight w:val="none"/>
                <w:vertAlign w:val="superscript"/>
                <w:lang w:val="en-US" w:eastAsia="zh-CN"/>
              </w:rPr>
              <w:t>3</w:t>
            </w:r>
            <w:r>
              <w:rPr>
                <w:rFonts w:hint="default" w:ascii="Times New Roman" w:hAnsi="Times New Roman" w:cs="Times New Roman"/>
                <w:color w:val="auto"/>
                <w:kern w:val="2"/>
                <w:sz w:val="24"/>
                <w:szCs w:val="24"/>
                <w:highlight w:val="none"/>
                <w:lang w:val="en-US" w:eastAsia="zh-CN"/>
              </w:rPr>
              <w:t>/h。</w:t>
            </w:r>
            <w:r>
              <w:rPr>
                <w:rFonts w:hint="eastAsia" w:cs="Times New Roman"/>
                <w:color w:val="auto"/>
                <w:kern w:val="2"/>
                <w:sz w:val="24"/>
                <w:szCs w:val="24"/>
                <w:highlight w:val="none"/>
                <w:lang w:val="en-US" w:eastAsia="zh-CN"/>
              </w:rPr>
              <w:t>项目年喷漆工作时间为1800h。</w:t>
            </w:r>
          </w:p>
          <w:p w14:paraId="4E8AF32F">
            <w:pPr>
              <w:pStyle w:val="9"/>
              <w:keepNext w:val="0"/>
              <w:keepLines w:val="0"/>
              <w:pageBreakBefore w:val="0"/>
              <w:widowControl/>
              <w:numPr>
                <w:ilvl w:val="0"/>
                <w:numId w:val="0"/>
              </w:numPr>
              <w:kinsoku/>
              <w:wordWrap/>
              <w:overflowPunct/>
              <w:topLinePunct w:val="0"/>
              <w:autoSpaceDE w:val="0"/>
              <w:autoSpaceDN w:val="0"/>
              <w:bidi w:val="0"/>
              <w:adjustRightInd/>
              <w:snapToGrid/>
              <w:spacing w:before="0" w:after="0" w:line="360" w:lineRule="auto"/>
              <w:ind w:right="0" w:rightChars="0" w:firstLine="480" w:firstLineChars="200"/>
              <w:jc w:val="both"/>
              <w:textAlignment w:val="baseline"/>
              <w:rPr>
                <w:rFonts w:hint="eastAsia"/>
                <w:color w:val="auto"/>
                <w:sz w:val="24"/>
                <w:highlight w:val="none"/>
                <w:lang w:val="en-US" w:eastAsia="zh-CN" w:bidi="ar"/>
              </w:rPr>
            </w:pPr>
            <w:r>
              <w:rPr>
                <w:rFonts w:hint="eastAsia" w:ascii="Times New Roman" w:hAnsi="Times New Roman" w:eastAsia="宋体" w:cs="Times New Roman"/>
                <w:color w:val="auto"/>
                <w:kern w:val="2"/>
                <w:sz w:val="24"/>
                <w:szCs w:val="20"/>
                <w:highlight w:val="none"/>
                <w:lang w:val="en-US" w:eastAsia="zh-CN" w:bidi="ar"/>
              </w:rPr>
              <w:t>（7）</w:t>
            </w:r>
            <w:r>
              <w:rPr>
                <w:rFonts w:hint="eastAsia"/>
                <w:color w:val="auto"/>
                <w:sz w:val="24"/>
                <w:highlight w:val="none"/>
                <w:lang w:val="en-US" w:eastAsia="zh-CN" w:bidi="ar"/>
              </w:rPr>
              <w:t>天然气燃烧废气</w:t>
            </w:r>
          </w:p>
          <w:p w14:paraId="42D921E7">
            <w:pPr>
              <w:pStyle w:val="9"/>
              <w:keepNext w:val="0"/>
              <w:keepLines w:val="0"/>
              <w:pageBreakBefore w:val="0"/>
              <w:widowControl/>
              <w:numPr>
                <w:ilvl w:val="0"/>
                <w:numId w:val="0"/>
              </w:numPr>
              <w:kinsoku/>
              <w:wordWrap/>
              <w:overflowPunct/>
              <w:topLinePunct w:val="0"/>
              <w:autoSpaceDE w:val="0"/>
              <w:autoSpaceDN w:val="0"/>
              <w:bidi w:val="0"/>
              <w:adjustRightInd/>
              <w:snapToGrid/>
              <w:spacing w:before="0" w:after="0" w:line="360" w:lineRule="auto"/>
              <w:ind w:right="0" w:rightChars="0" w:firstLine="480" w:firstLineChars="200"/>
              <w:jc w:val="both"/>
              <w:textAlignment w:val="baseline"/>
              <w:rPr>
                <w:rFonts w:hint="default" w:ascii="Times New Roman" w:hAnsi="Times New Roman" w:cs="Times New Roman"/>
                <w:color w:val="auto"/>
                <w:sz w:val="24"/>
                <w:highlight w:val="none"/>
                <w:lang w:val="en-US" w:eastAsia="zh-CN" w:bidi="ar"/>
              </w:rPr>
            </w:pPr>
            <w:r>
              <w:rPr>
                <w:rFonts w:hint="eastAsia"/>
                <w:color w:val="auto"/>
                <w:sz w:val="24"/>
                <w:highlight w:val="none"/>
                <w:lang w:val="en-US" w:eastAsia="zh-CN" w:bidi="ar"/>
              </w:rPr>
              <w:t>清洗后的半成品进入水分烘干道（外观</w:t>
            </w:r>
            <w:r>
              <w:rPr>
                <w:rFonts w:hint="default" w:ascii="Times New Roman" w:hAnsi="Times New Roman" w:cs="Times New Roman"/>
                <w:color w:val="auto"/>
                <w:sz w:val="24"/>
                <w:highlight w:val="none"/>
                <w:lang w:val="en-US" w:eastAsia="zh-CN" w:bidi="ar"/>
              </w:rPr>
              <w:t>尺寸</w:t>
            </w:r>
            <w:r>
              <w:rPr>
                <w:rFonts w:hint="eastAsia" w:cs="Times New Roman"/>
                <w:color w:val="auto"/>
                <w:sz w:val="24"/>
                <w:highlight w:val="none"/>
                <w:lang w:val="en-US" w:eastAsia="zh-CN" w:bidi="ar"/>
              </w:rPr>
              <w:t>31</w:t>
            </w:r>
            <w:r>
              <w:rPr>
                <w:rFonts w:hint="default" w:ascii="Times New Roman" w:hAnsi="Times New Roman" w:cs="Times New Roman"/>
                <w:color w:val="auto"/>
                <w:sz w:val="24"/>
                <w:highlight w:val="none"/>
                <w:lang w:val="en-US" w:eastAsia="zh-CN" w:bidi="ar"/>
              </w:rPr>
              <w:t>m×</w:t>
            </w:r>
            <w:r>
              <w:rPr>
                <w:rFonts w:hint="eastAsia" w:cs="Times New Roman"/>
                <w:color w:val="auto"/>
                <w:sz w:val="24"/>
                <w:highlight w:val="none"/>
                <w:lang w:val="en-US" w:eastAsia="zh-CN" w:bidi="ar"/>
              </w:rPr>
              <w:t>2.4</w:t>
            </w:r>
            <w:r>
              <w:rPr>
                <w:rFonts w:hint="eastAsia" w:ascii="Times New Roman" w:hAnsi="Times New Roman" w:cs="Times New Roman"/>
                <w:color w:val="auto"/>
                <w:sz w:val="24"/>
                <w:highlight w:val="none"/>
                <w:lang w:val="en-US" w:eastAsia="zh-CN" w:bidi="ar"/>
              </w:rPr>
              <w:t>m</w:t>
            </w:r>
            <w:r>
              <w:rPr>
                <w:rFonts w:hint="default" w:ascii="Times New Roman" w:hAnsi="Times New Roman" w:cs="Times New Roman"/>
                <w:color w:val="auto"/>
                <w:sz w:val="24"/>
                <w:highlight w:val="none"/>
                <w:lang w:val="en-US" w:eastAsia="zh-CN" w:bidi="ar"/>
              </w:rPr>
              <w:t>×</w:t>
            </w:r>
            <w:r>
              <w:rPr>
                <w:rFonts w:hint="eastAsia" w:cs="Times New Roman"/>
                <w:color w:val="auto"/>
                <w:sz w:val="24"/>
                <w:highlight w:val="none"/>
                <w:lang w:val="en-US" w:eastAsia="zh-CN" w:bidi="ar"/>
              </w:rPr>
              <w:t>5.1</w:t>
            </w:r>
            <w:r>
              <w:rPr>
                <w:rFonts w:hint="eastAsia" w:ascii="Times New Roman" w:hAnsi="Times New Roman" w:cs="Times New Roman"/>
                <w:color w:val="auto"/>
                <w:sz w:val="24"/>
                <w:highlight w:val="none"/>
                <w:lang w:val="en-US" w:eastAsia="zh-CN" w:bidi="ar"/>
              </w:rPr>
              <w:t>m），水分烘干道恒温段的加热方式</w:t>
            </w:r>
            <w:r>
              <w:rPr>
                <w:rFonts w:hint="eastAsia" w:cs="Times New Roman"/>
                <w:color w:val="auto"/>
                <w:sz w:val="24"/>
                <w:highlight w:val="none"/>
                <w:lang w:val="en-US" w:eastAsia="zh-CN" w:bidi="ar"/>
              </w:rPr>
              <w:t>是</w:t>
            </w:r>
            <w:r>
              <w:rPr>
                <w:rFonts w:hint="eastAsia" w:ascii="Times New Roman" w:hAnsi="Times New Roman" w:cs="Times New Roman"/>
                <w:color w:val="auto"/>
                <w:sz w:val="24"/>
                <w:highlight w:val="none"/>
                <w:lang w:val="en-US" w:eastAsia="zh-CN" w:bidi="ar"/>
              </w:rPr>
              <w:t>燃气直接加热，通过热风循环风机及循环管道，将烘道内的空气通过燃烧室循环加热，快速升温（100-120℃）。烘干时间约10分钟，</w:t>
            </w:r>
            <w:r>
              <w:rPr>
                <w:rFonts w:hint="eastAsia" w:cs="Times New Roman"/>
                <w:color w:val="auto"/>
                <w:sz w:val="24"/>
                <w:highlight w:val="none"/>
                <w:lang w:val="en-US" w:eastAsia="zh-CN" w:bidi="ar"/>
              </w:rPr>
              <w:t>除</w:t>
            </w:r>
            <w:r>
              <w:rPr>
                <w:rFonts w:hint="eastAsia" w:ascii="Times New Roman" w:hAnsi="Times New Roman" w:cs="Times New Roman"/>
                <w:color w:val="auto"/>
                <w:sz w:val="24"/>
                <w:highlight w:val="none"/>
                <w:lang w:val="en-US" w:eastAsia="zh-CN" w:bidi="ar"/>
              </w:rPr>
              <w:t>去表面残留的水分，为后续工序做好准备。</w:t>
            </w:r>
            <w:r>
              <w:rPr>
                <w:rFonts w:hint="eastAsia" w:cs="Times New Roman"/>
                <w:color w:val="auto"/>
                <w:sz w:val="24"/>
                <w:highlight w:val="none"/>
                <w:lang w:val="en-US" w:eastAsia="zh-CN" w:bidi="ar"/>
              </w:rPr>
              <w:t>在水分烘干时，该条线的轨道停止运作，大门关闭形成密闭空间。</w:t>
            </w:r>
          </w:p>
          <w:p w14:paraId="21DFB562">
            <w:pPr>
              <w:pStyle w:val="9"/>
              <w:keepNext w:val="0"/>
              <w:keepLines w:val="0"/>
              <w:pageBreakBefore w:val="0"/>
              <w:widowControl/>
              <w:numPr>
                <w:ilvl w:val="0"/>
                <w:numId w:val="0"/>
              </w:numPr>
              <w:kinsoku/>
              <w:wordWrap/>
              <w:overflowPunct/>
              <w:topLinePunct w:val="0"/>
              <w:autoSpaceDE w:val="0"/>
              <w:autoSpaceDN w:val="0"/>
              <w:bidi w:val="0"/>
              <w:adjustRightInd/>
              <w:snapToGrid/>
              <w:spacing w:before="0" w:after="0" w:line="360" w:lineRule="auto"/>
              <w:ind w:right="0" w:rightChars="0" w:firstLine="480" w:firstLineChars="200"/>
              <w:jc w:val="both"/>
              <w:textAlignment w:val="baseline"/>
              <w:rPr>
                <w:rFonts w:hint="eastAsia" w:ascii="Times New Roman" w:hAnsi="Times New Roman" w:cs="Times New Roman"/>
                <w:color w:val="auto"/>
                <w:sz w:val="24"/>
                <w:highlight w:val="none"/>
                <w:lang w:val="en-US" w:eastAsia="zh-CN" w:bidi="ar"/>
              </w:rPr>
            </w:pPr>
            <w:r>
              <w:rPr>
                <w:rFonts w:hint="eastAsia" w:ascii="Times New Roman" w:hAnsi="Times New Roman" w:cs="Times New Roman"/>
                <w:color w:val="auto"/>
                <w:sz w:val="24"/>
                <w:highlight w:val="none"/>
                <w:lang w:val="en-US" w:eastAsia="zh-CN" w:bidi="ar"/>
              </w:rPr>
              <w:t>经过喷漆或喷塑后的工件通过输送系统自动进入</w:t>
            </w:r>
            <w:r>
              <w:rPr>
                <w:rFonts w:hint="eastAsia" w:cs="Times New Roman"/>
                <w:color w:val="auto"/>
                <w:sz w:val="24"/>
                <w:highlight w:val="none"/>
                <w:lang w:val="en-US" w:eastAsia="zh-CN" w:bidi="ar"/>
              </w:rPr>
              <w:t>63m</w:t>
            </w:r>
            <w:r>
              <w:rPr>
                <w:rFonts w:hint="eastAsia" w:ascii="Times New Roman" w:hAnsi="Times New Roman" w:cs="Times New Roman"/>
                <w:color w:val="auto"/>
                <w:sz w:val="24"/>
                <w:highlight w:val="none"/>
                <w:lang w:val="en-US" w:eastAsia="zh-CN" w:bidi="ar"/>
              </w:rPr>
              <w:t>长的</w:t>
            </w:r>
            <w:r>
              <w:rPr>
                <w:rFonts w:hint="eastAsia" w:cs="Times New Roman"/>
                <w:color w:val="auto"/>
                <w:sz w:val="24"/>
                <w:highlight w:val="none"/>
                <w:lang w:val="en-US" w:eastAsia="zh-CN" w:bidi="ar"/>
              </w:rPr>
              <w:t>直行</w:t>
            </w:r>
            <w:r>
              <w:rPr>
                <w:rFonts w:hint="eastAsia" w:ascii="Times New Roman" w:hAnsi="Times New Roman" w:cs="Times New Roman"/>
                <w:color w:val="auto"/>
                <w:sz w:val="24"/>
                <w:highlight w:val="none"/>
                <w:lang w:val="en-US" w:eastAsia="zh-CN" w:bidi="ar"/>
              </w:rPr>
              <w:t>烘道进行固化烘干处理，本项目采用天然气供热，固化温度约180-220℃，固化时间约10-15分钟。固化烘道恒温段的加热方式室燃气直接加热，通过热风循环风机及循环管道，将烘道内的空气通过热交换室循环加热，快速升温。</w:t>
            </w:r>
          </w:p>
          <w:p w14:paraId="25DA18AD">
            <w:pPr>
              <w:pStyle w:val="9"/>
              <w:keepNext w:val="0"/>
              <w:keepLines w:val="0"/>
              <w:pageBreakBefore w:val="0"/>
              <w:widowControl/>
              <w:numPr>
                <w:ilvl w:val="0"/>
                <w:numId w:val="0"/>
              </w:numPr>
              <w:kinsoku/>
              <w:wordWrap/>
              <w:overflowPunct/>
              <w:topLinePunct w:val="0"/>
              <w:autoSpaceDE w:val="0"/>
              <w:autoSpaceDN w:val="0"/>
              <w:bidi w:val="0"/>
              <w:adjustRightInd/>
              <w:snapToGrid/>
              <w:spacing w:before="0" w:after="0" w:line="360" w:lineRule="auto"/>
              <w:ind w:right="0" w:rightChars="0" w:firstLine="480" w:firstLineChars="200"/>
              <w:jc w:val="both"/>
              <w:textAlignment w:val="baseline"/>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项目天然气燃烧机配备低氮燃烧装置（其中水分烘干隧道配套1台</w:t>
            </w:r>
            <w:r>
              <w:rPr>
                <w:rFonts w:hint="eastAsia" w:cs="Times New Roman"/>
                <w:color w:val="auto"/>
                <w:sz w:val="24"/>
                <w:highlight w:val="none"/>
                <w:lang w:val="en-US" w:eastAsia="zh-CN"/>
              </w:rPr>
              <w:t>（30万大卡）</w:t>
            </w:r>
            <w:r>
              <w:rPr>
                <w:rFonts w:hint="eastAsia" w:ascii="Times New Roman" w:hAnsi="Times New Roman" w:eastAsia="宋体" w:cs="Times New Roman"/>
                <w:color w:val="auto"/>
                <w:sz w:val="24"/>
                <w:highlight w:val="none"/>
                <w:lang w:val="en-US" w:eastAsia="zh-CN"/>
              </w:rPr>
              <w:t>，固化烘道装置配套2台</w:t>
            </w:r>
            <w:r>
              <w:rPr>
                <w:rFonts w:hint="eastAsia" w:cs="Times New Roman"/>
                <w:color w:val="auto"/>
                <w:sz w:val="24"/>
                <w:highlight w:val="none"/>
                <w:lang w:val="en-US" w:eastAsia="zh-CN"/>
              </w:rPr>
              <w:t>（50万大卡）</w:t>
            </w:r>
            <w:r>
              <w:rPr>
                <w:rFonts w:hint="eastAsia" w:ascii="Times New Roman" w:hAnsi="Times New Roman" w:eastAsia="宋体" w:cs="Times New Roman"/>
                <w:color w:val="auto"/>
                <w:sz w:val="24"/>
                <w:highlight w:val="none"/>
                <w:lang w:val="en-US" w:eastAsia="zh-CN"/>
              </w:rPr>
              <w:t>，共计3台）降低空气氮燃烧率，</w:t>
            </w:r>
            <w:r>
              <w:rPr>
                <w:rFonts w:hint="eastAsia" w:cs="Times New Roman"/>
                <w:color w:val="auto"/>
                <w:sz w:val="24"/>
                <w:highlight w:val="none"/>
                <w:lang w:val="en-US" w:eastAsia="zh-CN"/>
              </w:rPr>
              <w:t>减少</w:t>
            </w:r>
            <w:r>
              <w:rPr>
                <w:rFonts w:hint="eastAsia" w:ascii="Times New Roman" w:hAnsi="Times New Roman" w:eastAsia="宋体" w:cs="Times New Roman"/>
                <w:color w:val="auto"/>
                <w:sz w:val="24"/>
                <w:highlight w:val="none"/>
                <w:lang w:val="en-US" w:eastAsia="zh-CN"/>
              </w:rPr>
              <w:t>氮氧化物排放。</w:t>
            </w:r>
            <w:r>
              <w:rPr>
                <w:rFonts w:hint="eastAsia" w:cs="Times New Roman"/>
                <w:color w:val="auto"/>
                <w:sz w:val="24"/>
                <w:highlight w:val="none"/>
                <w:lang w:val="en-US" w:eastAsia="zh-CN"/>
              </w:rPr>
              <w:t>项目天然气年用量为17万m³。</w:t>
            </w:r>
          </w:p>
          <w:p w14:paraId="78D3D96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hAnsi="宋体" w:cs="宋体"/>
                <w:color w:val="auto"/>
                <w:sz w:val="24"/>
                <w:highlight w:val="none"/>
              </w:rPr>
            </w:pPr>
            <w:r>
              <w:rPr>
                <w:rFonts w:hint="eastAsia" w:hAnsi="宋体" w:cs="宋体"/>
                <w:color w:val="auto"/>
                <w:sz w:val="24"/>
                <w:highlight w:val="none"/>
              </w:rPr>
              <w:t>据《排放源统计调查产排污核算方法和系数手册》中机械行业系数手册，参照涂装工段中天然气工业炉窑废气量产生量系数13.6立方米/立方米-原料，天然气燃烧污染排放系数如下：</w:t>
            </w:r>
          </w:p>
          <w:p w14:paraId="72473D6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1 \* GB3 \* MERGEFORMAT </w:instrText>
            </w:r>
            <w:r>
              <w:rPr>
                <w:rFonts w:hint="eastAsia" w:hAnsi="宋体" w:cs="宋体"/>
                <w:color w:val="auto"/>
                <w:sz w:val="24"/>
                <w:highlight w:val="none"/>
              </w:rPr>
              <w:fldChar w:fldCharType="separate"/>
            </w:r>
            <w:r>
              <w:rPr>
                <w:rFonts w:hint="eastAsia" w:hAnsi="宋体" w:cs="宋体"/>
                <w:color w:val="auto"/>
                <w:sz w:val="24"/>
                <w:highlight w:val="none"/>
              </w:rPr>
              <w:t>①</w:t>
            </w:r>
            <w:r>
              <w:rPr>
                <w:rFonts w:hint="eastAsia" w:hAnsi="宋体" w:cs="宋体"/>
                <w:color w:val="auto"/>
                <w:sz w:val="24"/>
                <w:highlight w:val="none"/>
              </w:rPr>
              <w:fldChar w:fldCharType="end"/>
            </w:r>
            <w:r>
              <w:rPr>
                <w:rFonts w:hint="eastAsia" w:hAnsi="宋体" w:cs="宋体"/>
                <w:color w:val="auto"/>
                <w:sz w:val="24"/>
                <w:highlight w:val="none"/>
              </w:rPr>
              <w:t>SO</w:t>
            </w:r>
            <w:r>
              <w:rPr>
                <w:rFonts w:hint="eastAsia" w:hAnsi="宋体" w:cs="宋体"/>
                <w:color w:val="auto"/>
                <w:sz w:val="24"/>
                <w:highlight w:val="none"/>
                <w:vertAlign w:val="subscript"/>
              </w:rPr>
              <w:t>2</w:t>
            </w:r>
            <w:r>
              <w:rPr>
                <w:rFonts w:hint="eastAsia" w:hAnsi="宋体" w:cs="宋体"/>
                <w:color w:val="auto"/>
                <w:sz w:val="24"/>
                <w:highlight w:val="none"/>
              </w:rPr>
              <w:t>产污系数：Gso</w:t>
            </w:r>
            <w:r>
              <w:rPr>
                <w:rFonts w:hint="eastAsia" w:hAnsi="宋体" w:cs="宋体"/>
                <w:color w:val="auto"/>
                <w:sz w:val="24"/>
                <w:highlight w:val="none"/>
                <w:vertAlign w:val="subscript"/>
              </w:rPr>
              <w:t>2</w:t>
            </w:r>
            <w:r>
              <w:rPr>
                <w:rFonts w:hint="eastAsia" w:hAnsi="宋体" w:cs="宋体"/>
                <w:color w:val="auto"/>
                <w:sz w:val="24"/>
                <w:highlight w:val="none"/>
              </w:rPr>
              <w:t>=0.02S=</w:t>
            </w:r>
            <w:r>
              <w:rPr>
                <w:rFonts w:hint="eastAsia" w:hAnsi="宋体" w:cs="宋体"/>
                <w:color w:val="auto"/>
                <w:sz w:val="24"/>
                <w:highlight w:val="none"/>
                <w:lang w:val="en-US" w:eastAsia="zh-CN"/>
              </w:rPr>
              <w:t>2</w:t>
            </w:r>
            <w:r>
              <w:rPr>
                <w:rFonts w:hint="eastAsia" w:hAnsi="宋体" w:cs="宋体"/>
                <w:color w:val="auto"/>
                <w:sz w:val="24"/>
                <w:highlight w:val="none"/>
              </w:rPr>
              <w:t>kg/万m</w:t>
            </w:r>
            <w:r>
              <w:rPr>
                <w:rFonts w:hint="eastAsia" w:hAnsi="宋体" w:cs="宋体"/>
                <w:color w:val="auto"/>
                <w:sz w:val="24"/>
                <w:highlight w:val="none"/>
                <w:vertAlign w:val="superscript"/>
              </w:rPr>
              <w:t>3</w:t>
            </w:r>
            <w:r>
              <w:rPr>
                <w:rFonts w:hint="eastAsia" w:hAnsi="宋体" w:cs="宋体"/>
                <w:color w:val="auto"/>
                <w:sz w:val="24"/>
                <w:highlight w:val="none"/>
              </w:rPr>
              <w:t>-燃料（S含硫量，本项目取</w:t>
            </w:r>
            <w:r>
              <w:rPr>
                <w:rFonts w:hint="eastAsia" w:hAnsi="宋体" w:cs="宋体"/>
                <w:color w:val="auto"/>
                <w:sz w:val="24"/>
                <w:highlight w:val="none"/>
                <w:lang w:val="en-US" w:eastAsia="zh-CN"/>
              </w:rPr>
              <w:t>100</w:t>
            </w:r>
            <w:r>
              <w:rPr>
                <w:rFonts w:hint="eastAsia" w:hAnsi="宋体" w:cs="宋体"/>
                <w:color w:val="auto"/>
                <w:sz w:val="24"/>
                <w:highlight w:val="none"/>
              </w:rPr>
              <w:t>）；</w:t>
            </w:r>
          </w:p>
          <w:p w14:paraId="320B3FE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2 \* GB3 \* MERGEFORMAT </w:instrText>
            </w:r>
            <w:r>
              <w:rPr>
                <w:rFonts w:hint="eastAsia" w:hAnsi="宋体" w:cs="宋体"/>
                <w:color w:val="auto"/>
                <w:sz w:val="24"/>
                <w:highlight w:val="none"/>
              </w:rPr>
              <w:fldChar w:fldCharType="separate"/>
            </w:r>
            <w:r>
              <w:rPr>
                <w:rFonts w:hint="eastAsia" w:hAnsi="宋体" w:cs="宋体"/>
                <w:color w:val="auto"/>
                <w:sz w:val="24"/>
                <w:highlight w:val="none"/>
              </w:rPr>
              <w:t>②</w:t>
            </w:r>
            <w:r>
              <w:rPr>
                <w:rFonts w:hint="eastAsia" w:hAnsi="宋体" w:cs="宋体"/>
                <w:color w:val="auto"/>
                <w:sz w:val="24"/>
                <w:highlight w:val="none"/>
              </w:rPr>
              <w:fldChar w:fldCharType="end"/>
            </w:r>
            <w:r>
              <w:rPr>
                <w:rFonts w:hint="eastAsia" w:hAnsi="宋体" w:cs="宋体"/>
                <w:color w:val="auto"/>
                <w:sz w:val="24"/>
                <w:highlight w:val="none"/>
              </w:rPr>
              <w:t>NOx产污系数：G</w:t>
            </w:r>
            <w:r>
              <w:rPr>
                <w:rFonts w:hint="eastAsia" w:hAnsi="宋体" w:cs="宋体"/>
                <w:color w:val="auto"/>
                <w:sz w:val="24"/>
                <w:highlight w:val="none"/>
                <w:vertAlign w:val="subscript"/>
              </w:rPr>
              <w:t>NOx</w:t>
            </w:r>
            <w:r>
              <w:rPr>
                <w:rFonts w:hint="eastAsia" w:hAnsi="宋体" w:cs="宋体"/>
                <w:color w:val="auto"/>
                <w:sz w:val="24"/>
                <w:highlight w:val="none"/>
              </w:rPr>
              <w:t>=18.71kg/万m</w:t>
            </w:r>
            <w:r>
              <w:rPr>
                <w:rFonts w:hint="eastAsia" w:hAnsi="宋体" w:cs="宋体"/>
                <w:color w:val="auto"/>
                <w:sz w:val="24"/>
                <w:highlight w:val="none"/>
                <w:vertAlign w:val="superscript"/>
              </w:rPr>
              <w:t>3</w:t>
            </w:r>
            <w:r>
              <w:rPr>
                <w:rFonts w:hint="eastAsia" w:hAnsi="宋体" w:cs="宋体"/>
                <w:color w:val="auto"/>
                <w:sz w:val="24"/>
                <w:highlight w:val="none"/>
              </w:rPr>
              <w:t>-燃料；</w:t>
            </w:r>
          </w:p>
          <w:p w14:paraId="749F76A1">
            <w:pPr>
              <w:pStyle w:val="9"/>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textAlignment w:val="auto"/>
              <w:rPr>
                <w:color w:val="auto"/>
                <w:sz w:val="24"/>
                <w:highlight w:val="none"/>
                <w:lang w:bidi="ar"/>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3 \* GB3 </w:instrText>
            </w:r>
            <w:r>
              <w:rPr>
                <w:rFonts w:hint="eastAsia" w:hAnsi="宋体" w:cs="宋体"/>
                <w:color w:val="auto"/>
                <w:sz w:val="24"/>
                <w:highlight w:val="none"/>
              </w:rPr>
              <w:fldChar w:fldCharType="separate"/>
            </w:r>
            <w:r>
              <w:rPr>
                <w:rFonts w:hint="eastAsia" w:hAnsi="宋体" w:cs="宋体"/>
                <w:color w:val="auto"/>
                <w:sz w:val="24"/>
                <w:highlight w:val="none"/>
              </w:rPr>
              <w:t>③</w:t>
            </w:r>
            <w:r>
              <w:rPr>
                <w:rFonts w:hint="eastAsia" w:hAnsi="宋体" w:cs="宋体"/>
                <w:color w:val="auto"/>
                <w:sz w:val="24"/>
                <w:highlight w:val="none"/>
              </w:rPr>
              <w:fldChar w:fldCharType="end"/>
            </w:r>
            <w:r>
              <w:rPr>
                <w:rFonts w:hint="eastAsia" w:hAnsi="宋体" w:cs="宋体"/>
                <w:color w:val="auto"/>
                <w:sz w:val="24"/>
                <w:highlight w:val="none"/>
              </w:rPr>
              <w:t>颗粒物产污系数：G烟尘=2.86kg/万m</w:t>
            </w:r>
            <w:r>
              <w:rPr>
                <w:rFonts w:hint="eastAsia" w:hAnsi="宋体" w:cs="宋体"/>
                <w:color w:val="auto"/>
                <w:sz w:val="24"/>
                <w:highlight w:val="none"/>
                <w:vertAlign w:val="superscript"/>
              </w:rPr>
              <w:t>3</w:t>
            </w:r>
            <w:r>
              <w:rPr>
                <w:rFonts w:hint="eastAsia" w:hAnsi="宋体" w:cs="宋体"/>
                <w:color w:val="auto"/>
                <w:sz w:val="24"/>
                <w:highlight w:val="none"/>
              </w:rPr>
              <w:t>-燃料；</w:t>
            </w:r>
          </w:p>
          <w:p w14:paraId="6ED51B2E">
            <w:pPr>
              <w:pStyle w:val="9"/>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textAlignment w:val="auto"/>
              <w:rPr>
                <w:rFonts w:hint="eastAsia" w:hAnsi="宋体" w:cs="宋体"/>
                <w:color w:val="auto"/>
                <w:sz w:val="24"/>
                <w:highlight w:val="none"/>
                <w:lang w:val="en-US" w:eastAsia="zh-CN"/>
              </w:rPr>
            </w:pPr>
            <w:r>
              <w:rPr>
                <w:rFonts w:hint="eastAsia"/>
                <w:color w:val="auto"/>
                <w:sz w:val="24"/>
                <w:highlight w:val="none"/>
                <w:lang w:val="en-US" w:eastAsia="zh-CN"/>
              </w:rPr>
              <w:t>经计算</w:t>
            </w:r>
            <w:r>
              <w:rPr>
                <w:rFonts w:hint="eastAsia" w:hAnsi="宋体" w:cs="宋体"/>
                <w:color w:val="auto"/>
                <w:sz w:val="24"/>
                <w:highlight w:val="none"/>
              </w:rPr>
              <w:t>SO</w:t>
            </w:r>
            <w:r>
              <w:rPr>
                <w:rFonts w:hint="eastAsia" w:hAnsi="宋体" w:cs="宋体"/>
                <w:color w:val="auto"/>
                <w:sz w:val="24"/>
                <w:highlight w:val="none"/>
                <w:vertAlign w:val="subscript"/>
              </w:rPr>
              <w:t>2</w:t>
            </w:r>
            <w:r>
              <w:rPr>
                <w:rFonts w:hint="eastAsia" w:hAnsi="宋体" w:cs="宋体"/>
                <w:color w:val="auto"/>
                <w:sz w:val="24"/>
                <w:highlight w:val="none"/>
              </w:rPr>
              <w:t>产生量为：</w:t>
            </w:r>
            <w:r>
              <w:rPr>
                <w:rFonts w:hint="eastAsia" w:hAnsi="宋体" w:cs="宋体"/>
                <w:color w:val="auto"/>
                <w:sz w:val="24"/>
                <w:highlight w:val="none"/>
                <w:lang w:val="en-US" w:eastAsia="zh-CN"/>
              </w:rPr>
              <w:t>0.034</w:t>
            </w:r>
            <w:r>
              <w:rPr>
                <w:rFonts w:hint="eastAsia" w:hAnsi="宋体" w:cs="宋体"/>
                <w:color w:val="auto"/>
                <w:sz w:val="24"/>
                <w:highlight w:val="none"/>
              </w:rPr>
              <w:t>t/a，NOx产生量为</w:t>
            </w:r>
            <w:r>
              <w:rPr>
                <w:rFonts w:hint="eastAsia" w:hAnsi="宋体" w:cs="宋体"/>
                <w:color w:val="auto"/>
                <w:sz w:val="24"/>
                <w:highlight w:val="none"/>
                <w:lang w:val="en-US" w:eastAsia="zh-CN"/>
              </w:rPr>
              <w:t>0.318</w:t>
            </w:r>
            <w:r>
              <w:rPr>
                <w:rFonts w:hint="eastAsia" w:hAnsi="宋体" w:cs="宋体"/>
                <w:color w:val="auto"/>
                <w:sz w:val="24"/>
                <w:highlight w:val="none"/>
              </w:rPr>
              <w:t>/a，颗粒物产生量为</w:t>
            </w:r>
            <w:r>
              <w:rPr>
                <w:rFonts w:hint="eastAsia" w:hAnsi="宋体" w:cs="宋体"/>
                <w:color w:val="auto"/>
                <w:sz w:val="24"/>
                <w:highlight w:val="none"/>
                <w:lang w:val="en-US" w:eastAsia="zh-CN"/>
              </w:rPr>
              <w:t>0.048t/a；</w:t>
            </w:r>
          </w:p>
          <w:p w14:paraId="768356CA">
            <w:pPr>
              <w:keepNext w:val="0"/>
              <w:keepLines w:val="0"/>
              <w:pageBreakBefore w:val="0"/>
              <w:widowControl/>
              <w:kinsoku/>
              <w:wordWrap/>
              <w:overflowPunct/>
              <w:topLinePunct w:val="0"/>
              <w:autoSpaceDE w:val="0"/>
              <w:autoSpaceDN w:val="0"/>
              <w:bidi w:val="0"/>
              <w:adjustRightInd/>
              <w:snapToGrid/>
              <w:spacing w:line="360" w:lineRule="auto"/>
              <w:ind w:right="0"/>
              <w:jc w:val="both"/>
              <w:textAlignment w:val="baseline"/>
              <w:rPr>
                <w:rFonts w:hint="default" w:eastAsia="宋体"/>
                <w:color w:val="auto"/>
                <w:sz w:val="24"/>
                <w:highlight w:val="none"/>
                <w:lang w:val="en-US" w:eastAsia="zh-CN" w:bidi="ar"/>
              </w:rPr>
            </w:pPr>
            <w:r>
              <w:rPr>
                <w:rFonts w:hint="eastAsia"/>
                <w:color w:val="auto"/>
                <w:sz w:val="24"/>
                <w:highlight w:val="none"/>
                <w:lang w:val="en-US" w:eastAsia="zh-CN" w:bidi="ar"/>
              </w:rPr>
              <w:t>项目天然气燃烧废气经低氮燃烧器处理，处理效率30%，则项目天然气燃烧废气排放量为</w:t>
            </w:r>
            <w:r>
              <w:rPr>
                <w:rFonts w:hint="eastAsia" w:hAnsi="宋体" w:cs="宋体"/>
                <w:color w:val="auto"/>
                <w:sz w:val="24"/>
                <w:highlight w:val="none"/>
              </w:rPr>
              <w:t>SO</w:t>
            </w:r>
            <w:r>
              <w:rPr>
                <w:rFonts w:hint="eastAsia" w:hAnsi="宋体" w:cs="宋体"/>
                <w:color w:val="auto"/>
                <w:sz w:val="24"/>
                <w:highlight w:val="none"/>
                <w:vertAlign w:val="subscript"/>
              </w:rPr>
              <w:t>2</w:t>
            </w:r>
            <w:r>
              <w:rPr>
                <w:rFonts w:hint="eastAsia" w:hAnsi="宋体" w:cs="宋体"/>
                <w:color w:val="auto"/>
                <w:sz w:val="24"/>
                <w:highlight w:val="none"/>
                <w:vertAlign w:val="baseline"/>
                <w:lang w:val="en-US" w:eastAsia="zh-CN"/>
              </w:rPr>
              <w:t>排放</w:t>
            </w:r>
            <w:r>
              <w:rPr>
                <w:rFonts w:hint="eastAsia" w:hAnsi="宋体" w:cs="宋体"/>
                <w:color w:val="auto"/>
                <w:sz w:val="24"/>
                <w:highlight w:val="none"/>
              </w:rPr>
              <w:t>量为：</w:t>
            </w:r>
            <w:r>
              <w:rPr>
                <w:rFonts w:hint="eastAsia" w:hAnsi="宋体" w:cs="宋体"/>
                <w:color w:val="auto"/>
                <w:sz w:val="24"/>
                <w:highlight w:val="none"/>
                <w:lang w:val="en-US" w:eastAsia="zh-CN"/>
              </w:rPr>
              <w:t>0.034</w:t>
            </w:r>
            <w:r>
              <w:rPr>
                <w:rFonts w:hint="eastAsia" w:hAnsi="宋体" w:cs="宋体"/>
                <w:color w:val="auto"/>
                <w:sz w:val="24"/>
                <w:highlight w:val="none"/>
              </w:rPr>
              <w:t>t/a，NOx</w:t>
            </w:r>
            <w:r>
              <w:rPr>
                <w:rFonts w:hint="eastAsia" w:hAnsi="宋体" w:cs="宋体"/>
                <w:color w:val="auto"/>
                <w:sz w:val="24"/>
                <w:highlight w:val="none"/>
                <w:vertAlign w:val="baseline"/>
                <w:lang w:val="en-US" w:eastAsia="zh-CN"/>
              </w:rPr>
              <w:t>排放</w:t>
            </w:r>
            <w:r>
              <w:rPr>
                <w:rFonts w:hint="eastAsia" w:hAnsi="宋体" w:cs="宋体"/>
                <w:color w:val="auto"/>
                <w:sz w:val="24"/>
                <w:highlight w:val="none"/>
              </w:rPr>
              <w:t>量为</w:t>
            </w:r>
            <w:r>
              <w:rPr>
                <w:rFonts w:hint="eastAsia" w:hAnsi="宋体" w:cs="宋体"/>
                <w:color w:val="auto"/>
                <w:sz w:val="24"/>
                <w:highlight w:val="none"/>
                <w:lang w:val="en-US" w:eastAsia="zh-CN"/>
              </w:rPr>
              <w:t>0.223t/</w:t>
            </w:r>
            <w:r>
              <w:rPr>
                <w:rFonts w:hint="eastAsia" w:hAnsi="宋体" w:cs="宋体"/>
                <w:color w:val="auto"/>
                <w:sz w:val="24"/>
                <w:highlight w:val="none"/>
              </w:rPr>
              <w:t>a，颗粒物</w:t>
            </w:r>
            <w:r>
              <w:rPr>
                <w:rFonts w:hint="eastAsia" w:hAnsi="宋体" w:cs="宋体"/>
                <w:color w:val="auto"/>
                <w:sz w:val="24"/>
                <w:highlight w:val="none"/>
                <w:vertAlign w:val="baseline"/>
                <w:lang w:val="en-US" w:eastAsia="zh-CN"/>
              </w:rPr>
              <w:t>排放</w:t>
            </w:r>
            <w:r>
              <w:rPr>
                <w:rFonts w:hint="eastAsia" w:hAnsi="宋体" w:cs="宋体"/>
                <w:color w:val="auto"/>
                <w:sz w:val="24"/>
                <w:highlight w:val="none"/>
              </w:rPr>
              <w:t>量为</w:t>
            </w:r>
            <w:r>
              <w:rPr>
                <w:rFonts w:hint="eastAsia" w:hAnsi="宋体" w:cs="宋体"/>
                <w:color w:val="auto"/>
                <w:sz w:val="24"/>
                <w:highlight w:val="none"/>
                <w:lang w:val="en-US" w:eastAsia="zh-CN"/>
              </w:rPr>
              <w:t>0.048t/a</w:t>
            </w:r>
          </w:p>
          <w:p w14:paraId="59C16961">
            <w:pPr>
              <w:keepNext w:val="0"/>
              <w:keepLines w:val="0"/>
              <w:pageBreakBefore w:val="0"/>
              <w:widowControl/>
              <w:kinsoku/>
              <w:wordWrap/>
              <w:overflowPunct/>
              <w:topLinePunct w:val="0"/>
              <w:autoSpaceDE w:val="0"/>
              <w:autoSpaceDN w:val="0"/>
              <w:bidi w:val="0"/>
              <w:adjustRightInd/>
              <w:snapToGrid/>
              <w:spacing w:line="360" w:lineRule="auto"/>
              <w:ind w:right="0" w:firstLine="480" w:firstLineChars="200"/>
              <w:jc w:val="both"/>
              <w:textAlignment w:val="baseline"/>
              <w:rPr>
                <w:rFonts w:hint="eastAsia"/>
                <w:color w:val="auto"/>
                <w:sz w:val="24"/>
                <w:highlight w:val="none"/>
                <w:lang w:val="en-US" w:eastAsia="zh-CN" w:bidi="ar"/>
              </w:rPr>
            </w:pPr>
            <w:r>
              <w:rPr>
                <w:rFonts w:hint="eastAsia"/>
                <w:color w:val="auto"/>
                <w:sz w:val="24"/>
                <w:highlight w:val="none"/>
                <w:lang w:val="en-US" w:eastAsia="zh-CN" w:bidi="ar"/>
              </w:rPr>
              <w:t>项目废气管线收集见下图：</w:t>
            </w:r>
          </w:p>
          <w:p w14:paraId="1BA557A6">
            <w:pPr>
              <w:keepNext w:val="0"/>
              <w:keepLines w:val="0"/>
              <w:pageBreakBefore w:val="0"/>
              <w:widowControl/>
              <w:kinsoku/>
              <w:wordWrap/>
              <w:overflowPunct/>
              <w:topLinePunct w:val="0"/>
              <w:autoSpaceDE w:val="0"/>
              <w:autoSpaceDN w:val="0"/>
              <w:bidi w:val="0"/>
              <w:adjustRightInd/>
              <w:snapToGrid/>
              <w:spacing w:line="360" w:lineRule="auto"/>
              <w:ind w:right="0" w:firstLine="480" w:firstLineChars="200"/>
              <w:jc w:val="center"/>
              <w:textAlignment w:val="baseline"/>
              <w:rPr>
                <w:rFonts w:hint="eastAsia"/>
                <w:b/>
                <w:bCs/>
                <w:color w:val="auto"/>
                <w:sz w:val="24"/>
                <w:highlight w:val="none"/>
                <w:lang w:val="en-US" w:eastAsia="zh-CN" w:bidi="ar"/>
              </w:rPr>
            </w:pPr>
            <w:r>
              <w:rPr>
                <w:rFonts w:hint="default"/>
                <w:color w:val="auto"/>
                <w:sz w:val="24"/>
                <w:highlight w:val="none"/>
                <w:lang w:val="en-US" w:eastAsia="zh-CN" w:bidi="ar"/>
              </w:rPr>
              <w:drawing>
                <wp:inline distT="0" distB="0" distL="114300" distR="114300">
                  <wp:extent cx="4027805" cy="6515735"/>
                  <wp:effectExtent l="0" t="0" r="10795" b="6985"/>
                  <wp:docPr id="21" name="F360BE8B-6686-4F3D-AEAF-501FE73E4058-4" descr="C:/Users/Administrator/AppData/Local/Temp/绘图1(5).png绘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360BE8B-6686-4F3D-AEAF-501FE73E4058-4" descr="C:/Users/Administrator/AppData/Local/Temp/绘图1(5).png绘图1(5)"/>
                          <pic:cNvPicPr>
                            <a:picLocks noChangeAspect="1"/>
                          </pic:cNvPicPr>
                        </pic:nvPicPr>
                        <pic:blipFill>
                          <a:blip r:embed="rId17"/>
                          <a:stretch>
                            <a:fillRect/>
                          </a:stretch>
                        </pic:blipFill>
                        <pic:spPr>
                          <a:xfrm>
                            <a:off x="0" y="0"/>
                            <a:ext cx="4027805" cy="6515735"/>
                          </a:xfrm>
                          <a:prstGeom prst="rect">
                            <a:avLst/>
                          </a:prstGeom>
                        </pic:spPr>
                      </pic:pic>
                    </a:graphicData>
                  </a:graphic>
                </wp:inline>
              </w:drawing>
            </w:r>
          </w:p>
          <w:p w14:paraId="31C562F9">
            <w:pPr>
              <w:keepNext w:val="0"/>
              <w:keepLines w:val="0"/>
              <w:pageBreakBefore w:val="0"/>
              <w:widowControl/>
              <w:kinsoku/>
              <w:wordWrap/>
              <w:overflowPunct/>
              <w:topLinePunct w:val="0"/>
              <w:autoSpaceDE w:val="0"/>
              <w:autoSpaceDN w:val="0"/>
              <w:bidi w:val="0"/>
              <w:adjustRightInd/>
              <w:snapToGrid/>
              <w:spacing w:line="360" w:lineRule="auto"/>
              <w:ind w:right="0" w:firstLine="482" w:firstLineChars="200"/>
              <w:jc w:val="center"/>
              <w:textAlignment w:val="baseline"/>
              <w:rPr>
                <w:color w:val="auto"/>
                <w:sz w:val="24"/>
                <w:highlight w:val="none"/>
                <w:lang w:bidi="ar"/>
              </w:rPr>
            </w:pPr>
            <w:r>
              <w:rPr>
                <w:rFonts w:hint="eastAsia"/>
                <w:b/>
                <w:bCs/>
                <w:color w:val="auto"/>
                <w:sz w:val="24"/>
                <w:highlight w:val="none"/>
                <w:lang w:val="en-US" w:eastAsia="zh-CN" w:bidi="ar"/>
              </w:rPr>
              <w:t>图4-1  废气管线收集图</w:t>
            </w:r>
          </w:p>
          <w:p w14:paraId="7C91E5E7">
            <w:pPr>
              <w:keepNext w:val="0"/>
              <w:keepLines w:val="0"/>
              <w:pageBreakBefore w:val="0"/>
              <w:widowControl/>
              <w:kinsoku/>
              <w:wordWrap/>
              <w:overflowPunct/>
              <w:topLinePunct w:val="0"/>
              <w:autoSpaceDE w:val="0"/>
              <w:autoSpaceDN w:val="0"/>
              <w:bidi w:val="0"/>
              <w:adjustRightInd/>
              <w:snapToGrid/>
              <w:spacing w:line="360" w:lineRule="auto"/>
              <w:ind w:right="0" w:firstLine="480" w:firstLineChars="200"/>
              <w:jc w:val="both"/>
              <w:textAlignment w:val="baseline"/>
              <w:rPr>
                <w:rFonts w:hint="eastAsia" w:hAnsi="宋体" w:cs="宋体"/>
                <w:color w:val="auto"/>
                <w:sz w:val="24"/>
                <w:highlight w:val="none"/>
                <w:lang w:eastAsia="zh-CN"/>
              </w:rPr>
            </w:pPr>
            <w:r>
              <w:rPr>
                <w:color w:val="auto"/>
                <w:sz w:val="24"/>
                <w:highlight w:val="none"/>
                <w:lang w:bidi="ar"/>
              </w:rPr>
              <w:t>项目有组织</w:t>
            </w:r>
            <w:r>
              <w:rPr>
                <w:rFonts w:hint="eastAsia" w:hAnsi="宋体" w:cs="宋体"/>
                <w:color w:val="auto"/>
                <w:sz w:val="24"/>
                <w:highlight w:val="none"/>
              </w:rPr>
              <w:t>废气产排情况详见下表</w:t>
            </w:r>
            <w:r>
              <w:rPr>
                <w:rFonts w:hint="eastAsia" w:hAnsi="宋体" w:cs="宋体"/>
                <w:color w:val="auto"/>
                <w:sz w:val="24"/>
                <w:highlight w:val="none"/>
                <w:lang w:eastAsia="zh-CN"/>
              </w:rPr>
              <w:t>：</w:t>
            </w:r>
          </w:p>
          <w:p w14:paraId="14DD4DB3">
            <w:pPr>
              <w:keepNext w:val="0"/>
              <w:keepLines w:val="0"/>
              <w:pageBreakBefore w:val="0"/>
              <w:widowControl/>
              <w:kinsoku/>
              <w:wordWrap/>
              <w:overflowPunct/>
              <w:topLinePunct w:val="0"/>
              <w:autoSpaceDE w:val="0"/>
              <w:autoSpaceDN w:val="0"/>
              <w:bidi w:val="0"/>
              <w:adjustRightInd/>
              <w:snapToGrid/>
              <w:spacing w:line="360" w:lineRule="auto"/>
              <w:ind w:right="0" w:firstLine="480" w:firstLineChars="200"/>
              <w:jc w:val="both"/>
              <w:textAlignment w:val="baseline"/>
              <w:rPr>
                <w:rFonts w:hint="eastAsia" w:hAnsi="宋体" w:cs="宋体"/>
                <w:color w:val="auto"/>
                <w:sz w:val="24"/>
                <w:highlight w:val="none"/>
                <w:lang w:eastAsia="zh-CN"/>
              </w:rPr>
            </w:pPr>
          </w:p>
          <w:p w14:paraId="492E4D83">
            <w:pPr>
              <w:keepNext w:val="0"/>
              <w:keepLines w:val="0"/>
              <w:pageBreakBefore w:val="0"/>
              <w:widowControl/>
              <w:kinsoku/>
              <w:wordWrap/>
              <w:overflowPunct/>
              <w:topLinePunct w:val="0"/>
              <w:autoSpaceDE w:val="0"/>
              <w:autoSpaceDN w:val="0"/>
              <w:bidi w:val="0"/>
              <w:adjustRightInd/>
              <w:snapToGrid/>
              <w:spacing w:line="360" w:lineRule="auto"/>
              <w:ind w:right="0"/>
              <w:jc w:val="both"/>
              <w:textAlignment w:val="baseline"/>
              <w:rPr>
                <w:rFonts w:hint="default" w:hAnsi="宋体" w:cs="宋体"/>
                <w:color w:val="auto"/>
                <w:sz w:val="24"/>
                <w:highlight w:val="none"/>
                <w:lang w:val="en-US" w:eastAsia="zh-CN"/>
              </w:rPr>
            </w:pPr>
          </w:p>
        </w:tc>
      </w:tr>
    </w:tbl>
    <w:p w14:paraId="1FED3CE7">
      <w:pPr>
        <w:jc w:val="center"/>
        <w:rPr>
          <w:color w:val="auto"/>
          <w:highlight w:val="none"/>
        </w:rPr>
        <w:sectPr>
          <w:pgSz w:w="11906" w:h="16838"/>
          <w:pgMar w:top="1327" w:right="1800" w:bottom="1440" w:left="1800" w:header="851" w:footer="992" w:gutter="0"/>
          <w:pgNumType w:fmt="decimal"/>
          <w:cols w:space="425" w:num="1"/>
          <w:docGrid w:type="lines" w:linePitch="312" w:charSpace="0"/>
        </w:sectPr>
      </w:pP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3423"/>
      </w:tblGrid>
      <w:tr w14:paraId="2D2E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1" w:hRule="atLeast"/>
        </w:trPr>
        <w:tc>
          <w:tcPr>
            <w:tcW w:w="264" w:type="pct"/>
          </w:tcPr>
          <w:p w14:paraId="6D6B7BD9">
            <w:pPr>
              <w:pStyle w:val="5"/>
            </w:pPr>
          </w:p>
        </w:tc>
        <w:tc>
          <w:tcPr>
            <w:tcW w:w="4735" w:type="pct"/>
          </w:tcPr>
          <w:p w14:paraId="7727D5FB">
            <w:pPr>
              <w:keepNext w:val="0"/>
              <w:keepLines w:val="0"/>
              <w:pageBreakBefore w:val="0"/>
              <w:widowControl/>
              <w:kinsoku/>
              <w:wordWrap/>
              <w:overflowPunct/>
              <w:topLinePunct w:val="0"/>
              <w:autoSpaceDE w:val="0"/>
              <w:autoSpaceDN w:val="0"/>
              <w:bidi w:val="0"/>
              <w:adjustRightInd/>
              <w:snapToGrid/>
              <w:jc w:val="center"/>
              <w:textAlignment w:val="baseline"/>
              <w:rPr>
                <w:color w:val="auto"/>
                <w:highlight w:val="none"/>
              </w:rPr>
            </w:pPr>
            <w:r>
              <w:rPr>
                <w:rFonts w:ascii="Times New Roman" w:hAnsi="Times New Roman" w:eastAsia="宋体" w:cs="Times New Roman"/>
                <w:b/>
                <w:bCs/>
                <w:color w:val="auto"/>
                <w:sz w:val="24"/>
                <w:highlight w:val="none"/>
                <w:lang w:eastAsia="zh-CN"/>
              </w:rPr>
              <w:t>表4-1</w:t>
            </w:r>
            <w:r>
              <w:rPr>
                <w:rFonts w:hint="eastAsia" w:ascii="Times New Roman" w:hAnsi="Times New Roman" w:eastAsia="宋体" w:cs="Times New Roman"/>
                <w:b/>
                <w:bCs/>
                <w:color w:val="auto"/>
                <w:sz w:val="24"/>
                <w:highlight w:val="none"/>
                <w:lang w:eastAsia="zh-CN"/>
              </w:rPr>
              <w:t xml:space="preserve"> </w:t>
            </w:r>
            <w:r>
              <w:rPr>
                <w:rFonts w:ascii="Times New Roman" w:hAnsi="Times New Roman" w:eastAsia="宋体" w:cs="Times New Roman"/>
                <w:b/>
                <w:bCs/>
                <w:color w:val="auto"/>
                <w:sz w:val="24"/>
                <w:highlight w:val="none"/>
                <w:lang w:eastAsia="zh-CN"/>
              </w:rPr>
              <w:t>本项目有组织废气产生排放情况</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795"/>
              <w:gridCol w:w="927"/>
              <w:gridCol w:w="888"/>
              <w:gridCol w:w="899"/>
              <w:gridCol w:w="906"/>
              <w:gridCol w:w="795"/>
              <w:gridCol w:w="1807"/>
              <w:gridCol w:w="861"/>
              <w:gridCol w:w="1115"/>
              <w:gridCol w:w="991"/>
              <w:gridCol w:w="991"/>
              <w:gridCol w:w="1281"/>
            </w:tblGrid>
            <w:tr w14:paraId="7A0FD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restart"/>
                  <w:vAlign w:val="center"/>
                </w:tcPr>
                <w:p w14:paraId="3BB5F974">
                  <w:pPr>
                    <w:pStyle w:val="41"/>
                    <w:ind w:firstLine="0"/>
                    <w:jc w:val="center"/>
                    <w:rPr>
                      <w:color w:val="auto"/>
                      <w:sz w:val="21"/>
                      <w:szCs w:val="21"/>
                      <w:highlight w:val="none"/>
                    </w:rPr>
                  </w:pPr>
                  <w:r>
                    <w:rPr>
                      <w:color w:val="auto"/>
                      <w:sz w:val="21"/>
                      <w:szCs w:val="21"/>
                      <w:highlight w:val="none"/>
                    </w:rPr>
                    <w:t>污染源</w:t>
                  </w:r>
                </w:p>
              </w:tc>
              <w:tc>
                <w:tcPr>
                  <w:tcW w:w="301" w:type="pct"/>
                  <w:vMerge w:val="restart"/>
                  <w:vAlign w:val="center"/>
                </w:tcPr>
                <w:p w14:paraId="2A98EA41">
                  <w:pPr>
                    <w:pStyle w:val="41"/>
                    <w:ind w:firstLine="0"/>
                    <w:jc w:val="center"/>
                    <w:rPr>
                      <w:color w:val="auto"/>
                      <w:sz w:val="21"/>
                      <w:szCs w:val="21"/>
                      <w:highlight w:val="none"/>
                    </w:rPr>
                  </w:pPr>
                  <w:r>
                    <w:rPr>
                      <w:color w:val="auto"/>
                      <w:sz w:val="21"/>
                      <w:szCs w:val="21"/>
                      <w:highlight w:val="none"/>
                    </w:rPr>
                    <w:t>时间</w:t>
                  </w:r>
                  <w:r>
                    <w:rPr>
                      <w:rFonts w:hint="eastAsia"/>
                      <w:color w:val="auto"/>
                      <w:sz w:val="21"/>
                      <w:szCs w:val="21"/>
                      <w:highlight w:val="none"/>
                    </w:rPr>
                    <w:t>/</w:t>
                  </w:r>
                  <w:r>
                    <w:rPr>
                      <w:color w:val="auto"/>
                      <w:sz w:val="21"/>
                      <w:szCs w:val="21"/>
                      <w:highlight w:val="none"/>
                    </w:rPr>
                    <w:t>h</w:t>
                  </w:r>
                </w:p>
              </w:tc>
              <w:tc>
                <w:tcPr>
                  <w:tcW w:w="351" w:type="pct"/>
                  <w:vMerge w:val="restart"/>
                  <w:vAlign w:val="center"/>
                </w:tcPr>
                <w:p w14:paraId="715DFFC5">
                  <w:pPr>
                    <w:pStyle w:val="41"/>
                    <w:ind w:firstLine="0"/>
                    <w:jc w:val="center"/>
                    <w:rPr>
                      <w:color w:val="auto"/>
                      <w:sz w:val="21"/>
                      <w:szCs w:val="21"/>
                      <w:highlight w:val="none"/>
                    </w:rPr>
                  </w:pPr>
                  <w:r>
                    <w:rPr>
                      <w:color w:val="auto"/>
                      <w:sz w:val="21"/>
                      <w:szCs w:val="21"/>
                      <w:highlight w:val="none"/>
                    </w:rPr>
                    <w:t>风量m</w:t>
                  </w:r>
                  <w:r>
                    <w:rPr>
                      <w:color w:val="auto"/>
                      <w:sz w:val="21"/>
                      <w:szCs w:val="21"/>
                      <w:highlight w:val="none"/>
                      <w:vertAlign w:val="superscript"/>
                    </w:rPr>
                    <w:t>3</w:t>
                  </w:r>
                  <w:r>
                    <w:rPr>
                      <w:color w:val="auto"/>
                      <w:sz w:val="21"/>
                      <w:szCs w:val="21"/>
                      <w:highlight w:val="none"/>
                    </w:rPr>
                    <w:t>/h</w:t>
                  </w:r>
                </w:p>
              </w:tc>
              <w:tc>
                <w:tcPr>
                  <w:tcW w:w="336" w:type="pct"/>
                  <w:vMerge w:val="restart"/>
                  <w:vAlign w:val="center"/>
                </w:tcPr>
                <w:p w14:paraId="6B46A66B">
                  <w:pPr>
                    <w:pStyle w:val="41"/>
                    <w:ind w:firstLine="0"/>
                    <w:jc w:val="center"/>
                    <w:rPr>
                      <w:color w:val="auto"/>
                      <w:sz w:val="21"/>
                      <w:szCs w:val="21"/>
                      <w:highlight w:val="none"/>
                    </w:rPr>
                  </w:pPr>
                  <w:r>
                    <w:rPr>
                      <w:color w:val="auto"/>
                      <w:sz w:val="21"/>
                      <w:szCs w:val="21"/>
                      <w:highlight w:val="none"/>
                    </w:rPr>
                    <w:t>污染物</w:t>
                  </w:r>
                </w:p>
              </w:tc>
              <w:tc>
                <w:tcPr>
                  <w:tcW w:w="984" w:type="pct"/>
                  <w:gridSpan w:val="3"/>
                  <w:vAlign w:val="center"/>
                </w:tcPr>
                <w:p w14:paraId="1F54F736">
                  <w:pPr>
                    <w:pStyle w:val="41"/>
                    <w:ind w:firstLine="0"/>
                    <w:jc w:val="center"/>
                    <w:rPr>
                      <w:color w:val="auto"/>
                      <w:sz w:val="21"/>
                      <w:szCs w:val="21"/>
                      <w:highlight w:val="none"/>
                    </w:rPr>
                  </w:pPr>
                  <w:r>
                    <w:rPr>
                      <w:color w:val="auto"/>
                      <w:sz w:val="21"/>
                      <w:szCs w:val="21"/>
                      <w:highlight w:val="none"/>
                    </w:rPr>
                    <w:t>产生情况</w:t>
                  </w:r>
                </w:p>
              </w:tc>
              <w:tc>
                <w:tcPr>
                  <w:tcW w:w="684" w:type="pct"/>
                  <w:vMerge w:val="restart"/>
                  <w:vAlign w:val="center"/>
                </w:tcPr>
                <w:p w14:paraId="5EAB4CD7">
                  <w:pPr>
                    <w:pStyle w:val="41"/>
                    <w:ind w:firstLine="0"/>
                    <w:jc w:val="center"/>
                    <w:rPr>
                      <w:color w:val="auto"/>
                      <w:sz w:val="21"/>
                      <w:szCs w:val="21"/>
                      <w:highlight w:val="none"/>
                    </w:rPr>
                  </w:pPr>
                  <w:r>
                    <w:rPr>
                      <w:color w:val="auto"/>
                      <w:sz w:val="21"/>
                      <w:szCs w:val="21"/>
                      <w:highlight w:val="none"/>
                    </w:rPr>
                    <w:t>处理措施</w:t>
                  </w:r>
                </w:p>
              </w:tc>
              <w:tc>
                <w:tcPr>
                  <w:tcW w:w="326" w:type="pct"/>
                  <w:vMerge w:val="restart"/>
                  <w:vAlign w:val="center"/>
                </w:tcPr>
                <w:p w14:paraId="4D8B4441">
                  <w:pPr>
                    <w:pStyle w:val="41"/>
                    <w:ind w:firstLine="0"/>
                    <w:jc w:val="center"/>
                    <w:rPr>
                      <w:color w:val="auto"/>
                      <w:sz w:val="21"/>
                      <w:szCs w:val="21"/>
                      <w:highlight w:val="none"/>
                    </w:rPr>
                  </w:pPr>
                  <w:r>
                    <w:rPr>
                      <w:color w:val="auto"/>
                      <w:sz w:val="21"/>
                      <w:szCs w:val="21"/>
                      <w:highlight w:val="none"/>
                    </w:rPr>
                    <w:t>处理效率%</w:t>
                  </w:r>
                </w:p>
              </w:tc>
              <w:tc>
                <w:tcPr>
                  <w:tcW w:w="1657" w:type="pct"/>
                  <w:gridSpan w:val="4"/>
                  <w:vAlign w:val="center"/>
                </w:tcPr>
                <w:p w14:paraId="3DFCAAE8">
                  <w:pPr>
                    <w:pStyle w:val="41"/>
                    <w:ind w:firstLine="0"/>
                    <w:jc w:val="center"/>
                    <w:rPr>
                      <w:color w:val="auto"/>
                      <w:sz w:val="21"/>
                      <w:szCs w:val="21"/>
                      <w:highlight w:val="none"/>
                    </w:rPr>
                  </w:pPr>
                  <w:r>
                    <w:rPr>
                      <w:color w:val="auto"/>
                      <w:sz w:val="21"/>
                      <w:szCs w:val="21"/>
                      <w:highlight w:val="none"/>
                    </w:rPr>
                    <w:t>排放情况</w:t>
                  </w:r>
                </w:p>
              </w:tc>
            </w:tr>
            <w:tr w14:paraId="1474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continue"/>
                  <w:vAlign w:val="center"/>
                </w:tcPr>
                <w:p w14:paraId="71F9D98E">
                  <w:pPr>
                    <w:pStyle w:val="41"/>
                    <w:ind w:firstLine="0"/>
                    <w:jc w:val="center"/>
                    <w:rPr>
                      <w:color w:val="auto"/>
                      <w:sz w:val="21"/>
                      <w:szCs w:val="21"/>
                      <w:highlight w:val="none"/>
                    </w:rPr>
                  </w:pPr>
                </w:p>
              </w:tc>
              <w:tc>
                <w:tcPr>
                  <w:tcW w:w="301" w:type="pct"/>
                  <w:vMerge w:val="continue"/>
                  <w:vAlign w:val="center"/>
                </w:tcPr>
                <w:p w14:paraId="59BCCD98">
                  <w:pPr>
                    <w:pStyle w:val="41"/>
                    <w:ind w:firstLine="0"/>
                    <w:jc w:val="center"/>
                    <w:rPr>
                      <w:color w:val="auto"/>
                      <w:sz w:val="21"/>
                      <w:szCs w:val="21"/>
                      <w:highlight w:val="none"/>
                    </w:rPr>
                  </w:pPr>
                </w:p>
              </w:tc>
              <w:tc>
                <w:tcPr>
                  <w:tcW w:w="351" w:type="pct"/>
                  <w:vMerge w:val="continue"/>
                  <w:vAlign w:val="center"/>
                </w:tcPr>
                <w:p w14:paraId="2263D5CC">
                  <w:pPr>
                    <w:pStyle w:val="41"/>
                    <w:ind w:firstLine="0"/>
                    <w:jc w:val="center"/>
                    <w:rPr>
                      <w:color w:val="auto"/>
                      <w:sz w:val="21"/>
                      <w:szCs w:val="21"/>
                      <w:highlight w:val="none"/>
                    </w:rPr>
                  </w:pPr>
                </w:p>
              </w:tc>
              <w:tc>
                <w:tcPr>
                  <w:tcW w:w="336" w:type="pct"/>
                  <w:vMerge w:val="continue"/>
                  <w:vAlign w:val="center"/>
                </w:tcPr>
                <w:p w14:paraId="518E89E0">
                  <w:pPr>
                    <w:pStyle w:val="41"/>
                    <w:ind w:firstLine="0"/>
                    <w:jc w:val="center"/>
                    <w:rPr>
                      <w:color w:val="auto"/>
                      <w:sz w:val="21"/>
                      <w:szCs w:val="21"/>
                      <w:highlight w:val="none"/>
                    </w:rPr>
                  </w:pPr>
                </w:p>
              </w:tc>
              <w:tc>
                <w:tcPr>
                  <w:tcW w:w="340" w:type="pct"/>
                  <w:vAlign w:val="center"/>
                </w:tcPr>
                <w:p w14:paraId="1CE34B08">
                  <w:pPr>
                    <w:pStyle w:val="41"/>
                    <w:ind w:firstLine="0"/>
                    <w:jc w:val="center"/>
                    <w:rPr>
                      <w:color w:val="auto"/>
                      <w:sz w:val="21"/>
                      <w:szCs w:val="21"/>
                      <w:highlight w:val="none"/>
                    </w:rPr>
                  </w:pPr>
                  <w:r>
                    <w:rPr>
                      <w:color w:val="auto"/>
                      <w:sz w:val="21"/>
                      <w:szCs w:val="21"/>
                      <w:highlight w:val="none"/>
                    </w:rPr>
                    <w:t>浓度mg/m</w:t>
                  </w:r>
                  <w:r>
                    <w:rPr>
                      <w:color w:val="auto"/>
                      <w:sz w:val="21"/>
                      <w:szCs w:val="21"/>
                      <w:highlight w:val="none"/>
                      <w:vertAlign w:val="superscript"/>
                    </w:rPr>
                    <w:t>3</w:t>
                  </w:r>
                </w:p>
              </w:tc>
              <w:tc>
                <w:tcPr>
                  <w:tcW w:w="343" w:type="pct"/>
                  <w:vAlign w:val="center"/>
                </w:tcPr>
                <w:p w14:paraId="19A6070C">
                  <w:pPr>
                    <w:pStyle w:val="41"/>
                    <w:ind w:firstLine="0"/>
                    <w:jc w:val="center"/>
                    <w:rPr>
                      <w:color w:val="auto"/>
                      <w:sz w:val="21"/>
                      <w:szCs w:val="21"/>
                      <w:highlight w:val="none"/>
                    </w:rPr>
                  </w:pPr>
                  <w:r>
                    <w:rPr>
                      <w:color w:val="auto"/>
                      <w:sz w:val="21"/>
                      <w:szCs w:val="21"/>
                      <w:highlight w:val="none"/>
                    </w:rPr>
                    <w:t>速率kg/h</w:t>
                  </w:r>
                </w:p>
              </w:tc>
              <w:tc>
                <w:tcPr>
                  <w:tcW w:w="300" w:type="pct"/>
                  <w:vAlign w:val="center"/>
                </w:tcPr>
                <w:p w14:paraId="24607DEB">
                  <w:pPr>
                    <w:pStyle w:val="41"/>
                    <w:ind w:firstLine="0"/>
                    <w:jc w:val="center"/>
                    <w:rPr>
                      <w:color w:val="auto"/>
                      <w:sz w:val="21"/>
                      <w:szCs w:val="21"/>
                      <w:highlight w:val="none"/>
                    </w:rPr>
                  </w:pPr>
                  <w:r>
                    <w:rPr>
                      <w:color w:val="auto"/>
                      <w:sz w:val="21"/>
                      <w:szCs w:val="21"/>
                      <w:highlight w:val="none"/>
                    </w:rPr>
                    <w:t>产生量t/a</w:t>
                  </w:r>
                </w:p>
              </w:tc>
              <w:tc>
                <w:tcPr>
                  <w:tcW w:w="684" w:type="pct"/>
                  <w:vMerge w:val="continue"/>
                  <w:vAlign w:val="center"/>
                </w:tcPr>
                <w:p w14:paraId="1AEB1D04">
                  <w:pPr>
                    <w:pStyle w:val="41"/>
                    <w:ind w:firstLine="0"/>
                    <w:jc w:val="center"/>
                    <w:rPr>
                      <w:color w:val="auto"/>
                      <w:sz w:val="21"/>
                      <w:szCs w:val="21"/>
                      <w:highlight w:val="none"/>
                    </w:rPr>
                  </w:pPr>
                </w:p>
              </w:tc>
              <w:tc>
                <w:tcPr>
                  <w:tcW w:w="326" w:type="pct"/>
                  <w:vMerge w:val="continue"/>
                  <w:vAlign w:val="center"/>
                </w:tcPr>
                <w:p w14:paraId="5A2E82B1">
                  <w:pPr>
                    <w:pStyle w:val="41"/>
                    <w:ind w:firstLine="0"/>
                    <w:jc w:val="center"/>
                    <w:rPr>
                      <w:color w:val="auto"/>
                      <w:sz w:val="21"/>
                      <w:szCs w:val="21"/>
                      <w:highlight w:val="none"/>
                    </w:rPr>
                  </w:pPr>
                </w:p>
              </w:tc>
              <w:tc>
                <w:tcPr>
                  <w:tcW w:w="422" w:type="pct"/>
                  <w:vAlign w:val="center"/>
                </w:tcPr>
                <w:p w14:paraId="4CDF2DB0">
                  <w:pPr>
                    <w:pStyle w:val="41"/>
                    <w:ind w:firstLine="0"/>
                    <w:jc w:val="center"/>
                    <w:rPr>
                      <w:color w:val="auto"/>
                      <w:sz w:val="21"/>
                      <w:szCs w:val="21"/>
                      <w:highlight w:val="none"/>
                    </w:rPr>
                  </w:pPr>
                  <w:r>
                    <w:rPr>
                      <w:color w:val="auto"/>
                      <w:sz w:val="21"/>
                      <w:szCs w:val="21"/>
                      <w:highlight w:val="none"/>
                    </w:rPr>
                    <w:t>浓度mg/m</w:t>
                  </w:r>
                  <w:r>
                    <w:rPr>
                      <w:color w:val="auto"/>
                      <w:sz w:val="21"/>
                      <w:szCs w:val="21"/>
                      <w:highlight w:val="none"/>
                      <w:vertAlign w:val="superscript"/>
                    </w:rPr>
                    <w:t>3</w:t>
                  </w:r>
                </w:p>
              </w:tc>
              <w:tc>
                <w:tcPr>
                  <w:tcW w:w="375" w:type="pct"/>
                  <w:vAlign w:val="center"/>
                </w:tcPr>
                <w:p w14:paraId="370390E2">
                  <w:pPr>
                    <w:pStyle w:val="41"/>
                    <w:ind w:firstLine="0"/>
                    <w:jc w:val="center"/>
                    <w:rPr>
                      <w:color w:val="auto"/>
                      <w:sz w:val="21"/>
                      <w:szCs w:val="21"/>
                      <w:highlight w:val="none"/>
                    </w:rPr>
                  </w:pPr>
                  <w:r>
                    <w:rPr>
                      <w:color w:val="auto"/>
                      <w:sz w:val="21"/>
                      <w:szCs w:val="21"/>
                      <w:highlight w:val="none"/>
                    </w:rPr>
                    <w:t>速率kg/h</w:t>
                  </w:r>
                </w:p>
              </w:tc>
              <w:tc>
                <w:tcPr>
                  <w:tcW w:w="375" w:type="pct"/>
                  <w:vAlign w:val="center"/>
                </w:tcPr>
                <w:p w14:paraId="1ED4B30E">
                  <w:pPr>
                    <w:pStyle w:val="41"/>
                    <w:ind w:firstLine="0"/>
                    <w:jc w:val="center"/>
                    <w:rPr>
                      <w:color w:val="auto"/>
                      <w:sz w:val="21"/>
                      <w:szCs w:val="21"/>
                      <w:highlight w:val="none"/>
                    </w:rPr>
                  </w:pPr>
                  <w:r>
                    <w:rPr>
                      <w:color w:val="auto"/>
                      <w:sz w:val="21"/>
                      <w:szCs w:val="21"/>
                      <w:highlight w:val="none"/>
                    </w:rPr>
                    <w:t>排放量t/a</w:t>
                  </w:r>
                </w:p>
              </w:tc>
              <w:tc>
                <w:tcPr>
                  <w:tcW w:w="484" w:type="pct"/>
                  <w:vAlign w:val="center"/>
                </w:tcPr>
                <w:p w14:paraId="4DD134F9">
                  <w:pPr>
                    <w:pStyle w:val="41"/>
                    <w:ind w:firstLine="0"/>
                    <w:jc w:val="center"/>
                    <w:rPr>
                      <w:color w:val="auto"/>
                      <w:sz w:val="21"/>
                      <w:szCs w:val="21"/>
                      <w:highlight w:val="none"/>
                    </w:rPr>
                  </w:pPr>
                  <w:r>
                    <w:rPr>
                      <w:color w:val="auto"/>
                      <w:sz w:val="21"/>
                      <w:szCs w:val="21"/>
                      <w:highlight w:val="none"/>
                    </w:rPr>
                    <w:t>排气筒</w:t>
                  </w:r>
                </w:p>
              </w:tc>
            </w:tr>
            <w:tr w14:paraId="40A2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356" w:type="pct"/>
                  <w:vAlign w:val="center"/>
                </w:tcPr>
                <w:p w14:paraId="0683C3A0">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下料、焊接、打磨抛光</w:t>
                  </w:r>
                </w:p>
              </w:tc>
              <w:tc>
                <w:tcPr>
                  <w:tcW w:w="301" w:type="pct"/>
                  <w:vAlign w:val="center"/>
                </w:tcPr>
                <w:p w14:paraId="047ADB03">
                  <w:pPr>
                    <w:pStyle w:val="41"/>
                    <w:ind w:firstLine="0"/>
                    <w:jc w:val="center"/>
                    <w:rPr>
                      <w:rFonts w:hint="default" w:eastAsia="宋体"/>
                      <w:color w:val="auto"/>
                      <w:sz w:val="21"/>
                      <w:szCs w:val="21"/>
                      <w:highlight w:val="none"/>
                      <w:lang w:val="en-US" w:eastAsia="zh-CN"/>
                    </w:rPr>
                  </w:pPr>
                  <w:r>
                    <w:rPr>
                      <w:color w:val="auto"/>
                      <w:sz w:val="21"/>
                      <w:szCs w:val="21"/>
                      <w:highlight w:val="none"/>
                    </w:rPr>
                    <w:t>2400</w:t>
                  </w:r>
                </w:p>
              </w:tc>
              <w:tc>
                <w:tcPr>
                  <w:tcW w:w="351" w:type="pct"/>
                  <w:vAlign w:val="center"/>
                </w:tcPr>
                <w:p w14:paraId="5AD830CA">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15000</w:t>
                  </w:r>
                </w:p>
              </w:tc>
              <w:tc>
                <w:tcPr>
                  <w:tcW w:w="336" w:type="pct"/>
                  <w:vAlign w:val="center"/>
                </w:tcPr>
                <w:p w14:paraId="01779809">
                  <w:pPr>
                    <w:pStyle w:val="41"/>
                    <w:ind w:firstLine="0"/>
                    <w:jc w:val="center"/>
                    <w:rPr>
                      <w:color w:val="auto"/>
                      <w:sz w:val="21"/>
                      <w:szCs w:val="21"/>
                      <w:highlight w:val="none"/>
                    </w:rPr>
                  </w:pPr>
                  <w:r>
                    <w:rPr>
                      <w:color w:val="auto"/>
                      <w:sz w:val="21"/>
                      <w:szCs w:val="21"/>
                      <w:highlight w:val="none"/>
                    </w:rPr>
                    <w:t>颗粒物</w:t>
                  </w:r>
                </w:p>
              </w:tc>
              <w:tc>
                <w:tcPr>
                  <w:tcW w:w="340" w:type="pct"/>
                  <w:vAlign w:val="center"/>
                </w:tcPr>
                <w:p w14:paraId="51576762">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287.4</w:t>
                  </w:r>
                </w:p>
              </w:tc>
              <w:tc>
                <w:tcPr>
                  <w:tcW w:w="343" w:type="pct"/>
                  <w:vAlign w:val="center"/>
                </w:tcPr>
                <w:p w14:paraId="20E268B3">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4.311</w:t>
                  </w:r>
                </w:p>
              </w:tc>
              <w:tc>
                <w:tcPr>
                  <w:tcW w:w="300" w:type="pct"/>
                  <w:vAlign w:val="center"/>
                </w:tcPr>
                <w:p w14:paraId="07C52650">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10.347</w:t>
                  </w:r>
                </w:p>
              </w:tc>
              <w:tc>
                <w:tcPr>
                  <w:tcW w:w="684" w:type="pct"/>
                  <w:vAlign w:val="center"/>
                </w:tcPr>
                <w:p w14:paraId="0EE60102">
                  <w:pPr>
                    <w:pStyle w:val="41"/>
                    <w:ind w:firstLine="0"/>
                    <w:jc w:val="center"/>
                    <w:rPr>
                      <w:color w:val="auto"/>
                      <w:sz w:val="21"/>
                      <w:szCs w:val="21"/>
                      <w:highlight w:val="none"/>
                    </w:rPr>
                  </w:pPr>
                  <w:r>
                    <w:rPr>
                      <w:rFonts w:hint="eastAsia"/>
                      <w:color w:val="auto"/>
                      <w:sz w:val="21"/>
                      <w:szCs w:val="21"/>
                      <w:highlight w:val="none"/>
                    </w:rPr>
                    <w:t>经</w:t>
                  </w:r>
                  <w:r>
                    <w:rPr>
                      <w:rFonts w:hint="eastAsia"/>
                      <w:color w:val="auto"/>
                      <w:sz w:val="21"/>
                      <w:szCs w:val="21"/>
                      <w:highlight w:val="none"/>
                      <w:lang w:val="en-US" w:eastAsia="zh-CN"/>
                    </w:rPr>
                    <w:t>下料密闭收集、其余工序集气罩收集</w:t>
                  </w:r>
                  <w:r>
                    <w:rPr>
                      <w:color w:val="auto"/>
                      <w:sz w:val="21"/>
                      <w:szCs w:val="21"/>
                      <w:highlight w:val="none"/>
                    </w:rPr>
                    <w:t>通过布袋除尘器处理后经15m排气筒（DA001）排放</w:t>
                  </w:r>
                </w:p>
              </w:tc>
              <w:tc>
                <w:tcPr>
                  <w:tcW w:w="326" w:type="pct"/>
                  <w:vAlign w:val="center"/>
                </w:tcPr>
                <w:p w14:paraId="6BB83B1F">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rPr>
                    <w:t>9</w:t>
                  </w:r>
                  <w:r>
                    <w:rPr>
                      <w:rFonts w:hint="eastAsia"/>
                      <w:color w:val="auto"/>
                      <w:sz w:val="21"/>
                      <w:szCs w:val="21"/>
                      <w:highlight w:val="none"/>
                      <w:lang w:val="en-US" w:eastAsia="zh-CN"/>
                    </w:rPr>
                    <w:t>9</w:t>
                  </w:r>
                </w:p>
              </w:tc>
              <w:tc>
                <w:tcPr>
                  <w:tcW w:w="1115" w:type="dxa"/>
                  <w:vAlign w:val="center"/>
                </w:tcPr>
                <w:p w14:paraId="17DC4CAE">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2.6</w:t>
                  </w:r>
                </w:p>
              </w:tc>
              <w:tc>
                <w:tcPr>
                  <w:tcW w:w="991" w:type="dxa"/>
                  <w:vAlign w:val="center"/>
                </w:tcPr>
                <w:p w14:paraId="48C6F008">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0.039</w:t>
                  </w:r>
                </w:p>
              </w:tc>
              <w:tc>
                <w:tcPr>
                  <w:tcW w:w="991" w:type="dxa"/>
                  <w:vAlign w:val="center"/>
                </w:tcPr>
                <w:p w14:paraId="19373F96">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0.095</w:t>
                  </w:r>
                </w:p>
              </w:tc>
              <w:tc>
                <w:tcPr>
                  <w:tcW w:w="484" w:type="pct"/>
                  <w:vAlign w:val="center"/>
                </w:tcPr>
                <w:p w14:paraId="605414BE">
                  <w:pPr>
                    <w:pStyle w:val="41"/>
                    <w:ind w:firstLine="0"/>
                    <w:jc w:val="center"/>
                    <w:rPr>
                      <w:color w:val="auto"/>
                      <w:sz w:val="21"/>
                      <w:szCs w:val="21"/>
                      <w:highlight w:val="none"/>
                    </w:rPr>
                  </w:pPr>
                  <w:r>
                    <w:rPr>
                      <w:color w:val="auto"/>
                      <w:sz w:val="21"/>
                      <w:szCs w:val="21"/>
                      <w:highlight w:val="none"/>
                    </w:rPr>
                    <w:t>内径</w:t>
                  </w:r>
                  <w:r>
                    <w:rPr>
                      <w:rFonts w:hint="eastAsia"/>
                      <w:color w:val="auto"/>
                      <w:sz w:val="21"/>
                      <w:szCs w:val="21"/>
                      <w:highlight w:val="none"/>
                      <w:lang w:val="en-US" w:eastAsia="zh-CN"/>
                    </w:rPr>
                    <w:t>0.4</w:t>
                  </w:r>
                  <w:r>
                    <w:rPr>
                      <w:color w:val="auto"/>
                      <w:sz w:val="21"/>
                      <w:szCs w:val="21"/>
                      <w:highlight w:val="none"/>
                    </w:rPr>
                    <w:t>m，高15m</w:t>
                  </w:r>
                </w:p>
              </w:tc>
            </w:tr>
            <w:tr w14:paraId="604E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Align w:val="center"/>
                </w:tcPr>
                <w:p w14:paraId="38D0D3B2">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抛丸</w:t>
                  </w:r>
                </w:p>
              </w:tc>
              <w:tc>
                <w:tcPr>
                  <w:tcW w:w="301" w:type="pct"/>
                  <w:vAlign w:val="center"/>
                </w:tcPr>
                <w:p w14:paraId="254B2497">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2400</w:t>
                  </w:r>
                </w:p>
              </w:tc>
              <w:tc>
                <w:tcPr>
                  <w:tcW w:w="351" w:type="pct"/>
                  <w:vAlign w:val="center"/>
                </w:tcPr>
                <w:p w14:paraId="3C1DB7B8">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3500</w:t>
                  </w:r>
                </w:p>
              </w:tc>
              <w:tc>
                <w:tcPr>
                  <w:tcW w:w="336" w:type="pct"/>
                  <w:vAlign w:val="center"/>
                </w:tcPr>
                <w:p w14:paraId="226D4EEE">
                  <w:pPr>
                    <w:pStyle w:val="41"/>
                    <w:ind w:firstLine="0"/>
                    <w:jc w:val="center"/>
                    <w:rPr>
                      <w:color w:val="auto"/>
                      <w:sz w:val="21"/>
                      <w:szCs w:val="21"/>
                      <w:highlight w:val="none"/>
                    </w:rPr>
                  </w:pPr>
                  <w:r>
                    <w:rPr>
                      <w:color w:val="auto"/>
                      <w:sz w:val="21"/>
                      <w:szCs w:val="21"/>
                      <w:highlight w:val="none"/>
                    </w:rPr>
                    <w:t>颗粒物</w:t>
                  </w:r>
                </w:p>
              </w:tc>
              <w:tc>
                <w:tcPr>
                  <w:tcW w:w="340" w:type="pct"/>
                  <w:vAlign w:val="center"/>
                </w:tcPr>
                <w:p w14:paraId="6E2BE200">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109.42</w:t>
                  </w:r>
                </w:p>
              </w:tc>
              <w:tc>
                <w:tcPr>
                  <w:tcW w:w="343" w:type="pct"/>
                  <w:vAlign w:val="center"/>
                </w:tcPr>
                <w:p w14:paraId="69DD7632">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0.383</w:t>
                  </w:r>
                </w:p>
              </w:tc>
              <w:tc>
                <w:tcPr>
                  <w:tcW w:w="300" w:type="pct"/>
                  <w:vAlign w:val="center"/>
                </w:tcPr>
                <w:p w14:paraId="731C57B4">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0.92</w:t>
                  </w:r>
                </w:p>
              </w:tc>
              <w:tc>
                <w:tcPr>
                  <w:tcW w:w="684" w:type="pct"/>
                  <w:vAlign w:val="center"/>
                </w:tcPr>
                <w:p w14:paraId="655680F1">
                  <w:pPr>
                    <w:pStyle w:val="41"/>
                    <w:ind w:firstLine="0"/>
                    <w:jc w:val="center"/>
                    <w:rPr>
                      <w:rFonts w:hint="eastAsia"/>
                      <w:color w:val="auto"/>
                      <w:sz w:val="21"/>
                      <w:szCs w:val="21"/>
                      <w:highlight w:val="none"/>
                    </w:rPr>
                  </w:pPr>
                  <w:r>
                    <w:rPr>
                      <w:rFonts w:hint="eastAsia"/>
                      <w:color w:val="auto"/>
                      <w:sz w:val="21"/>
                      <w:szCs w:val="21"/>
                      <w:highlight w:val="none"/>
                    </w:rPr>
                    <w:t>经</w:t>
                  </w:r>
                  <w:r>
                    <w:rPr>
                      <w:rFonts w:hint="eastAsia"/>
                      <w:color w:val="auto"/>
                      <w:sz w:val="21"/>
                      <w:szCs w:val="21"/>
                      <w:highlight w:val="none"/>
                      <w:lang w:val="en-US" w:eastAsia="zh-CN"/>
                    </w:rPr>
                    <w:t>负压收集</w:t>
                  </w:r>
                  <w:r>
                    <w:rPr>
                      <w:color w:val="auto"/>
                      <w:sz w:val="21"/>
                      <w:szCs w:val="21"/>
                      <w:highlight w:val="none"/>
                    </w:rPr>
                    <w:t>通过布袋除尘器处理后经15m排气筒（DA00</w:t>
                  </w:r>
                  <w:r>
                    <w:rPr>
                      <w:rFonts w:hint="eastAsia"/>
                      <w:color w:val="auto"/>
                      <w:sz w:val="21"/>
                      <w:szCs w:val="21"/>
                      <w:highlight w:val="none"/>
                      <w:lang w:val="en-US" w:eastAsia="zh-CN"/>
                    </w:rPr>
                    <w:t>2</w:t>
                  </w:r>
                  <w:r>
                    <w:rPr>
                      <w:color w:val="auto"/>
                      <w:sz w:val="21"/>
                      <w:szCs w:val="21"/>
                      <w:highlight w:val="none"/>
                    </w:rPr>
                    <w:t>）排放</w:t>
                  </w:r>
                </w:p>
              </w:tc>
              <w:tc>
                <w:tcPr>
                  <w:tcW w:w="326" w:type="pct"/>
                  <w:vAlign w:val="center"/>
                </w:tcPr>
                <w:p w14:paraId="1BADB750">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99</w:t>
                  </w:r>
                </w:p>
              </w:tc>
              <w:tc>
                <w:tcPr>
                  <w:tcW w:w="422" w:type="pct"/>
                  <w:vAlign w:val="center"/>
                </w:tcPr>
                <w:p w14:paraId="249D5EF3">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1.14</w:t>
                  </w:r>
                </w:p>
              </w:tc>
              <w:tc>
                <w:tcPr>
                  <w:tcW w:w="375" w:type="pct"/>
                  <w:vAlign w:val="center"/>
                </w:tcPr>
                <w:p w14:paraId="3AD5EDC6">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0.004</w:t>
                  </w:r>
                </w:p>
              </w:tc>
              <w:tc>
                <w:tcPr>
                  <w:tcW w:w="375" w:type="pct"/>
                  <w:vAlign w:val="center"/>
                </w:tcPr>
                <w:p w14:paraId="1E1A0FFC">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0.009</w:t>
                  </w:r>
                </w:p>
              </w:tc>
              <w:tc>
                <w:tcPr>
                  <w:tcW w:w="484" w:type="pct"/>
                  <w:vAlign w:val="center"/>
                </w:tcPr>
                <w:p w14:paraId="4350F21A">
                  <w:pPr>
                    <w:pStyle w:val="41"/>
                    <w:ind w:firstLine="0"/>
                    <w:jc w:val="center"/>
                    <w:rPr>
                      <w:color w:val="auto"/>
                      <w:sz w:val="21"/>
                      <w:szCs w:val="21"/>
                      <w:highlight w:val="none"/>
                    </w:rPr>
                  </w:pPr>
                  <w:r>
                    <w:rPr>
                      <w:color w:val="auto"/>
                      <w:sz w:val="21"/>
                      <w:szCs w:val="21"/>
                      <w:highlight w:val="none"/>
                    </w:rPr>
                    <w:t>内径</w:t>
                  </w:r>
                  <w:r>
                    <w:rPr>
                      <w:rFonts w:hint="eastAsia"/>
                      <w:color w:val="auto"/>
                      <w:sz w:val="21"/>
                      <w:szCs w:val="21"/>
                      <w:highlight w:val="none"/>
                      <w:lang w:val="en-US" w:eastAsia="zh-CN"/>
                    </w:rPr>
                    <w:t>0.1</w:t>
                  </w:r>
                  <w:r>
                    <w:rPr>
                      <w:color w:val="auto"/>
                      <w:sz w:val="21"/>
                      <w:szCs w:val="21"/>
                      <w:highlight w:val="none"/>
                    </w:rPr>
                    <w:t>m，高15m</w:t>
                  </w:r>
                </w:p>
              </w:tc>
            </w:tr>
            <w:tr w14:paraId="13CE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56" w:type="pct"/>
                  <w:vAlign w:val="center"/>
                </w:tcPr>
                <w:p w14:paraId="063A1970">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喷塑</w:t>
                  </w:r>
                </w:p>
              </w:tc>
              <w:tc>
                <w:tcPr>
                  <w:tcW w:w="301" w:type="pct"/>
                  <w:vAlign w:val="center"/>
                </w:tcPr>
                <w:p w14:paraId="3C8D76EF">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1800</w:t>
                  </w:r>
                </w:p>
              </w:tc>
              <w:tc>
                <w:tcPr>
                  <w:tcW w:w="351" w:type="pct"/>
                  <w:vAlign w:val="center"/>
                </w:tcPr>
                <w:p w14:paraId="56494173">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15000</w:t>
                  </w:r>
                </w:p>
              </w:tc>
              <w:tc>
                <w:tcPr>
                  <w:tcW w:w="336" w:type="pct"/>
                  <w:vAlign w:val="center"/>
                </w:tcPr>
                <w:p w14:paraId="08F54E52">
                  <w:pPr>
                    <w:pStyle w:val="41"/>
                    <w:ind w:firstLine="0"/>
                    <w:jc w:val="center"/>
                    <w:rPr>
                      <w:color w:val="auto"/>
                      <w:sz w:val="21"/>
                      <w:szCs w:val="21"/>
                      <w:highlight w:val="none"/>
                    </w:rPr>
                  </w:pPr>
                  <w:r>
                    <w:rPr>
                      <w:color w:val="auto"/>
                      <w:sz w:val="21"/>
                      <w:szCs w:val="21"/>
                      <w:highlight w:val="none"/>
                    </w:rPr>
                    <w:t>颗粒物</w:t>
                  </w:r>
                </w:p>
              </w:tc>
              <w:tc>
                <w:tcPr>
                  <w:tcW w:w="340" w:type="pct"/>
                  <w:vAlign w:val="center"/>
                </w:tcPr>
                <w:p w14:paraId="10D3FCC0">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1633.33</w:t>
                  </w:r>
                </w:p>
              </w:tc>
              <w:tc>
                <w:tcPr>
                  <w:tcW w:w="343" w:type="pct"/>
                  <w:vAlign w:val="center"/>
                </w:tcPr>
                <w:p w14:paraId="0169838F">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24.5</w:t>
                  </w:r>
                </w:p>
              </w:tc>
              <w:tc>
                <w:tcPr>
                  <w:tcW w:w="300" w:type="pct"/>
                  <w:vAlign w:val="center"/>
                </w:tcPr>
                <w:p w14:paraId="1C685BCA">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44.1</w:t>
                  </w:r>
                </w:p>
              </w:tc>
              <w:tc>
                <w:tcPr>
                  <w:tcW w:w="684" w:type="pct"/>
                  <w:vAlign w:val="center"/>
                </w:tcPr>
                <w:p w14:paraId="7A113AB2">
                  <w:pPr>
                    <w:pStyle w:val="41"/>
                    <w:ind w:firstLine="0"/>
                    <w:jc w:val="center"/>
                    <w:rPr>
                      <w:rFonts w:hint="eastAsia"/>
                      <w:color w:val="auto"/>
                      <w:sz w:val="21"/>
                      <w:szCs w:val="21"/>
                      <w:highlight w:val="none"/>
                    </w:rPr>
                  </w:pPr>
                  <w:r>
                    <w:rPr>
                      <w:rFonts w:hint="eastAsia"/>
                      <w:color w:val="auto"/>
                      <w:sz w:val="21"/>
                      <w:szCs w:val="21"/>
                      <w:highlight w:val="none"/>
                    </w:rPr>
                    <w:t>经</w:t>
                  </w:r>
                  <w:r>
                    <w:rPr>
                      <w:rFonts w:hint="eastAsia"/>
                      <w:color w:val="auto"/>
                      <w:sz w:val="21"/>
                      <w:szCs w:val="21"/>
                      <w:highlight w:val="none"/>
                      <w:lang w:val="en-US" w:eastAsia="zh-CN"/>
                    </w:rPr>
                    <w:t>密闭负压收集</w:t>
                  </w:r>
                  <w:r>
                    <w:rPr>
                      <w:color w:val="auto"/>
                      <w:sz w:val="21"/>
                      <w:szCs w:val="21"/>
                      <w:highlight w:val="none"/>
                    </w:rPr>
                    <w:t>通过</w:t>
                  </w:r>
                  <w:r>
                    <w:rPr>
                      <w:rFonts w:hint="eastAsia"/>
                      <w:color w:val="auto"/>
                      <w:sz w:val="21"/>
                      <w:szCs w:val="21"/>
                      <w:highlight w:val="none"/>
                      <w:lang w:val="en-US" w:eastAsia="zh-CN"/>
                    </w:rPr>
                    <w:t>滤芯除尘+布袋除尘器</w:t>
                  </w:r>
                  <w:r>
                    <w:rPr>
                      <w:color w:val="auto"/>
                      <w:sz w:val="21"/>
                      <w:szCs w:val="21"/>
                      <w:highlight w:val="none"/>
                    </w:rPr>
                    <w:t>处理后经15m排气筒（DA00</w:t>
                  </w:r>
                  <w:r>
                    <w:rPr>
                      <w:rFonts w:hint="eastAsia"/>
                      <w:color w:val="auto"/>
                      <w:sz w:val="21"/>
                      <w:szCs w:val="21"/>
                      <w:highlight w:val="none"/>
                      <w:lang w:val="en-US" w:eastAsia="zh-CN"/>
                    </w:rPr>
                    <w:t>3</w:t>
                  </w:r>
                  <w:r>
                    <w:rPr>
                      <w:color w:val="auto"/>
                      <w:sz w:val="21"/>
                      <w:szCs w:val="21"/>
                      <w:highlight w:val="none"/>
                    </w:rPr>
                    <w:t>）排放</w:t>
                  </w:r>
                </w:p>
              </w:tc>
              <w:tc>
                <w:tcPr>
                  <w:tcW w:w="326" w:type="pct"/>
                  <w:vAlign w:val="center"/>
                </w:tcPr>
                <w:p w14:paraId="1E9D9AC9">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99</w:t>
                  </w:r>
                </w:p>
              </w:tc>
              <w:tc>
                <w:tcPr>
                  <w:tcW w:w="422" w:type="pct"/>
                  <w:vAlign w:val="center"/>
                </w:tcPr>
                <w:p w14:paraId="157E7587">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15.46</w:t>
                  </w:r>
                </w:p>
              </w:tc>
              <w:tc>
                <w:tcPr>
                  <w:tcW w:w="375" w:type="pct"/>
                  <w:vAlign w:val="center"/>
                </w:tcPr>
                <w:p w14:paraId="55F4BACB">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0.232</w:t>
                  </w:r>
                </w:p>
              </w:tc>
              <w:tc>
                <w:tcPr>
                  <w:tcW w:w="375" w:type="pct"/>
                  <w:vAlign w:val="center"/>
                </w:tcPr>
                <w:p w14:paraId="48E8D3DD">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0.419</w:t>
                  </w:r>
                </w:p>
              </w:tc>
              <w:tc>
                <w:tcPr>
                  <w:tcW w:w="484" w:type="pct"/>
                  <w:vAlign w:val="center"/>
                </w:tcPr>
                <w:p w14:paraId="30D84F90">
                  <w:pPr>
                    <w:pStyle w:val="41"/>
                    <w:ind w:firstLine="0"/>
                    <w:jc w:val="center"/>
                    <w:rPr>
                      <w:color w:val="auto"/>
                      <w:sz w:val="21"/>
                      <w:szCs w:val="21"/>
                      <w:highlight w:val="none"/>
                    </w:rPr>
                  </w:pPr>
                  <w:r>
                    <w:rPr>
                      <w:color w:val="auto"/>
                      <w:sz w:val="21"/>
                      <w:szCs w:val="21"/>
                      <w:highlight w:val="none"/>
                    </w:rPr>
                    <w:t>内径</w:t>
                  </w:r>
                  <w:r>
                    <w:rPr>
                      <w:rFonts w:hint="eastAsia"/>
                      <w:color w:val="auto"/>
                      <w:sz w:val="21"/>
                      <w:szCs w:val="21"/>
                      <w:highlight w:val="none"/>
                      <w:lang w:val="en-US" w:eastAsia="zh-CN"/>
                    </w:rPr>
                    <w:t>0.4</w:t>
                  </w:r>
                  <w:r>
                    <w:rPr>
                      <w:color w:val="auto"/>
                      <w:sz w:val="21"/>
                      <w:szCs w:val="21"/>
                      <w:highlight w:val="none"/>
                    </w:rPr>
                    <w:t>m，高15m</w:t>
                  </w:r>
                </w:p>
              </w:tc>
            </w:tr>
            <w:tr w14:paraId="44B0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restart"/>
                  <w:vAlign w:val="center"/>
                </w:tcPr>
                <w:p w14:paraId="13D9F9A3">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固化/烘干</w:t>
                  </w:r>
                </w:p>
              </w:tc>
              <w:tc>
                <w:tcPr>
                  <w:tcW w:w="301" w:type="pct"/>
                  <w:vMerge w:val="restart"/>
                  <w:vAlign w:val="center"/>
                </w:tcPr>
                <w:p w14:paraId="41A4C869">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1800</w:t>
                  </w:r>
                </w:p>
              </w:tc>
              <w:tc>
                <w:tcPr>
                  <w:tcW w:w="351" w:type="pct"/>
                  <w:vMerge w:val="restart"/>
                  <w:vAlign w:val="center"/>
                </w:tcPr>
                <w:p w14:paraId="225FAA87">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15000</w:t>
                  </w:r>
                </w:p>
              </w:tc>
              <w:tc>
                <w:tcPr>
                  <w:tcW w:w="336" w:type="pct"/>
                  <w:vAlign w:val="center"/>
                </w:tcPr>
                <w:p w14:paraId="56650804">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非甲烷总烃</w:t>
                  </w:r>
                </w:p>
              </w:tc>
              <w:tc>
                <w:tcPr>
                  <w:tcW w:w="899" w:type="dxa"/>
                  <w:vAlign w:val="center"/>
                </w:tcPr>
                <w:p w14:paraId="710C3292">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133.13</w:t>
                  </w:r>
                </w:p>
              </w:tc>
              <w:tc>
                <w:tcPr>
                  <w:tcW w:w="906" w:type="dxa"/>
                  <w:vAlign w:val="center"/>
                </w:tcPr>
                <w:p w14:paraId="2F9DED94">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1.997</w:t>
                  </w:r>
                </w:p>
              </w:tc>
              <w:tc>
                <w:tcPr>
                  <w:tcW w:w="795" w:type="dxa"/>
                  <w:vAlign w:val="center"/>
                </w:tcPr>
                <w:p w14:paraId="65695ED5">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3.595</w:t>
                  </w:r>
                </w:p>
              </w:tc>
              <w:tc>
                <w:tcPr>
                  <w:tcW w:w="684" w:type="pct"/>
                  <w:vAlign w:val="center"/>
                </w:tcPr>
                <w:p w14:paraId="39F287BD">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经集气罩收集+风冷+二级活性炭处理后通过15m排气筒排放（DA004）</w:t>
                  </w:r>
                </w:p>
              </w:tc>
              <w:tc>
                <w:tcPr>
                  <w:tcW w:w="326" w:type="pct"/>
                  <w:vAlign w:val="center"/>
                </w:tcPr>
                <w:p w14:paraId="7DE3DB1B">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90</w:t>
                  </w:r>
                </w:p>
              </w:tc>
              <w:tc>
                <w:tcPr>
                  <w:tcW w:w="1115" w:type="dxa"/>
                  <w:vAlign w:val="center"/>
                </w:tcPr>
                <w:p w14:paraId="51BB88DA">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12.67</w:t>
                  </w:r>
                </w:p>
              </w:tc>
              <w:tc>
                <w:tcPr>
                  <w:tcW w:w="991" w:type="dxa"/>
                  <w:vAlign w:val="center"/>
                </w:tcPr>
                <w:p w14:paraId="5C651DCA">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0.19</w:t>
                  </w:r>
                </w:p>
              </w:tc>
              <w:tc>
                <w:tcPr>
                  <w:tcW w:w="991" w:type="dxa"/>
                  <w:vAlign w:val="center"/>
                </w:tcPr>
                <w:p w14:paraId="303D5E07">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0.342</w:t>
                  </w:r>
                </w:p>
              </w:tc>
              <w:tc>
                <w:tcPr>
                  <w:tcW w:w="484" w:type="pct"/>
                  <w:vMerge w:val="restart"/>
                  <w:vAlign w:val="center"/>
                </w:tcPr>
                <w:p w14:paraId="04D0F08F">
                  <w:pPr>
                    <w:pStyle w:val="41"/>
                    <w:ind w:firstLine="0"/>
                    <w:jc w:val="center"/>
                    <w:rPr>
                      <w:color w:val="auto"/>
                      <w:sz w:val="21"/>
                      <w:szCs w:val="21"/>
                      <w:highlight w:val="none"/>
                    </w:rPr>
                  </w:pPr>
                  <w:r>
                    <w:rPr>
                      <w:color w:val="auto"/>
                      <w:sz w:val="21"/>
                      <w:szCs w:val="21"/>
                      <w:highlight w:val="none"/>
                    </w:rPr>
                    <w:t>内径</w:t>
                  </w:r>
                  <w:r>
                    <w:rPr>
                      <w:rFonts w:hint="eastAsia"/>
                      <w:color w:val="auto"/>
                      <w:sz w:val="21"/>
                      <w:szCs w:val="21"/>
                      <w:highlight w:val="none"/>
                      <w:lang w:val="en-US" w:eastAsia="zh-CN"/>
                    </w:rPr>
                    <w:t>0.4</w:t>
                  </w:r>
                  <w:r>
                    <w:rPr>
                      <w:color w:val="auto"/>
                      <w:sz w:val="21"/>
                      <w:szCs w:val="21"/>
                      <w:highlight w:val="none"/>
                    </w:rPr>
                    <w:t>m，高15m</w:t>
                  </w:r>
                </w:p>
              </w:tc>
            </w:tr>
            <w:tr w14:paraId="1E21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continue"/>
                  <w:vAlign w:val="center"/>
                </w:tcPr>
                <w:p w14:paraId="01AE4FEA">
                  <w:pPr>
                    <w:pStyle w:val="41"/>
                    <w:ind w:firstLine="0"/>
                    <w:jc w:val="center"/>
                    <w:rPr>
                      <w:rFonts w:hint="eastAsia"/>
                      <w:color w:val="auto"/>
                      <w:sz w:val="21"/>
                      <w:szCs w:val="21"/>
                      <w:highlight w:val="none"/>
                      <w:lang w:val="en-US" w:eastAsia="zh-CN"/>
                    </w:rPr>
                  </w:pPr>
                </w:p>
              </w:tc>
              <w:tc>
                <w:tcPr>
                  <w:tcW w:w="301" w:type="pct"/>
                  <w:vMerge w:val="continue"/>
                  <w:vAlign w:val="center"/>
                </w:tcPr>
                <w:p w14:paraId="3C6010F7">
                  <w:pPr>
                    <w:pStyle w:val="41"/>
                    <w:ind w:firstLine="0"/>
                    <w:jc w:val="center"/>
                    <w:rPr>
                      <w:rFonts w:hint="eastAsia"/>
                      <w:color w:val="auto"/>
                      <w:sz w:val="21"/>
                      <w:szCs w:val="21"/>
                      <w:highlight w:val="none"/>
                      <w:lang w:val="en-US" w:eastAsia="zh-CN"/>
                    </w:rPr>
                  </w:pPr>
                </w:p>
              </w:tc>
              <w:tc>
                <w:tcPr>
                  <w:tcW w:w="351" w:type="pct"/>
                  <w:vMerge w:val="continue"/>
                  <w:vAlign w:val="center"/>
                </w:tcPr>
                <w:p w14:paraId="4F085E09">
                  <w:pPr>
                    <w:pStyle w:val="41"/>
                    <w:ind w:firstLine="0"/>
                    <w:jc w:val="center"/>
                    <w:rPr>
                      <w:rFonts w:hint="eastAsia"/>
                      <w:color w:val="auto"/>
                      <w:sz w:val="21"/>
                      <w:szCs w:val="21"/>
                      <w:highlight w:val="none"/>
                      <w:lang w:val="en-US" w:eastAsia="zh-CN"/>
                    </w:rPr>
                  </w:pPr>
                </w:p>
              </w:tc>
              <w:tc>
                <w:tcPr>
                  <w:tcW w:w="336" w:type="pct"/>
                  <w:vAlign w:val="center"/>
                </w:tcPr>
                <w:p w14:paraId="19C6AF93">
                  <w:pPr>
                    <w:pStyle w:val="41"/>
                    <w:ind w:firstLine="0"/>
                    <w:jc w:val="center"/>
                    <w:rPr>
                      <w:color w:val="auto"/>
                      <w:sz w:val="21"/>
                      <w:szCs w:val="21"/>
                      <w:highlight w:val="none"/>
                    </w:rPr>
                  </w:pPr>
                  <w:r>
                    <w:rPr>
                      <w:color w:val="auto"/>
                      <w:sz w:val="21"/>
                      <w:szCs w:val="21"/>
                      <w:highlight w:val="none"/>
                    </w:rPr>
                    <w:t>颗粒物</w:t>
                  </w:r>
                </w:p>
              </w:tc>
              <w:tc>
                <w:tcPr>
                  <w:tcW w:w="340" w:type="pct"/>
                  <w:vAlign w:val="center"/>
                </w:tcPr>
                <w:p w14:paraId="448DCAC8">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43" w:type="pct"/>
                  <w:vAlign w:val="center"/>
                </w:tcPr>
                <w:p w14:paraId="4374BA9C">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00" w:type="pct"/>
                  <w:vAlign w:val="center"/>
                </w:tcPr>
                <w:p w14:paraId="3EA934CA">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0.048</w:t>
                  </w:r>
                </w:p>
              </w:tc>
              <w:tc>
                <w:tcPr>
                  <w:tcW w:w="684" w:type="pct"/>
                  <w:vAlign w:val="center"/>
                </w:tcPr>
                <w:p w14:paraId="5FA2ED93">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326" w:type="pct"/>
                  <w:vAlign w:val="center"/>
                </w:tcPr>
                <w:p w14:paraId="6A52EFC7">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422" w:type="pct"/>
                  <w:vAlign w:val="center"/>
                </w:tcPr>
                <w:p w14:paraId="64F99866">
                  <w:pPr>
                    <w:pStyle w:val="41"/>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375" w:type="pct"/>
                  <w:vAlign w:val="center"/>
                </w:tcPr>
                <w:p w14:paraId="555242C3">
                  <w:pPr>
                    <w:pStyle w:val="41"/>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375" w:type="pct"/>
                  <w:vAlign w:val="center"/>
                </w:tcPr>
                <w:p w14:paraId="78506FC7">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0.048</w:t>
                  </w:r>
                </w:p>
              </w:tc>
              <w:tc>
                <w:tcPr>
                  <w:tcW w:w="484" w:type="pct"/>
                  <w:vMerge w:val="continue"/>
                  <w:vAlign w:val="center"/>
                </w:tcPr>
                <w:p w14:paraId="180E29A5">
                  <w:pPr>
                    <w:pStyle w:val="41"/>
                    <w:ind w:firstLine="0"/>
                    <w:jc w:val="center"/>
                    <w:rPr>
                      <w:color w:val="auto"/>
                      <w:sz w:val="21"/>
                      <w:szCs w:val="21"/>
                      <w:highlight w:val="none"/>
                    </w:rPr>
                  </w:pPr>
                </w:p>
              </w:tc>
            </w:tr>
            <w:tr w14:paraId="42865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continue"/>
                  <w:vAlign w:val="center"/>
                </w:tcPr>
                <w:p w14:paraId="2B842E7A">
                  <w:pPr>
                    <w:pStyle w:val="41"/>
                    <w:ind w:firstLine="0"/>
                    <w:jc w:val="center"/>
                    <w:rPr>
                      <w:rFonts w:hint="eastAsia"/>
                      <w:color w:val="auto"/>
                      <w:sz w:val="21"/>
                      <w:szCs w:val="21"/>
                      <w:highlight w:val="none"/>
                      <w:lang w:val="en-US" w:eastAsia="zh-CN"/>
                    </w:rPr>
                  </w:pPr>
                </w:p>
              </w:tc>
              <w:tc>
                <w:tcPr>
                  <w:tcW w:w="301" w:type="pct"/>
                  <w:vMerge w:val="continue"/>
                  <w:vAlign w:val="center"/>
                </w:tcPr>
                <w:p w14:paraId="36B3E0B5">
                  <w:pPr>
                    <w:pStyle w:val="41"/>
                    <w:ind w:firstLine="0"/>
                    <w:jc w:val="center"/>
                    <w:rPr>
                      <w:rFonts w:hint="eastAsia"/>
                      <w:color w:val="auto"/>
                      <w:sz w:val="21"/>
                      <w:szCs w:val="21"/>
                      <w:highlight w:val="none"/>
                      <w:lang w:val="en-US" w:eastAsia="zh-CN"/>
                    </w:rPr>
                  </w:pPr>
                </w:p>
              </w:tc>
              <w:tc>
                <w:tcPr>
                  <w:tcW w:w="351" w:type="pct"/>
                  <w:vMerge w:val="continue"/>
                  <w:vAlign w:val="center"/>
                </w:tcPr>
                <w:p w14:paraId="65C0FDCB">
                  <w:pPr>
                    <w:pStyle w:val="41"/>
                    <w:ind w:firstLine="0"/>
                    <w:jc w:val="center"/>
                    <w:rPr>
                      <w:rFonts w:hint="eastAsia"/>
                      <w:color w:val="auto"/>
                      <w:sz w:val="21"/>
                      <w:szCs w:val="21"/>
                      <w:highlight w:val="none"/>
                      <w:lang w:val="en-US" w:eastAsia="zh-CN"/>
                    </w:rPr>
                  </w:pPr>
                </w:p>
              </w:tc>
              <w:tc>
                <w:tcPr>
                  <w:tcW w:w="336" w:type="pct"/>
                  <w:vAlign w:val="center"/>
                </w:tcPr>
                <w:p w14:paraId="75FF0051">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氮氧化物</w:t>
                  </w:r>
                </w:p>
              </w:tc>
              <w:tc>
                <w:tcPr>
                  <w:tcW w:w="340" w:type="pct"/>
                  <w:vAlign w:val="center"/>
                </w:tcPr>
                <w:p w14:paraId="1737D7FA">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43" w:type="pct"/>
                  <w:vAlign w:val="center"/>
                </w:tcPr>
                <w:p w14:paraId="25A06226">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00" w:type="pct"/>
                  <w:vAlign w:val="center"/>
                </w:tcPr>
                <w:p w14:paraId="29327163">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0.318</w:t>
                  </w:r>
                </w:p>
              </w:tc>
              <w:tc>
                <w:tcPr>
                  <w:tcW w:w="684" w:type="pct"/>
                  <w:vAlign w:val="center"/>
                </w:tcPr>
                <w:p w14:paraId="7A3BA77D">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低氮燃烧器</w:t>
                  </w:r>
                  <w:r>
                    <w:rPr>
                      <w:rFonts w:hint="eastAsia"/>
                      <w:color w:val="auto"/>
                      <w:highlight w:val="none"/>
                      <w:lang w:eastAsia="zh-CN"/>
                    </w:rPr>
                    <w:t>（</w:t>
                  </w:r>
                  <w:r>
                    <w:rPr>
                      <w:rFonts w:hint="eastAsia"/>
                      <w:color w:val="auto"/>
                      <w:highlight w:val="none"/>
                      <w:lang w:val="en-US" w:eastAsia="zh-CN"/>
                    </w:rPr>
                    <w:t>国内一般）</w:t>
                  </w:r>
                </w:p>
              </w:tc>
              <w:tc>
                <w:tcPr>
                  <w:tcW w:w="326" w:type="pct"/>
                  <w:vAlign w:val="center"/>
                </w:tcPr>
                <w:p w14:paraId="37CFE56D">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422" w:type="pct"/>
                  <w:vAlign w:val="center"/>
                </w:tcPr>
                <w:p w14:paraId="0BC4C321">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75" w:type="pct"/>
                  <w:vAlign w:val="center"/>
                </w:tcPr>
                <w:p w14:paraId="242CE27B">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75" w:type="pct"/>
                  <w:vAlign w:val="center"/>
                </w:tcPr>
                <w:p w14:paraId="27DB63C3">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0.233</w:t>
                  </w:r>
                </w:p>
              </w:tc>
              <w:tc>
                <w:tcPr>
                  <w:tcW w:w="484" w:type="pct"/>
                  <w:vMerge w:val="continue"/>
                  <w:vAlign w:val="center"/>
                </w:tcPr>
                <w:p w14:paraId="1D7BF304">
                  <w:pPr>
                    <w:pStyle w:val="41"/>
                    <w:ind w:firstLine="0"/>
                    <w:jc w:val="center"/>
                    <w:rPr>
                      <w:color w:val="auto"/>
                      <w:sz w:val="21"/>
                      <w:szCs w:val="21"/>
                      <w:highlight w:val="none"/>
                    </w:rPr>
                  </w:pPr>
                </w:p>
              </w:tc>
            </w:tr>
            <w:tr w14:paraId="039B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continue"/>
                  <w:vAlign w:val="center"/>
                </w:tcPr>
                <w:p w14:paraId="12EB2C06">
                  <w:pPr>
                    <w:pStyle w:val="41"/>
                    <w:ind w:firstLine="0"/>
                    <w:jc w:val="center"/>
                    <w:rPr>
                      <w:rFonts w:hint="eastAsia"/>
                      <w:color w:val="auto"/>
                      <w:sz w:val="21"/>
                      <w:szCs w:val="21"/>
                      <w:highlight w:val="none"/>
                      <w:lang w:val="en-US" w:eastAsia="zh-CN"/>
                    </w:rPr>
                  </w:pPr>
                </w:p>
              </w:tc>
              <w:tc>
                <w:tcPr>
                  <w:tcW w:w="301" w:type="pct"/>
                  <w:vMerge w:val="continue"/>
                  <w:vAlign w:val="center"/>
                </w:tcPr>
                <w:p w14:paraId="32358D98">
                  <w:pPr>
                    <w:pStyle w:val="41"/>
                    <w:ind w:firstLine="0"/>
                    <w:jc w:val="center"/>
                    <w:rPr>
                      <w:rFonts w:hint="eastAsia"/>
                      <w:color w:val="auto"/>
                      <w:sz w:val="21"/>
                      <w:szCs w:val="21"/>
                      <w:highlight w:val="none"/>
                      <w:lang w:val="en-US" w:eastAsia="zh-CN"/>
                    </w:rPr>
                  </w:pPr>
                </w:p>
              </w:tc>
              <w:tc>
                <w:tcPr>
                  <w:tcW w:w="351" w:type="pct"/>
                  <w:vMerge w:val="continue"/>
                  <w:vAlign w:val="center"/>
                </w:tcPr>
                <w:p w14:paraId="68B2C7AB">
                  <w:pPr>
                    <w:pStyle w:val="41"/>
                    <w:ind w:firstLine="0"/>
                    <w:jc w:val="center"/>
                    <w:rPr>
                      <w:rFonts w:hint="eastAsia"/>
                      <w:color w:val="auto"/>
                      <w:sz w:val="21"/>
                      <w:szCs w:val="21"/>
                      <w:highlight w:val="none"/>
                      <w:lang w:val="en-US" w:eastAsia="zh-CN"/>
                    </w:rPr>
                  </w:pPr>
                </w:p>
              </w:tc>
              <w:tc>
                <w:tcPr>
                  <w:tcW w:w="336" w:type="pct"/>
                  <w:vAlign w:val="center"/>
                </w:tcPr>
                <w:p w14:paraId="3E01C871">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二氧化硫</w:t>
                  </w:r>
                </w:p>
              </w:tc>
              <w:tc>
                <w:tcPr>
                  <w:tcW w:w="340" w:type="pct"/>
                  <w:vAlign w:val="center"/>
                </w:tcPr>
                <w:p w14:paraId="3CB58D8C">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43" w:type="pct"/>
                  <w:vAlign w:val="center"/>
                </w:tcPr>
                <w:p w14:paraId="59E0F8FD">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00" w:type="pct"/>
                  <w:vAlign w:val="center"/>
                </w:tcPr>
                <w:p w14:paraId="32548703">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0.034</w:t>
                  </w:r>
                </w:p>
              </w:tc>
              <w:tc>
                <w:tcPr>
                  <w:tcW w:w="684" w:type="pct"/>
                  <w:vAlign w:val="center"/>
                </w:tcPr>
                <w:p w14:paraId="48979C77">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326" w:type="pct"/>
                  <w:vAlign w:val="center"/>
                </w:tcPr>
                <w:p w14:paraId="6211B456">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422" w:type="pct"/>
                  <w:vAlign w:val="center"/>
                </w:tcPr>
                <w:p w14:paraId="7FB4513B">
                  <w:pPr>
                    <w:pStyle w:val="41"/>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375" w:type="pct"/>
                  <w:vAlign w:val="center"/>
                </w:tcPr>
                <w:p w14:paraId="2A0F5A4D">
                  <w:pPr>
                    <w:pStyle w:val="41"/>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375" w:type="pct"/>
                  <w:vAlign w:val="center"/>
                </w:tcPr>
                <w:p w14:paraId="1E82DA71">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0.034</w:t>
                  </w:r>
                </w:p>
              </w:tc>
              <w:tc>
                <w:tcPr>
                  <w:tcW w:w="484" w:type="pct"/>
                  <w:vMerge w:val="continue"/>
                  <w:vAlign w:val="center"/>
                </w:tcPr>
                <w:p w14:paraId="28DC3508">
                  <w:pPr>
                    <w:pStyle w:val="41"/>
                    <w:ind w:firstLine="0"/>
                    <w:jc w:val="center"/>
                    <w:rPr>
                      <w:color w:val="auto"/>
                      <w:sz w:val="21"/>
                      <w:szCs w:val="21"/>
                      <w:highlight w:val="none"/>
                    </w:rPr>
                  </w:pPr>
                </w:p>
              </w:tc>
            </w:tr>
            <w:tr w14:paraId="3FDB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56" w:type="pct"/>
                  <w:vMerge w:val="restart"/>
                  <w:vAlign w:val="center"/>
                </w:tcPr>
                <w:p w14:paraId="12C17FCE">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喷漆</w:t>
                  </w:r>
                </w:p>
              </w:tc>
              <w:tc>
                <w:tcPr>
                  <w:tcW w:w="301" w:type="pct"/>
                  <w:vMerge w:val="restart"/>
                  <w:vAlign w:val="center"/>
                </w:tcPr>
                <w:p w14:paraId="5F37D1A0">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1800</w:t>
                  </w:r>
                </w:p>
              </w:tc>
              <w:tc>
                <w:tcPr>
                  <w:tcW w:w="351" w:type="pct"/>
                  <w:vMerge w:val="restart"/>
                  <w:vAlign w:val="center"/>
                </w:tcPr>
                <w:p w14:paraId="447F9836">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25000</w:t>
                  </w:r>
                </w:p>
              </w:tc>
              <w:tc>
                <w:tcPr>
                  <w:tcW w:w="336" w:type="pct"/>
                  <w:vAlign w:val="center"/>
                </w:tcPr>
                <w:p w14:paraId="47AEE2EB">
                  <w:pPr>
                    <w:pStyle w:val="41"/>
                    <w:ind w:firstLine="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颗粒物</w:t>
                  </w:r>
                </w:p>
              </w:tc>
              <w:tc>
                <w:tcPr>
                  <w:tcW w:w="340" w:type="pct"/>
                  <w:vAlign w:val="center"/>
                </w:tcPr>
                <w:p w14:paraId="18382A2B">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400.8</w:t>
                  </w:r>
                </w:p>
              </w:tc>
              <w:tc>
                <w:tcPr>
                  <w:tcW w:w="343" w:type="pct"/>
                  <w:vAlign w:val="center"/>
                </w:tcPr>
                <w:p w14:paraId="023BC04C">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10.02</w:t>
                  </w:r>
                </w:p>
              </w:tc>
              <w:tc>
                <w:tcPr>
                  <w:tcW w:w="300" w:type="pct"/>
                  <w:vAlign w:val="center"/>
                </w:tcPr>
                <w:p w14:paraId="313D802F">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18.04</w:t>
                  </w:r>
                </w:p>
              </w:tc>
              <w:tc>
                <w:tcPr>
                  <w:tcW w:w="684" w:type="pct"/>
                  <w:vMerge w:val="restart"/>
                  <w:vAlign w:val="center"/>
                </w:tcPr>
                <w:p w14:paraId="4173C852">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经密闭负压收集+干式过滤+二级活性炭吸附处理后经15m高排气筒排放（DA005）</w:t>
                  </w:r>
                </w:p>
              </w:tc>
              <w:tc>
                <w:tcPr>
                  <w:tcW w:w="326" w:type="pct"/>
                  <w:vAlign w:val="center"/>
                </w:tcPr>
                <w:p w14:paraId="703B7DF9">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95</w:t>
                  </w:r>
                </w:p>
              </w:tc>
              <w:tc>
                <w:tcPr>
                  <w:tcW w:w="1115" w:type="dxa"/>
                  <w:vAlign w:val="center"/>
                </w:tcPr>
                <w:p w14:paraId="39E923DE">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19.00</w:t>
                  </w:r>
                </w:p>
              </w:tc>
              <w:tc>
                <w:tcPr>
                  <w:tcW w:w="991" w:type="dxa"/>
                  <w:vAlign w:val="center"/>
                </w:tcPr>
                <w:p w14:paraId="2471B302">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0.475</w:t>
                  </w:r>
                </w:p>
              </w:tc>
              <w:tc>
                <w:tcPr>
                  <w:tcW w:w="991" w:type="dxa"/>
                  <w:vAlign w:val="center"/>
                </w:tcPr>
                <w:p w14:paraId="16B6EF20">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0.856</w:t>
                  </w:r>
                </w:p>
              </w:tc>
              <w:tc>
                <w:tcPr>
                  <w:tcW w:w="484" w:type="pct"/>
                  <w:vMerge w:val="restart"/>
                  <w:vAlign w:val="center"/>
                </w:tcPr>
                <w:p w14:paraId="7F1C3A4C">
                  <w:pPr>
                    <w:pStyle w:val="41"/>
                    <w:ind w:firstLine="0"/>
                    <w:jc w:val="center"/>
                    <w:rPr>
                      <w:color w:val="auto"/>
                      <w:sz w:val="21"/>
                      <w:szCs w:val="21"/>
                      <w:highlight w:val="none"/>
                    </w:rPr>
                  </w:pPr>
                  <w:r>
                    <w:rPr>
                      <w:color w:val="auto"/>
                      <w:sz w:val="21"/>
                      <w:szCs w:val="21"/>
                      <w:highlight w:val="none"/>
                    </w:rPr>
                    <w:t>内径</w:t>
                  </w:r>
                  <w:r>
                    <w:rPr>
                      <w:rFonts w:hint="eastAsia"/>
                      <w:color w:val="auto"/>
                      <w:sz w:val="21"/>
                      <w:szCs w:val="21"/>
                      <w:highlight w:val="none"/>
                      <w:lang w:val="en-US" w:eastAsia="zh-CN"/>
                    </w:rPr>
                    <w:t>0.7</w:t>
                  </w:r>
                  <w:r>
                    <w:rPr>
                      <w:color w:val="auto"/>
                      <w:sz w:val="21"/>
                      <w:szCs w:val="21"/>
                      <w:highlight w:val="none"/>
                    </w:rPr>
                    <w:t>m，高15m</w:t>
                  </w:r>
                </w:p>
              </w:tc>
            </w:tr>
            <w:tr w14:paraId="23BD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continue"/>
                  <w:vAlign w:val="center"/>
                </w:tcPr>
                <w:p w14:paraId="55B21480">
                  <w:pPr>
                    <w:pStyle w:val="41"/>
                    <w:ind w:firstLine="0"/>
                    <w:jc w:val="center"/>
                    <w:rPr>
                      <w:rFonts w:hint="eastAsia"/>
                      <w:color w:val="auto"/>
                      <w:sz w:val="21"/>
                      <w:szCs w:val="21"/>
                      <w:highlight w:val="none"/>
                      <w:lang w:val="en-US" w:eastAsia="zh-CN"/>
                    </w:rPr>
                  </w:pPr>
                </w:p>
              </w:tc>
              <w:tc>
                <w:tcPr>
                  <w:tcW w:w="301" w:type="pct"/>
                  <w:vMerge w:val="continue"/>
                  <w:vAlign w:val="center"/>
                </w:tcPr>
                <w:p w14:paraId="0176B298">
                  <w:pPr>
                    <w:pStyle w:val="41"/>
                    <w:ind w:firstLine="0"/>
                    <w:jc w:val="center"/>
                    <w:rPr>
                      <w:rFonts w:hint="eastAsia"/>
                      <w:color w:val="auto"/>
                      <w:sz w:val="21"/>
                      <w:szCs w:val="21"/>
                      <w:highlight w:val="none"/>
                      <w:lang w:val="en-US" w:eastAsia="zh-CN"/>
                    </w:rPr>
                  </w:pPr>
                </w:p>
              </w:tc>
              <w:tc>
                <w:tcPr>
                  <w:tcW w:w="351" w:type="pct"/>
                  <w:vMerge w:val="continue"/>
                  <w:vAlign w:val="center"/>
                </w:tcPr>
                <w:p w14:paraId="43708212">
                  <w:pPr>
                    <w:pStyle w:val="41"/>
                    <w:ind w:firstLine="0"/>
                    <w:jc w:val="center"/>
                    <w:rPr>
                      <w:rFonts w:hint="eastAsia"/>
                      <w:color w:val="auto"/>
                      <w:sz w:val="21"/>
                      <w:szCs w:val="21"/>
                      <w:highlight w:val="none"/>
                      <w:lang w:val="en-US" w:eastAsia="zh-CN"/>
                    </w:rPr>
                  </w:pPr>
                </w:p>
              </w:tc>
              <w:tc>
                <w:tcPr>
                  <w:tcW w:w="336" w:type="pct"/>
                  <w:vAlign w:val="center"/>
                </w:tcPr>
                <w:p w14:paraId="0B68F21D">
                  <w:pPr>
                    <w:pStyle w:val="41"/>
                    <w:ind w:firstLine="0"/>
                    <w:jc w:val="center"/>
                    <w:rPr>
                      <w:rFonts w:hint="default"/>
                      <w:color w:val="auto"/>
                      <w:sz w:val="21"/>
                      <w:szCs w:val="21"/>
                      <w:highlight w:val="none"/>
                      <w:lang w:val="en-US" w:eastAsia="zh-CN"/>
                    </w:rPr>
                  </w:pPr>
                  <w:r>
                    <w:rPr>
                      <w:rFonts w:hint="eastAsia"/>
                      <w:color w:val="auto"/>
                      <w:sz w:val="21"/>
                      <w:szCs w:val="21"/>
                      <w:highlight w:val="none"/>
                      <w:lang w:val="en-US" w:eastAsia="zh-CN"/>
                    </w:rPr>
                    <w:t>非甲烷</w:t>
                  </w:r>
                </w:p>
              </w:tc>
              <w:tc>
                <w:tcPr>
                  <w:tcW w:w="899" w:type="dxa"/>
                  <w:vAlign w:val="center"/>
                </w:tcPr>
                <w:p w14:paraId="4B28A35C">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50.68</w:t>
                  </w:r>
                </w:p>
              </w:tc>
              <w:tc>
                <w:tcPr>
                  <w:tcW w:w="906" w:type="dxa"/>
                  <w:vAlign w:val="center"/>
                </w:tcPr>
                <w:p w14:paraId="3F9C02FE">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1.267</w:t>
                  </w:r>
                </w:p>
              </w:tc>
              <w:tc>
                <w:tcPr>
                  <w:tcW w:w="795" w:type="dxa"/>
                  <w:vAlign w:val="center"/>
                </w:tcPr>
                <w:p w14:paraId="55F9A23F">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2.28</w:t>
                  </w:r>
                </w:p>
              </w:tc>
              <w:tc>
                <w:tcPr>
                  <w:tcW w:w="684" w:type="pct"/>
                  <w:vMerge w:val="continue"/>
                  <w:vAlign w:val="center"/>
                </w:tcPr>
                <w:p w14:paraId="2016CDA9">
                  <w:pPr>
                    <w:pStyle w:val="41"/>
                    <w:ind w:firstLine="0"/>
                    <w:jc w:val="center"/>
                    <w:rPr>
                      <w:rFonts w:hint="eastAsia"/>
                      <w:color w:val="auto"/>
                      <w:sz w:val="21"/>
                      <w:szCs w:val="21"/>
                      <w:highlight w:val="none"/>
                    </w:rPr>
                  </w:pPr>
                </w:p>
              </w:tc>
              <w:tc>
                <w:tcPr>
                  <w:tcW w:w="326" w:type="pct"/>
                  <w:vAlign w:val="center"/>
                </w:tcPr>
                <w:p w14:paraId="6EA4494E">
                  <w:pPr>
                    <w:pStyle w:val="41"/>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90</w:t>
                  </w:r>
                </w:p>
              </w:tc>
              <w:tc>
                <w:tcPr>
                  <w:tcW w:w="1115" w:type="dxa"/>
                  <w:vAlign w:val="center"/>
                </w:tcPr>
                <w:p w14:paraId="4CD4F1A7">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4.8</w:t>
                  </w:r>
                </w:p>
              </w:tc>
              <w:tc>
                <w:tcPr>
                  <w:tcW w:w="991" w:type="dxa"/>
                  <w:vAlign w:val="center"/>
                </w:tcPr>
                <w:p w14:paraId="39E7027B">
                  <w:pPr>
                    <w:pStyle w:val="41"/>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0.120</w:t>
                  </w:r>
                </w:p>
              </w:tc>
              <w:tc>
                <w:tcPr>
                  <w:tcW w:w="991" w:type="dxa"/>
                  <w:vAlign w:val="center"/>
                </w:tcPr>
                <w:p w14:paraId="1B5740A5">
                  <w:pPr>
                    <w:pStyle w:val="41"/>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0.217</w:t>
                  </w:r>
                </w:p>
              </w:tc>
              <w:tc>
                <w:tcPr>
                  <w:tcW w:w="484" w:type="pct"/>
                  <w:vMerge w:val="continue"/>
                  <w:vAlign w:val="center"/>
                </w:tcPr>
                <w:p w14:paraId="419BA2A0">
                  <w:pPr>
                    <w:pStyle w:val="41"/>
                    <w:ind w:firstLine="0"/>
                    <w:jc w:val="center"/>
                    <w:rPr>
                      <w:color w:val="auto"/>
                      <w:sz w:val="21"/>
                      <w:szCs w:val="21"/>
                      <w:highlight w:val="none"/>
                    </w:rPr>
                  </w:pPr>
                </w:p>
              </w:tc>
            </w:tr>
          </w:tbl>
          <w:p w14:paraId="59F01FE4">
            <w:pPr>
              <w:jc w:val="center"/>
              <w:rPr>
                <w:b/>
                <w:bCs/>
                <w:color w:val="auto"/>
                <w:sz w:val="24"/>
                <w:highlight w:val="none"/>
              </w:rPr>
            </w:pPr>
            <w:r>
              <w:rPr>
                <w:b/>
                <w:bCs/>
                <w:color w:val="auto"/>
                <w:sz w:val="24"/>
                <w:highlight w:val="none"/>
              </w:rPr>
              <w:t>表4-2</w:t>
            </w:r>
            <w:r>
              <w:rPr>
                <w:rFonts w:hint="eastAsia"/>
                <w:b/>
                <w:bCs/>
                <w:color w:val="auto"/>
                <w:sz w:val="24"/>
                <w:highlight w:val="none"/>
              </w:rPr>
              <w:t xml:space="preserve">  </w:t>
            </w:r>
            <w:r>
              <w:rPr>
                <w:b/>
                <w:bCs/>
                <w:color w:val="auto"/>
                <w:sz w:val="24"/>
                <w:highlight w:val="none"/>
              </w:rPr>
              <w:t>本项目无组织废气排放情况</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3"/>
              <w:gridCol w:w="2633"/>
              <w:gridCol w:w="2200"/>
              <w:gridCol w:w="2213"/>
              <w:gridCol w:w="2203"/>
              <w:gridCol w:w="2195"/>
            </w:tblGrid>
            <w:tr w14:paraId="5BCA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pct"/>
                  <w:vMerge w:val="restart"/>
                  <w:vAlign w:val="center"/>
                </w:tcPr>
                <w:p w14:paraId="7A57A98A">
                  <w:pPr>
                    <w:pStyle w:val="41"/>
                    <w:ind w:firstLine="0"/>
                    <w:jc w:val="center"/>
                    <w:rPr>
                      <w:color w:val="auto"/>
                      <w:sz w:val="21"/>
                      <w:szCs w:val="21"/>
                      <w:highlight w:val="none"/>
                    </w:rPr>
                  </w:pPr>
                  <w:r>
                    <w:rPr>
                      <w:color w:val="auto"/>
                      <w:sz w:val="21"/>
                      <w:szCs w:val="21"/>
                      <w:highlight w:val="none"/>
                    </w:rPr>
                    <w:t>污染物来源</w:t>
                  </w:r>
                </w:p>
              </w:tc>
              <w:tc>
                <w:tcPr>
                  <w:tcW w:w="997" w:type="pct"/>
                  <w:vMerge w:val="restart"/>
                  <w:vAlign w:val="center"/>
                </w:tcPr>
                <w:p w14:paraId="0996F8D9">
                  <w:pPr>
                    <w:pStyle w:val="41"/>
                    <w:ind w:firstLine="0"/>
                    <w:jc w:val="center"/>
                    <w:rPr>
                      <w:color w:val="auto"/>
                      <w:sz w:val="21"/>
                      <w:szCs w:val="21"/>
                      <w:highlight w:val="none"/>
                    </w:rPr>
                  </w:pPr>
                  <w:r>
                    <w:rPr>
                      <w:color w:val="auto"/>
                      <w:sz w:val="21"/>
                      <w:szCs w:val="21"/>
                      <w:highlight w:val="none"/>
                    </w:rPr>
                    <w:t>污染物名称</w:t>
                  </w:r>
                </w:p>
              </w:tc>
              <w:tc>
                <w:tcPr>
                  <w:tcW w:w="1671" w:type="pct"/>
                  <w:gridSpan w:val="2"/>
                  <w:vAlign w:val="center"/>
                </w:tcPr>
                <w:p w14:paraId="0BF1ECAB">
                  <w:pPr>
                    <w:pStyle w:val="41"/>
                    <w:ind w:firstLine="0"/>
                    <w:jc w:val="center"/>
                    <w:rPr>
                      <w:color w:val="auto"/>
                      <w:sz w:val="21"/>
                      <w:szCs w:val="21"/>
                      <w:highlight w:val="none"/>
                    </w:rPr>
                  </w:pPr>
                  <w:r>
                    <w:rPr>
                      <w:color w:val="auto"/>
                      <w:sz w:val="21"/>
                      <w:szCs w:val="21"/>
                      <w:highlight w:val="none"/>
                    </w:rPr>
                    <w:t>排放情况</w:t>
                  </w:r>
                </w:p>
              </w:tc>
              <w:tc>
                <w:tcPr>
                  <w:tcW w:w="834" w:type="pct"/>
                  <w:vMerge w:val="restart"/>
                  <w:vAlign w:val="center"/>
                </w:tcPr>
                <w:p w14:paraId="110A27A0">
                  <w:pPr>
                    <w:pStyle w:val="41"/>
                    <w:ind w:firstLine="0"/>
                    <w:jc w:val="center"/>
                    <w:rPr>
                      <w:color w:val="auto"/>
                      <w:sz w:val="21"/>
                      <w:szCs w:val="21"/>
                      <w:highlight w:val="none"/>
                    </w:rPr>
                  </w:pPr>
                  <w:r>
                    <w:rPr>
                      <w:color w:val="auto"/>
                      <w:sz w:val="21"/>
                      <w:szCs w:val="21"/>
                      <w:highlight w:val="none"/>
                    </w:rPr>
                    <w:t>面源尺寸m*m</w:t>
                  </w:r>
                </w:p>
              </w:tc>
              <w:tc>
                <w:tcPr>
                  <w:tcW w:w="831" w:type="pct"/>
                  <w:vMerge w:val="restart"/>
                  <w:vAlign w:val="center"/>
                </w:tcPr>
                <w:p w14:paraId="44E00540">
                  <w:pPr>
                    <w:pStyle w:val="41"/>
                    <w:ind w:firstLine="0"/>
                    <w:jc w:val="center"/>
                    <w:rPr>
                      <w:color w:val="auto"/>
                      <w:sz w:val="21"/>
                      <w:szCs w:val="21"/>
                      <w:highlight w:val="none"/>
                    </w:rPr>
                  </w:pPr>
                  <w:r>
                    <w:rPr>
                      <w:color w:val="auto"/>
                      <w:sz w:val="21"/>
                      <w:szCs w:val="21"/>
                      <w:highlight w:val="none"/>
                    </w:rPr>
                    <w:t>面源高度m</w:t>
                  </w:r>
                </w:p>
              </w:tc>
            </w:tr>
            <w:tr w14:paraId="1714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pct"/>
                  <w:vMerge w:val="continue"/>
                  <w:vAlign w:val="center"/>
                </w:tcPr>
                <w:p w14:paraId="2E8DE471">
                  <w:pPr>
                    <w:pStyle w:val="41"/>
                    <w:jc w:val="center"/>
                    <w:rPr>
                      <w:color w:val="auto"/>
                      <w:sz w:val="21"/>
                      <w:szCs w:val="21"/>
                      <w:highlight w:val="none"/>
                    </w:rPr>
                  </w:pPr>
                </w:p>
              </w:tc>
              <w:tc>
                <w:tcPr>
                  <w:tcW w:w="997" w:type="pct"/>
                  <w:vMerge w:val="continue"/>
                  <w:vAlign w:val="center"/>
                </w:tcPr>
                <w:p w14:paraId="365D70F2">
                  <w:pPr>
                    <w:pStyle w:val="41"/>
                    <w:jc w:val="center"/>
                    <w:rPr>
                      <w:color w:val="auto"/>
                      <w:sz w:val="21"/>
                      <w:szCs w:val="21"/>
                      <w:highlight w:val="none"/>
                    </w:rPr>
                  </w:pPr>
                </w:p>
              </w:tc>
              <w:tc>
                <w:tcPr>
                  <w:tcW w:w="833" w:type="pct"/>
                  <w:vAlign w:val="center"/>
                </w:tcPr>
                <w:p w14:paraId="60E8FB91">
                  <w:pPr>
                    <w:pStyle w:val="41"/>
                    <w:ind w:firstLine="0"/>
                    <w:jc w:val="center"/>
                    <w:rPr>
                      <w:color w:val="auto"/>
                      <w:sz w:val="21"/>
                      <w:szCs w:val="21"/>
                      <w:highlight w:val="none"/>
                    </w:rPr>
                  </w:pPr>
                  <w:r>
                    <w:rPr>
                      <w:color w:val="auto"/>
                      <w:sz w:val="21"/>
                      <w:szCs w:val="21"/>
                      <w:highlight w:val="none"/>
                    </w:rPr>
                    <w:t>速率kg/h</w:t>
                  </w:r>
                </w:p>
              </w:tc>
              <w:tc>
                <w:tcPr>
                  <w:tcW w:w="838" w:type="pct"/>
                  <w:vAlign w:val="center"/>
                </w:tcPr>
                <w:p w14:paraId="3AD724EC">
                  <w:pPr>
                    <w:pStyle w:val="41"/>
                    <w:ind w:firstLine="0"/>
                    <w:jc w:val="center"/>
                    <w:rPr>
                      <w:color w:val="auto"/>
                      <w:sz w:val="21"/>
                      <w:szCs w:val="21"/>
                      <w:highlight w:val="none"/>
                    </w:rPr>
                  </w:pPr>
                  <w:r>
                    <w:rPr>
                      <w:color w:val="auto"/>
                      <w:sz w:val="21"/>
                      <w:szCs w:val="21"/>
                      <w:highlight w:val="none"/>
                    </w:rPr>
                    <w:t>产量t/a</w:t>
                  </w:r>
                </w:p>
              </w:tc>
              <w:tc>
                <w:tcPr>
                  <w:tcW w:w="834" w:type="pct"/>
                  <w:vMerge w:val="continue"/>
                  <w:vAlign w:val="center"/>
                </w:tcPr>
                <w:p w14:paraId="7BA1B2C0">
                  <w:pPr>
                    <w:pStyle w:val="41"/>
                    <w:jc w:val="center"/>
                    <w:rPr>
                      <w:color w:val="auto"/>
                      <w:sz w:val="21"/>
                      <w:szCs w:val="21"/>
                      <w:highlight w:val="none"/>
                    </w:rPr>
                  </w:pPr>
                </w:p>
              </w:tc>
              <w:tc>
                <w:tcPr>
                  <w:tcW w:w="831" w:type="pct"/>
                  <w:vMerge w:val="continue"/>
                  <w:vAlign w:val="center"/>
                </w:tcPr>
                <w:p w14:paraId="55262E4C">
                  <w:pPr>
                    <w:pStyle w:val="41"/>
                    <w:jc w:val="center"/>
                    <w:rPr>
                      <w:color w:val="auto"/>
                      <w:sz w:val="21"/>
                      <w:szCs w:val="21"/>
                      <w:highlight w:val="none"/>
                    </w:rPr>
                  </w:pPr>
                </w:p>
              </w:tc>
            </w:tr>
            <w:tr w14:paraId="5EF62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pct"/>
                  <w:vMerge w:val="restart"/>
                  <w:vAlign w:val="center"/>
                </w:tcPr>
                <w:p w14:paraId="0D73FFEC">
                  <w:pPr>
                    <w:pStyle w:val="41"/>
                    <w:ind w:firstLine="0"/>
                    <w:jc w:val="center"/>
                    <w:rPr>
                      <w:color w:val="auto"/>
                      <w:sz w:val="21"/>
                      <w:szCs w:val="21"/>
                      <w:highlight w:val="none"/>
                    </w:rPr>
                  </w:pPr>
                  <w:r>
                    <w:rPr>
                      <w:color w:val="auto"/>
                      <w:sz w:val="21"/>
                      <w:szCs w:val="21"/>
                      <w:highlight w:val="none"/>
                    </w:rPr>
                    <w:t>生产车间</w:t>
                  </w:r>
                </w:p>
              </w:tc>
              <w:tc>
                <w:tcPr>
                  <w:tcW w:w="997" w:type="pct"/>
                  <w:vAlign w:val="center"/>
                </w:tcPr>
                <w:p w14:paraId="7681FB79">
                  <w:pPr>
                    <w:pStyle w:val="41"/>
                    <w:ind w:firstLine="0" w:firstLineChars="0"/>
                    <w:jc w:val="center"/>
                    <w:rPr>
                      <w:color w:val="auto"/>
                      <w:sz w:val="21"/>
                      <w:szCs w:val="21"/>
                      <w:highlight w:val="none"/>
                    </w:rPr>
                  </w:pPr>
                  <w:r>
                    <w:rPr>
                      <w:color w:val="auto"/>
                      <w:sz w:val="21"/>
                      <w:szCs w:val="21"/>
                      <w:highlight w:val="none"/>
                    </w:rPr>
                    <w:t>颗粒物</w:t>
                  </w:r>
                </w:p>
              </w:tc>
              <w:tc>
                <w:tcPr>
                  <w:tcW w:w="833" w:type="pct"/>
                  <w:vAlign w:val="center"/>
                </w:tcPr>
                <w:p w14:paraId="5341880A">
                  <w:pPr>
                    <w:pStyle w:val="41"/>
                    <w:ind w:firstLine="20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1.244</w:t>
                  </w:r>
                </w:p>
              </w:tc>
              <w:tc>
                <w:tcPr>
                  <w:tcW w:w="838" w:type="pct"/>
                  <w:vAlign w:val="center"/>
                </w:tcPr>
                <w:p w14:paraId="77F23848">
                  <w:pPr>
                    <w:pStyle w:val="41"/>
                    <w:ind w:firstLine="20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2.987</w:t>
                  </w:r>
                </w:p>
              </w:tc>
              <w:tc>
                <w:tcPr>
                  <w:tcW w:w="834" w:type="pct"/>
                  <w:vMerge w:val="restart"/>
                  <w:vAlign w:val="center"/>
                </w:tcPr>
                <w:p w14:paraId="10D90008">
                  <w:pPr>
                    <w:pStyle w:val="41"/>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92*84</w:t>
                  </w:r>
                </w:p>
              </w:tc>
              <w:tc>
                <w:tcPr>
                  <w:tcW w:w="831" w:type="pct"/>
                  <w:vMerge w:val="restart"/>
                  <w:vAlign w:val="center"/>
                </w:tcPr>
                <w:p w14:paraId="16ABE9C7">
                  <w:pPr>
                    <w:pStyle w:val="41"/>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w:t>
                  </w:r>
                </w:p>
              </w:tc>
            </w:tr>
            <w:tr w14:paraId="0BDA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64" w:type="pct"/>
                  <w:vMerge w:val="continue"/>
                  <w:vAlign w:val="center"/>
                </w:tcPr>
                <w:p w14:paraId="541D3E4F">
                  <w:pPr>
                    <w:pStyle w:val="41"/>
                    <w:ind w:firstLine="0"/>
                    <w:jc w:val="center"/>
                    <w:rPr>
                      <w:color w:val="auto"/>
                      <w:sz w:val="21"/>
                      <w:szCs w:val="21"/>
                      <w:highlight w:val="none"/>
                    </w:rPr>
                  </w:pPr>
                </w:p>
              </w:tc>
              <w:tc>
                <w:tcPr>
                  <w:tcW w:w="997" w:type="pct"/>
                  <w:vAlign w:val="center"/>
                </w:tcPr>
                <w:p w14:paraId="0E5CBB7F">
                  <w:pPr>
                    <w:pStyle w:val="41"/>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非甲烷总烃</w:t>
                  </w:r>
                </w:p>
              </w:tc>
              <w:tc>
                <w:tcPr>
                  <w:tcW w:w="833" w:type="pct"/>
                  <w:vAlign w:val="center"/>
                </w:tcPr>
                <w:p w14:paraId="140D06D4">
                  <w:pPr>
                    <w:pStyle w:val="41"/>
                    <w:ind w:firstLine="20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0.122</w:t>
                  </w:r>
                </w:p>
              </w:tc>
              <w:tc>
                <w:tcPr>
                  <w:tcW w:w="838" w:type="pct"/>
                  <w:vAlign w:val="center"/>
                </w:tcPr>
                <w:p w14:paraId="0C7D1C8C">
                  <w:pPr>
                    <w:pStyle w:val="41"/>
                    <w:ind w:firstLine="20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0.294</w:t>
                  </w:r>
                </w:p>
              </w:tc>
              <w:tc>
                <w:tcPr>
                  <w:tcW w:w="834" w:type="pct"/>
                  <w:vMerge w:val="continue"/>
                  <w:vAlign w:val="center"/>
                </w:tcPr>
                <w:p w14:paraId="44BA2FB2">
                  <w:pPr>
                    <w:pStyle w:val="41"/>
                    <w:jc w:val="center"/>
                    <w:rPr>
                      <w:rFonts w:hint="eastAsia" w:ascii="Times New Roman" w:hAnsi="Times New Roman" w:eastAsia="宋体" w:cs="Times New Roman"/>
                      <w:color w:val="auto"/>
                      <w:sz w:val="21"/>
                      <w:szCs w:val="21"/>
                      <w:highlight w:val="none"/>
                      <w:lang w:val="en-US" w:eastAsia="zh-CN"/>
                    </w:rPr>
                  </w:pPr>
                </w:p>
              </w:tc>
              <w:tc>
                <w:tcPr>
                  <w:tcW w:w="831" w:type="pct"/>
                  <w:vMerge w:val="continue"/>
                  <w:vAlign w:val="center"/>
                </w:tcPr>
                <w:p w14:paraId="540EE62E">
                  <w:pPr>
                    <w:pStyle w:val="41"/>
                    <w:jc w:val="center"/>
                    <w:rPr>
                      <w:rStyle w:val="30"/>
                      <w:rFonts w:hint="eastAsia"/>
                      <w:color w:val="auto"/>
                      <w:kern w:val="0"/>
                      <w:szCs w:val="20"/>
                      <w:highlight w:val="none"/>
                      <w:lang w:val="en-US" w:eastAsia="zh-CN"/>
                    </w:rPr>
                  </w:pPr>
                </w:p>
              </w:tc>
            </w:tr>
          </w:tbl>
          <w:p w14:paraId="3CCF20CA">
            <w:pPr>
              <w:pStyle w:val="5"/>
              <w:ind w:left="0" w:firstLine="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注：面源高度以超出厂房窗户以上的距离为准。</w:t>
            </w:r>
          </w:p>
        </w:tc>
      </w:tr>
    </w:tbl>
    <w:p w14:paraId="0FCD9A06">
      <w:pPr>
        <w:jc w:val="center"/>
        <w:rPr>
          <w:color w:val="auto"/>
          <w:highlight w:val="none"/>
        </w:rPr>
        <w:sectPr>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61"/>
        <w:tblW w:w="5112"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809"/>
        <w:gridCol w:w="9172"/>
      </w:tblGrid>
      <w:tr w14:paraId="1F149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05" w:hRule="atLeast"/>
          <w:jc w:val="center"/>
        </w:trPr>
        <w:tc>
          <w:tcPr>
            <w:tcW w:w="405" w:type="pct"/>
            <w:tcBorders>
              <w:right w:val="single" w:color="000000" w:sz="2" w:space="0"/>
            </w:tcBorders>
            <w:vAlign w:val="top"/>
          </w:tcPr>
          <w:p w14:paraId="2DFA7B1C">
            <w:pPr>
              <w:keepNext w:val="0"/>
              <w:keepLines w:val="0"/>
              <w:pageBreakBefore w:val="0"/>
              <w:widowControl w:val="0"/>
              <w:kinsoku/>
              <w:wordWrap/>
              <w:overflowPunct/>
              <w:topLinePunct w:val="0"/>
              <w:bidi w:val="0"/>
              <w:adjustRightInd/>
              <w:snapToGrid/>
              <w:ind w:left="105" w:leftChars="50" w:right="105" w:rightChars="50"/>
              <w:textAlignment w:val="auto"/>
              <w:rPr>
                <w:rFonts w:ascii="Arial"/>
                <w:color w:val="auto"/>
                <w:sz w:val="21"/>
                <w:highlight w:val="none"/>
              </w:rPr>
            </w:pPr>
          </w:p>
        </w:tc>
        <w:tc>
          <w:tcPr>
            <w:tcW w:w="4594" w:type="pct"/>
            <w:tcBorders>
              <w:left w:val="single" w:color="000000" w:sz="2" w:space="0"/>
            </w:tcBorders>
            <w:vAlign w:val="top"/>
          </w:tcPr>
          <w:p w14:paraId="608C9123">
            <w:pPr>
              <w:keepNext w:val="0"/>
              <w:keepLines w:val="0"/>
              <w:pageBreakBefore w:val="0"/>
              <w:widowControl/>
              <w:kinsoku/>
              <w:wordWrap/>
              <w:overflowPunct/>
              <w:topLinePunct w:val="0"/>
              <w:autoSpaceDE w:val="0"/>
              <w:autoSpaceDN w:val="0"/>
              <w:bidi w:val="0"/>
              <w:adjustRightInd/>
              <w:snapToGrid/>
              <w:spacing w:line="360" w:lineRule="auto"/>
              <w:ind w:right="0" w:rightChars="0" w:firstLine="482" w:firstLineChars="200"/>
              <w:textAlignment w:val="baseline"/>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highlight w:val="none"/>
                <w:lang w:eastAsia="zh-CN"/>
              </w:rPr>
              <w:t>2、排放口信息及自行监测</w:t>
            </w:r>
          </w:p>
          <w:p w14:paraId="4AF5BF6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snapToGrid/>
              <w:spacing w:before="0" w:beforeAutospacing="0" w:after="0" w:afterAutospacing="0" w:line="360" w:lineRule="auto"/>
              <w:ind w:left="105" w:leftChars="50" w:right="105" w:rightChars="50" w:firstLine="480" w:firstLineChars="200"/>
              <w:textAlignment w:val="baseline"/>
              <w:outlineLvl w:val="9"/>
              <w:rPr>
                <w:rFonts w:ascii="Times New Roman" w:hAnsi="Times New Roman" w:eastAsia="宋体" w:cs="Times New Roman"/>
                <w:b/>
                <w:bCs/>
                <w:color w:val="auto"/>
                <w:sz w:val="24"/>
                <w:highlight w:val="none"/>
                <w:lang w:eastAsia="zh-CN"/>
              </w:rPr>
            </w:pPr>
            <w:r>
              <w:rPr>
                <w:rFonts w:ascii="Times New Roman" w:hAnsi="Times New Roman" w:eastAsia="宋体" w:cs="Times New Roman"/>
                <w:b w:val="0"/>
                <w:bCs/>
                <w:snapToGrid w:val="0"/>
                <w:color w:val="auto"/>
                <w:sz w:val="24"/>
                <w:szCs w:val="32"/>
                <w:highlight w:val="none"/>
                <w:lang w:val="en-US" w:eastAsia="zh-CN" w:bidi="ar-SA"/>
              </w:rPr>
              <w:t>根据《</w:t>
            </w:r>
            <w:r>
              <w:rPr>
                <w:rFonts w:hint="default" w:ascii="Times New Roman" w:hAnsi="Times New Roman" w:eastAsia="宋体" w:cs="Times New Roman"/>
                <w:b w:val="0"/>
                <w:bCs/>
                <w:snapToGrid w:val="0"/>
                <w:color w:val="auto"/>
                <w:sz w:val="24"/>
                <w:szCs w:val="32"/>
                <w:highlight w:val="none"/>
                <w:lang w:val="en-US" w:eastAsia="zh-CN" w:bidi="ar-SA"/>
              </w:rPr>
              <w:t>排污许可证申请与核发技术规范 总则</w:t>
            </w:r>
            <w:r>
              <w:rPr>
                <w:rFonts w:ascii="Times New Roman" w:hAnsi="Times New Roman" w:eastAsia="宋体" w:cs="Times New Roman"/>
                <w:b w:val="0"/>
                <w:bCs/>
                <w:snapToGrid w:val="0"/>
                <w:color w:val="auto"/>
                <w:sz w:val="24"/>
                <w:szCs w:val="32"/>
                <w:highlight w:val="none"/>
                <w:lang w:val="en-US" w:eastAsia="zh-CN" w:bidi="ar-SA"/>
              </w:rPr>
              <w:t>》（HJ</w:t>
            </w:r>
            <w:r>
              <w:rPr>
                <w:rFonts w:hint="eastAsia" w:ascii="Times New Roman" w:hAnsi="Times New Roman" w:eastAsia="宋体" w:cs="Times New Roman"/>
                <w:b w:val="0"/>
                <w:bCs/>
                <w:snapToGrid w:val="0"/>
                <w:color w:val="auto"/>
                <w:sz w:val="24"/>
                <w:szCs w:val="32"/>
                <w:highlight w:val="none"/>
                <w:lang w:val="en-US" w:eastAsia="zh-CN" w:bidi="ar-SA"/>
              </w:rPr>
              <w:t>942</w:t>
            </w:r>
            <w:r>
              <w:rPr>
                <w:rFonts w:ascii="Times New Roman" w:hAnsi="Times New Roman" w:eastAsia="宋体" w:cs="Times New Roman"/>
                <w:b w:val="0"/>
                <w:bCs/>
                <w:snapToGrid w:val="0"/>
                <w:color w:val="auto"/>
                <w:sz w:val="24"/>
                <w:szCs w:val="32"/>
                <w:highlight w:val="none"/>
                <w:lang w:val="en-US" w:eastAsia="zh-CN" w:bidi="ar-SA"/>
              </w:rPr>
              <w:t>-201</w:t>
            </w:r>
            <w:r>
              <w:rPr>
                <w:rFonts w:hint="eastAsia" w:ascii="Times New Roman" w:hAnsi="Times New Roman" w:eastAsia="宋体" w:cs="Times New Roman"/>
                <w:b w:val="0"/>
                <w:bCs/>
                <w:snapToGrid w:val="0"/>
                <w:color w:val="auto"/>
                <w:sz w:val="24"/>
                <w:szCs w:val="32"/>
                <w:highlight w:val="none"/>
                <w:lang w:val="en-US" w:eastAsia="zh-CN" w:bidi="ar-SA"/>
              </w:rPr>
              <w:t>8</w:t>
            </w:r>
            <w:r>
              <w:rPr>
                <w:rFonts w:ascii="Times New Roman" w:hAnsi="Times New Roman" w:eastAsia="宋体" w:cs="Times New Roman"/>
                <w:b w:val="0"/>
                <w:bCs/>
                <w:snapToGrid w:val="0"/>
                <w:color w:val="auto"/>
                <w:sz w:val="24"/>
                <w:szCs w:val="32"/>
                <w:highlight w:val="none"/>
                <w:lang w:val="en-US" w:eastAsia="zh-CN" w:bidi="ar-SA"/>
              </w:rPr>
              <w:t>）</w:t>
            </w:r>
            <w:r>
              <w:rPr>
                <w:rFonts w:hint="eastAsia" w:ascii="Times New Roman" w:hAnsi="Times New Roman" w:eastAsia="宋体" w:cs="Times New Roman"/>
                <w:b w:val="0"/>
                <w:bCs/>
                <w:snapToGrid w:val="0"/>
                <w:color w:val="auto"/>
                <w:sz w:val="24"/>
                <w:szCs w:val="32"/>
                <w:highlight w:val="none"/>
                <w:lang w:val="en-US" w:eastAsia="zh-CN" w:bidi="ar-SA"/>
              </w:rPr>
              <w:t>，参照</w:t>
            </w:r>
            <w:r>
              <w:rPr>
                <w:rFonts w:ascii="Times New Roman" w:hAnsi="Times New Roman" w:eastAsia="宋体" w:cs="Times New Roman"/>
                <w:b w:val="0"/>
                <w:bCs/>
                <w:snapToGrid w:val="0"/>
                <w:color w:val="auto"/>
                <w:sz w:val="24"/>
                <w:szCs w:val="32"/>
                <w:highlight w:val="none"/>
                <w:lang w:val="en-US" w:eastAsia="zh-CN" w:bidi="ar-SA"/>
              </w:rPr>
              <w:t>《</w:t>
            </w:r>
            <w:r>
              <w:rPr>
                <w:rFonts w:ascii="Times New Roman" w:hAnsi="Times New Roman" w:eastAsia="宋体" w:cs="Times New Roman"/>
                <w:b w:val="0"/>
                <w:bCs/>
                <w:snapToGrid w:val="0"/>
                <w:color w:val="auto"/>
                <w:sz w:val="24"/>
                <w:szCs w:val="32"/>
                <w:highlight w:val="none"/>
                <w:lang w:val="en-US" w:eastAsia="zh-CN" w:bidi="ar-SA"/>
              </w:rPr>
              <w:fldChar w:fldCharType="begin"/>
            </w:r>
            <w:r>
              <w:rPr>
                <w:rFonts w:ascii="Times New Roman" w:hAnsi="Times New Roman" w:eastAsia="宋体" w:cs="Times New Roman"/>
                <w:b w:val="0"/>
                <w:bCs/>
                <w:snapToGrid w:val="0"/>
                <w:color w:val="auto"/>
                <w:sz w:val="24"/>
                <w:szCs w:val="32"/>
                <w:highlight w:val="none"/>
                <w:lang w:val="en-US" w:eastAsia="zh-CN" w:bidi="ar-SA"/>
              </w:rPr>
              <w:instrText xml:space="preserve"> HYPERLINK "https://www.eiacloud.com/hpyzs/lawsRegulations/searchDetail?modelName=%E6%8E%92%E6%B1%A1%E5%90%8D%E5%BD%95&amp;id=61c459b05d144dea89d584089fffd470" \t "https://www.eiacloud.com/hpyzs/category/_blank" </w:instrText>
            </w:r>
            <w:r>
              <w:rPr>
                <w:rFonts w:ascii="Times New Roman" w:hAnsi="Times New Roman" w:eastAsia="宋体" w:cs="Times New Roman"/>
                <w:b w:val="0"/>
                <w:bCs/>
                <w:snapToGrid w:val="0"/>
                <w:color w:val="auto"/>
                <w:sz w:val="24"/>
                <w:szCs w:val="32"/>
                <w:highlight w:val="none"/>
                <w:lang w:val="en-US" w:eastAsia="zh-CN" w:bidi="ar-SA"/>
              </w:rPr>
              <w:fldChar w:fldCharType="separate"/>
            </w:r>
            <w:r>
              <w:rPr>
                <w:rFonts w:hint="default" w:ascii="Times New Roman" w:hAnsi="Times New Roman" w:eastAsia="宋体" w:cs="Times New Roman"/>
                <w:b w:val="0"/>
                <w:bCs/>
                <w:snapToGrid w:val="0"/>
                <w:color w:val="auto"/>
                <w:sz w:val="24"/>
                <w:szCs w:val="32"/>
                <w:highlight w:val="none"/>
                <w:lang w:val="en-US" w:eastAsia="zh-CN" w:bidi="ar-SA"/>
              </w:rPr>
              <w:t>排污单位自行监测技术指南 涂装</w:t>
            </w:r>
            <w:r>
              <w:rPr>
                <w:rFonts w:hint="eastAsia" w:ascii="Times New Roman" w:hAnsi="Times New Roman" w:eastAsia="宋体" w:cs="Times New Roman"/>
                <w:b w:val="0"/>
                <w:bCs/>
                <w:snapToGrid w:val="0"/>
                <w:color w:val="auto"/>
                <w:sz w:val="24"/>
                <w:szCs w:val="32"/>
                <w:highlight w:val="none"/>
                <w:lang w:val="en-US" w:eastAsia="zh-CN" w:bidi="ar-SA"/>
              </w:rPr>
              <w:t>》（</w:t>
            </w:r>
            <w:r>
              <w:rPr>
                <w:rFonts w:hint="default" w:ascii="Times New Roman" w:hAnsi="Times New Roman" w:eastAsia="宋体" w:cs="Times New Roman"/>
                <w:b w:val="0"/>
                <w:bCs/>
                <w:snapToGrid w:val="0"/>
                <w:color w:val="auto"/>
                <w:sz w:val="24"/>
                <w:szCs w:val="32"/>
                <w:highlight w:val="none"/>
                <w:lang w:val="en-US" w:eastAsia="zh-CN" w:bidi="ar-SA"/>
              </w:rPr>
              <w:t> HJ1086-2020</w:t>
            </w:r>
            <w:r>
              <w:rPr>
                <w:rFonts w:hint="default" w:ascii="Times New Roman" w:hAnsi="Times New Roman" w:eastAsia="宋体" w:cs="Times New Roman"/>
                <w:b w:val="0"/>
                <w:bCs/>
                <w:snapToGrid w:val="0"/>
                <w:color w:val="auto"/>
                <w:sz w:val="24"/>
                <w:szCs w:val="32"/>
                <w:highlight w:val="none"/>
                <w:lang w:val="en-US" w:eastAsia="zh-CN" w:bidi="ar-SA"/>
              </w:rPr>
              <w:fldChar w:fldCharType="end"/>
            </w:r>
            <w:r>
              <w:rPr>
                <w:rFonts w:hint="eastAsia" w:ascii="Times New Roman" w:hAnsi="Times New Roman" w:eastAsia="宋体" w:cs="Times New Roman"/>
                <w:b w:val="0"/>
                <w:bCs/>
                <w:snapToGrid w:val="0"/>
                <w:color w:val="auto"/>
                <w:sz w:val="24"/>
                <w:szCs w:val="32"/>
                <w:highlight w:val="none"/>
                <w:lang w:val="en-US" w:eastAsia="zh-CN" w:bidi="ar-SA"/>
              </w:rPr>
              <w:t>）</w:t>
            </w:r>
            <w:r>
              <w:rPr>
                <w:rFonts w:ascii="Times New Roman" w:hAnsi="Times New Roman" w:eastAsia="宋体" w:cs="Times New Roman"/>
                <w:b w:val="0"/>
                <w:bCs/>
                <w:snapToGrid w:val="0"/>
                <w:color w:val="auto"/>
                <w:sz w:val="24"/>
                <w:szCs w:val="32"/>
                <w:highlight w:val="none"/>
                <w:lang w:val="en-US" w:eastAsia="zh-CN" w:bidi="ar-SA"/>
              </w:rPr>
              <w:t>中相关要求，项目在投入运行后，需定期对项目污染源开展监测活动，具体如下所示。</w:t>
            </w:r>
          </w:p>
          <w:p w14:paraId="31EBEB15">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sz w:val="24"/>
                <w:highlight w:val="none"/>
                <w:lang w:eastAsia="zh-CN"/>
              </w:rPr>
              <w:t>表4-3 排放口信息及自行监测一览表</w:t>
            </w:r>
          </w:p>
          <w:tbl>
            <w:tblPr>
              <w:tblStyle w:val="25"/>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1470"/>
              <w:gridCol w:w="1042"/>
              <w:gridCol w:w="999"/>
              <w:gridCol w:w="1751"/>
              <w:gridCol w:w="1560"/>
              <w:gridCol w:w="1258"/>
            </w:tblGrid>
            <w:tr w14:paraId="5027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restart"/>
                  <w:tcBorders>
                    <w:top w:val="single" w:color="auto" w:sz="4" w:space="0"/>
                    <w:left w:val="single" w:color="auto" w:sz="4" w:space="0"/>
                    <w:bottom w:val="single" w:color="auto" w:sz="4" w:space="0"/>
                    <w:right w:val="single" w:color="auto" w:sz="4" w:space="0"/>
                  </w:tcBorders>
                  <w:vAlign w:val="center"/>
                </w:tcPr>
                <w:p w14:paraId="5BF00BD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排放口编号</w:t>
                  </w:r>
                </w:p>
              </w:tc>
              <w:tc>
                <w:tcPr>
                  <w:tcW w:w="811" w:type="pct"/>
                  <w:vMerge w:val="restart"/>
                  <w:tcBorders>
                    <w:top w:val="single" w:color="auto" w:sz="4" w:space="0"/>
                    <w:left w:val="nil"/>
                    <w:bottom w:val="single" w:color="auto" w:sz="4" w:space="0"/>
                    <w:right w:val="single" w:color="auto" w:sz="4" w:space="0"/>
                  </w:tcBorders>
                  <w:vAlign w:val="center"/>
                </w:tcPr>
                <w:p w14:paraId="101CDEA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污染物种类</w:t>
                  </w:r>
                </w:p>
              </w:tc>
              <w:tc>
                <w:tcPr>
                  <w:tcW w:w="575" w:type="pct"/>
                  <w:vMerge w:val="restart"/>
                  <w:tcBorders>
                    <w:top w:val="single" w:color="auto" w:sz="4" w:space="0"/>
                    <w:left w:val="nil"/>
                    <w:bottom w:val="single" w:color="auto" w:sz="4" w:space="0"/>
                    <w:right w:val="single" w:color="auto" w:sz="4" w:space="0"/>
                  </w:tcBorders>
                  <w:vAlign w:val="center"/>
                </w:tcPr>
                <w:p w14:paraId="729E47A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排气筒高度m</w:t>
                  </w:r>
                </w:p>
              </w:tc>
              <w:tc>
                <w:tcPr>
                  <w:tcW w:w="551" w:type="pct"/>
                  <w:vMerge w:val="restart"/>
                  <w:tcBorders>
                    <w:top w:val="single" w:color="auto" w:sz="4" w:space="0"/>
                    <w:left w:val="nil"/>
                    <w:bottom w:val="single" w:color="auto" w:sz="4" w:space="0"/>
                    <w:right w:val="single" w:color="auto" w:sz="4" w:space="0"/>
                  </w:tcBorders>
                  <w:vAlign w:val="center"/>
                </w:tcPr>
                <w:p w14:paraId="1F34AA3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内径m</w:t>
                  </w:r>
                </w:p>
              </w:tc>
              <w:tc>
                <w:tcPr>
                  <w:tcW w:w="1827" w:type="pct"/>
                  <w:gridSpan w:val="2"/>
                  <w:tcBorders>
                    <w:top w:val="single" w:color="auto" w:sz="4" w:space="0"/>
                    <w:left w:val="nil"/>
                    <w:bottom w:val="single" w:color="auto" w:sz="4" w:space="0"/>
                    <w:right w:val="single" w:color="auto" w:sz="4" w:space="0"/>
                  </w:tcBorders>
                  <w:vAlign w:val="center"/>
                </w:tcPr>
                <w:p w14:paraId="683F7A5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坐标</w:t>
                  </w:r>
                </w:p>
              </w:tc>
              <w:tc>
                <w:tcPr>
                  <w:tcW w:w="694" w:type="pct"/>
                  <w:vMerge w:val="restart"/>
                  <w:tcBorders>
                    <w:top w:val="single" w:color="auto" w:sz="4" w:space="0"/>
                    <w:left w:val="nil"/>
                    <w:right w:val="single" w:color="auto" w:sz="4" w:space="0"/>
                  </w:tcBorders>
                  <w:vAlign w:val="center"/>
                </w:tcPr>
                <w:p w14:paraId="6D914B3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监测频次</w:t>
                  </w:r>
                </w:p>
              </w:tc>
            </w:tr>
            <w:tr w14:paraId="3695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tcBorders>
                    <w:top w:val="single" w:color="auto" w:sz="4" w:space="0"/>
                    <w:left w:val="single" w:color="auto" w:sz="4" w:space="0"/>
                    <w:bottom w:val="single" w:color="auto" w:sz="4" w:space="0"/>
                    <w:right w:val="single" w:color="auto" w:sz="4" w:space="0"/>
                  </w:tcBorders>
                  <w:vAlign w:val="center"/>
                </w:tcPr>
                <w:p w14:paraId="159C092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c>
                <w:tcPr>
                  <w:tcW w:w="811" w:type="pct"/>
                  <w:vMerge w:val="continue"/>
                  <w:tcBorders>
                    <w:top w:val="single" w:color="auto" w:sz="4" w:space="0"/>
                    <w:left w:val="nil"/>
                    <w:bottom w:val="single" w:color="auto" w:sz="4" w:space="0"/>
                    <w:right w:val="single" w:color="auto" w:sz="4" w:space="0"/>
                  </w:tcBorders>
                  <w:vAlign w:val="center"/>
                </w:tcPr>
                <w:p w14:paraId="5019EA79">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c>
                <w:tcPr>
                  <w:tcW w:w="575" w:type="pct"/>
                  <w:vMerge w:val="continue"/>
                  <w:tcBorders>
                    <w:top w:val="single" w:color="auto" w:sz="4" w:space="0"/>
                    <w:left w:val="nil"/>
                    <w:bottom w:val="single" w:color="auto" w:sz="4" w:space="0"/>
                    <w:right w:val="single" w:color="auto" w:sz="4" w:space="0"/>
                  </w:tcBorders>
                  <w:vAlign w:val="center"/>
                </w:tcPr>
                <w:p w14:paraId="07A5690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c>
                <w:tcPr>
                  <w:tcW w:w="551" w:type="pct"/>
                  <w:vMerge w:val="continue"/>
                  <w:tcBorders>
                    <w:top w:val="single" w:color="auto" w:sz="4" w:space="0"/>
                    <w:left w:val="nil"/>
                    <w:bottom w:val="single" w:color="auto" w:sz="4" w:space="0"/>
                    <w:right w:val="single" w:color="auto" w:sz="4" w:space="0"/>
                  </w:tcBorders>
                  <w:vAlign w:val="center"/>
                </w:tcPr>
                <w:p w14:paraId="3BD2422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c>
                <w:tcPr>
                  <w:tcW w:w="966" w:type="pct"/>
                  <w:tcBorders>
                    <w:top w:val="single" w:color="auto" w:sz="4" w:space="0"/>
                    <w:left w:val="nil"/>
                    <w:bottom w:val="single" w:color="auto" w:sz="4" w:space="0"/>
                    <w:right w:val="single" w:color="auto" w:sz="4" w:space="0"/>
                  </w:tcBorders>
                  <w:vAlign w:val="center"/>
                </w:tcPr>
                <w:p w14:paraId="68EA9BD9">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经度</w:t>
                  </w:r>
                </w:p>
              </w:tc>
              <w:tc>
                <w:tcPr>
                  <w:tcW w:w="861" w:type="pct"/>
                  <w:tcBorders>
                    <w:top w:val="single" w:color="auto" w:sz="4" w:space="0"/>
                    <w:left w:val="nil"/>
                    <w:bottom w:val="single" w:color="auto" w:sz="4" w:space="0"/>
                    <w:right w:val="single" w:color="auto" w:sz="4" w:space="0"/>
                  </w:tcBorders>
                  <w:vAlign w:val="center"/>
                </w:tcPr>
                <w:p w14:paraId="5083D4C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纬度</w:t>
                  </w:r>
                </w:p>
              </w:tc>
              <w:tc>
                <w:tcPr>
                  <w:tcW w:w="694" w:type="pct"/>
                  <w:vMerge w:val="continue"/>
                  <w:tcBorders>
                    <w:left w:val="nil"/>
                    <w:bottom w:val="single" w:color="auto" w:sz="4" w:space="0"/>
                    <w:right w:val="single" w:color="auto" w:sz="4" w:space="0"/>
                  </w:tcBorders>
                  <w:vAlign w:val="center"/>
                </w:tcPr>
                <w:p w14:paraId="6B054E6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r>
            <w:tr w14:paraId="1298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tcBorders>
                    <w:top w:val="single" w:color="auto" w:sz="4" w:space="0"/>
                    <w:left w:val="single" w:color="auto" w:sz="4" w:space="0"/>
                    <w:right w:val="single" w:color="auto" w:sz="4" w:space="0"/>
                  </w:tcBorders>
                  <w:vAlign w:val="center"/>
                </w:tcPr>
                <w:p w14:paraId="1E10AA4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DA001</w:t>
                  </w:r>
                </w:p>
              </w:tc>
              <w:tc>
                <w:tcPr>
                  <w:tcW w:w="811" w:type="pct"/>
                  <w:tcBorders>
                    <w:top w:val="single" w:color="auto" w:sz="4" w:space="0"/>
                    <w:left w:val="nil"/>
                    <w:bottom w:val="single" w:color="auto" w:sz="4" w:space="0"/>
                    <w:right w:val="single" w:color="auto" w:sz="4" w:space="0"/>
                  </w:tcBorders>
                  <w:vAlign w:val="center"/>
                </w:tcPr>
                <w:p w14:paraId="65BA5012">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kern w:val="21"/>
                      <w:highlight w:val="none"/>
                      <w:lang w:eastAsia="zh-CN"/>
                    </w:rPr>
                  </w:pPr>
                  <w:r>
                    <w:rPr>
                      <w:rFonts w:ascii="Times New Roman" w:hAnsi="Times New Roman" w:eastAsia="宋体"/>
                      <w:color w:val="auto"/>
                      <w:kern w:val="21"/>
                      <w:highlight w:val="none"/>
                      <w:lang w:eastAsia="zh-CN"/>
                    </w:rPr>
                    <w:t>颗粒物</w:t>
                  </w:r>
                </w:p>
              </w:tc>
              <w:tc>
                <w:tcPr>
                  <w:tcW w:w="575" w:type="pct"/>
                  <w:tcBorders>
                    <w:top w:val="single" w:color="auto" w:sz="4" w:space="0"/>
                    <w:left w:val="nil"/>
                    <w:right w:val="single" w:color="auto" w:sz="4" w:space="0"/>
                  </w:tcBorders>
                  <w:vAlign w:val="center"/>
                </w:tcPr>
                <w:p w14:paraId="7A7CD5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cs="Times New Roman"/>
                      <w:color w:val="auto"/>
                      <w:kern w:val="21"/>
                      <w:highlight w:val="none"/>
                      <w:lang w:val="en-US" w:eastAsia="zh-CN"/>
                    </w:rPr>
                    <w:t>15</w:t>
                  </w:r>
                </w:p>
              </w:tc>
              <w:tc>
                <w:tcPr>
                  <w:tcW w:w="551" w:type="pct"/>
                  <w:tcBorders>
                    <w:top w:val="single" w:color="auto" w:sz="4" w:space="0"/>
                    <w:left w:val="nil"/>
                    <w:right w:val="single" w:color="auto" w:sz="4" w:space="0"/>
                  </w:tcBorders>
                  <w:vAlign w:val="center"/>
                </w:tcPr>
                <w:p w14:paraId="4F9C47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color w:val="auto"/>
                      <w:sz w:val="21"/>
                      <w:szCs w:val="21"/>
                      <w:highlight w:val="none"/>
                      <w:lang w:val="en-US" w:eastAsia="zh-CN"/>
                    </w:rPr>
                    <w:t>0.4</w:t>
                  </w:r>
                </w:p>
              </w:tc>
              <w:tc>
                <w:tcPr>
                  <w:tcW w:w="966" w:type="pct"/>
                  <w:tcBorders>
                    <w:top w:val="single" w:color="auto" w:sz="4" w:space="0"/>
                    <w:left w:val="nil"/>
                    <w:right w:val="single" w:color="auto" w:sz="4" w:space="0"/>
                  </w:tcBorders>
                  <w:vAlign w:val="center"/>
                </w:tcPr>
                <w:p w14:paraId="0F45483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hint="eastAsia" w:ascii="Times New Roman" w:hAnsi="Times New Roman" w:eastAsia="宋体" w:cs="Times New Roman"/>
                      <w:color w:val="auto"/>
                      <w:kern w:val="21"/>
                      <w:highlight w:val="none"/>
                      <w:lang w:eastAsia="zh-CN"/>
                    </w:rPr>
                    <w:t>11</w:t>
                  </w:r>
                  <w:r>
                    <w:rPr>
                      <w:rFonts w:hint="eastAsia"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67</w:t>
                  </w:r>
                  <w:r>
                    <w:rPr>
                      <w:rFonts w:hint="eastAsia" w:ascii="Times New Roman" w:hAnsi="Times New Roman" w:eastAsia="宋体" w:cs="Times New Roman"/>
                      <w:color w:val="auto"/>
                      <w:kern w:val="21"/>
                      <w:highlight w:val="none"/>
                      <w:lang w:val="en-US" w:eastAsia="zh-CN"/>
                    </w:rPr>
                    <w:t>.</w:t>
                  </w:r>
                  <w:r>
                    <w:rPr>
                      <w:rFonts w:hint="eastAsia" w:ascii="Times New Roman" w:hAnsi="Times New Roman" w:eastAsia="宋体" w:cs="Times New Roman"/>
                      <w:color w:val="auto"/>
                      <w:kern w:val="21"/>
                      <w:highlight w:val="none"/>
                      <w:lang w:eastAsia="zh-CN"/>
                    </w:rPr>
                    <w:t>664</w:t>
                  </w:r>
                  <w:r>
                    <w:rPr>
                      <w:rFonts w:ascii="Times New Roman" w:hAnsi="Times New Roman" w:eastAsia="宋体" w:cs="Times New Roman"/>
                      <w:color w:val="auto"/>
                      <w:kern w:val="21"/>
                      <w:highlight w:val="none"/>
                      <w:lang w:eastAsia="zh-CN"/>
                    </w:rPr>
                    <w:t>″</w:t>
                  </w:r>
                </w:p>
              </w:tc>
              <w:tc>
                <w:tcPr>
                  <w:tcW w:w="861" w:type="pct"/>
                  <w:tcBorders>
                    <w:top w:val="single" w:color="auto" w:sz="4" w:space="0"/>
                    <w:left w:val="nil"/>
                    <w:right w:val="single" w:color="auto" w:sz="4" w:space="0"/>
                  </w:tcBorders>
                  <w:vAlign w:val="center"/>
                </w:tcPr>
                <w:p w14:paraId="78089D5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hint="eastAsia" w:ascii="Times New Roman" w:hAnsi="Times New Roman" w:eastAsia="宋体" w:cs="Times New Roman"/>
                      <w:color w:val="auto"/>
                      <w:kern w:val="21"/>
                      <w:highlight w:val="none"/>
                      <w:lang w:eastAsia="zh-CN"/>
                    </w:rPr>
                    <w:t>34</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12</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68</w:t>
                  </w:r>
                  <w:r>
                    <w:rPr>
                      <w:rFonts w:hint="eastAsia" w:ascii="Times New Roman" w:hAnsi="Times New Roman" w:eastAsia="宋体" w:cs="Times New Roman"/>
                      <w:color w:val="auto"/>
                      <w:kern w:val="21"/>
                      <w:highlight w:val="none"/>
                      <w:lang w:val="en-US" w:eastAsia="zh-CN"/>
                    </w:rPr>
                    <w:t>.</w:t>
                  </w:r>
                  <w:r>
                    <w:rPr>
                      <w:rFonts w:hint="eastAsia" w:ascii="Times New Roman" w:hAnsi="Times New Roman" w:eastAsia="宋体" w:cs="Times New Roman"/>
                      <w:color w:val="auto"/>
                      <w:kern w:val="21"/>
                      <w:highlight w:val="none"/>
                      <w:lang w:eastAsia="zh-CN"/>
                    </w:rPr>
                    <w:t>630</w:t>
                  </w:r>
                  <w:r>
                    <w:rPr>
                      <w:rFonts w:ascii="Times New Roman" w:hAnsi="Times New Roman" w:eastAsia="宋体" w:cs="Times New Roman"/>
                      <w:color w:val="auto"/>
                      <w:kern w:val="21"/>
                      <w:highlight w:val="none"/>
                      <w:lang w:eastAsia="zh-CN"/>
                    </w:rPr>
                    <w:t>″</w:t>
                  </w:r>
                </w:p>
              </w:tc>
              <w:tc>
                <w:tcPr>
                  <w:tcW w:w="694" w:type="pct"/>
                  <w:tcBorders>
                    <w:top w:val="single" w:color="auto" w:sz="4" w:space="0"/>
                    <w:left w:val="nil"/>
                    <w:right w:val="single" w:color="auto" w:sz="4" w:space="0"/>
                  </w:tcBorders>
                  <w:vAlign w:val="center"/>
                </w:tcPr>
                <w:p w14:paraId="0ECF79D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1次/年</w:t>
                  </w:r>
                </w:p>
              </w:tc>
            </w:tr>
            <w:tr w14:paraId="2CFC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tcBorders>
                    <w:top w:val="single" w:color="auto" w:sz="4" w:space="0"/>
                    <w:left w:val="single" w:color="auto" w:sz="4" w:space="0"/>
                    <w:right w:val="single" w:color="auto" w:sz="4" w:space="0"/>
                  </w:tcBorders>
                  <w:vAlign w:val="center"/>
                </w:tcPr>
                <w:p w14:paraId="0E0D3F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DA002</w:t>
                  </w:r>
                </w:p>
              </w:tc>
              <w:tc>
                <w:tcPr>
                  <w:tcW w:w="811" w:type="pct"/>
                  <w:tcBorders>
                    <w:top w:val="single" w:color="auto" w:sz="4" w:space="0"/>
                    <w:left w:val="nil"/>
                    <w:bottom w:val="single" w:color="auto" w:sz="4" w:space="0"/>
                    <w:right w:val="single" w:color="auto" w:sz="4" w:space="0"/>
                  </w:tcBorders>
                  <w:vAlign w:val="center"/>
                </w:tcPr>
                <w:p w14:paraId="172927B2">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kern w:val="21"/>
                      <w:highlight w:val="none"/>
                      <w:lang w:eastAsia="zh-CN"/>
                    </w:rPr>
                  </w:pPr>
                  <w:r>
                    <w:rPr>
                      <w:rFonts w:ascii="Times New Roman" w:hAnsi="Times New Roman" w:eastAsia="宋体"/>
                      <w:color w:val="auto"/>
                      <w:kern w:val="21"/>
                      <w:highlight w:val="none"/>
                      <w:lang w:eastAsia="zh-CN"/>
                    </w:rPr>
                    <w:t>颗粒物</w:t>
                  </w:r>
                </w:p>
              </w:tc>
              <w:tc>
                <w:tcPr>
                  <w:tcW w:w="575" w:type="pct"/>
                  <w:tcBorders>
                    <w:top w:val="single" w:color="auto" w:sz="4" w:space="0"/>
                    <w:left w:val="nil"/>
                    <w:right w:val="single" w:color="auto" w:sz="4" w:space="0"/>
                  </w:tcBorders>
                  <w:vAlign w:val="center"/>
                </w:tcPr>
                <w:p w14:paraId="021C1F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cs="Times New Roman"/>
                      <w:color w:val="auto"/>
                      <w:kern w:val="21"/>
                      <w:highlight w:val="none"/>
                      <w:lang w:val="en-US" w:eastAsia="zh-CN"/>
                    </w:rPr>
                    <w:t>15</w:t>
                  </w:r>
                </w:p>
              </w:tc>
              <w:tc>
                <w:tcPr>
                  <w:tcW w:w="551" w:type="pct"/>
                  <w:tcBorders>
                    <w:top w:val="single" w:color="auto" w:sz="4" w:space="0"/>
                    <w:left w:val="nil"/>
                    <w:right w:val="single" w:color="auto" w:sz="4" w:space="0"/>
                  </w:tcBorders>
                  <w:vAlign w:val="center"/>
                </w:tcPr>
                <w:p w14:paraId="4B77B0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color w:val="auto"/>
                      <w:sz w:val="21"/>
                      <w:szCs w:val="21"/>
                      <w:highlight w:val="none"/>
                      <w:lang w:val="en-US" w:eastAsia="zh-CN"/>
                    </w:rPr>
                    <w:t>0.1</w:t>
                  </w:r>
                </w:p>
              </w:tc>
              <w:tc>
                <w:tcPr>
                  <w:tcW w:w="966" w:type="pct"/>
                  <w:tcBorders>
                    <w:top w:val="single" w:color="auto" w:sz="4" w:space="0"/>
                    <w:left w:val="nil"/>
                    <w:right w:val="single" w:color="auto" w:sz="4" w:space="0"/>
                  </w:tcBorders>
                  <w:vAlign w:val="center"/>
                </w:tcPr>
                <w:p w14:paraId="2077FE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11</w:t>
                  </w:r>
                  <w:r>
                    <w:rPr>
                      <w:rFonts w:hint="eastAsia"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67.739</w:t>
                  </w:r>
                  <w:r>
                    <w:rPr>
                      <w:rFonts w:ascii="Times New Roman" w:hAnsi="Times New Roman" w:eastAsia="宋体" w:cs="Times New Roman"/>
                      <w:color w:val="auto"/>
                      <w:kern w:val="21"/>
                      <w:highlight w:val="none"/>
                      <w:lang w:eastAsia="zh-CN"/>
                    </w:rPr>
                    <w:t>″</w:t>
                  </w:r>
                </w:p>
              </w:tc>
              <w:tc>
                <w:tcPr>
                  <w:tcW w:w="861" w:type="pct"/>
                  <w:tcBorders>
                    <w:top w:val="single" w:color="auto" w:sz="4" w:space="0"/>
                    <w:left w:val="nil"/>
                    <w:right w:val="single" w:color="auto" w:sz="4" w:space="0"/>
                  </w:tcBorders>
                  <w:vAlign w:val="center"/>
                </w:tcPr>
                <w:p w14:paraId="7A17BB5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hint="eastAsia" w:ascii="Times New Roman" w:hAnsi="Times New Roman" w:eastAsia="宋体" w:cs="Times New Roman"/>
                      <w:color w:val="auto"/>
                      <w:kern w:val="21"/>
                      <w:highlight w:val="none"/>
                      <w:lang w:eastAsia="zh-CN"/>
                    </w:rPr>
                    <w:t>34</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12</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6</w:t>
                  </w:r>
                  <w:r>
                    <w:rPr>
                      <w:rFonts w:hint="eastAsia" w:ascii="Times New Roman" w:hAnsi="Times New Roman" w:eastAsia="宋体" w:cs="Times New Roman"/>
                      <w:color w:val="auto"/>
                      <w:kern w:val="21"/>
                      <w:highlight w:val="none"/>
                      <w:lang w:val="en-US" w:eastAsia="zh-CN"/>
                    </w:rPr>
                    <w:t>9.917</w:t>
                  </w:r>
                  <w:r>
                    <w:rPr>
                      <w:rFonts w:ascii="Times New Roman" w:hAnsi="Times New Roman" w:eastAsia="宋体" w:cs="Times New Roman"/>
                      <w:color w:val="auto"/>
                      <w:kern w:val="21"/>
                      <w:highlight w:val="none"/>
                      <w:lang w:eastAsia="zh-CN"/>
                    </w:rPr>
                    <w:t>″</w:t>
                  </w:r>
                </w:p>
              </w:tc>
              <w:tc>
                <w:tcPr>
                  <w:tcW w:w="694" w:type="pct"/>
                  <w:tcBorders>
                    <w:top w:val="single" w:color="auto" w:sz="4" w:space="0"/>
                    <w:left w:val="nil"/>
                    <w:right w:val="single" w:color="auto" w:sz="4" w:space="0"/>
                  </w:tcBorders>
                  <w:vAlign w:val="center"/>
                </w:tcPr>
                <w:p w14:paraId="19BAFAE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1次/年</w:t>
                  </w:r>
                </w:p>
              </w:tc>
            </w:tr>
            <w:tr w14:paraId="55E4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tcBorders>
                    <w:top w:val="single" w:color="auto" w:sz="4" w:space="0"/>
                    <w:left w:val="single" w:color="auto" w:sz="4" w:space="0"/>
                    <w:right w:val="single" w:color="auto" w:sz="4" w:space="0"/>
                  </w:tcBorders>
                  <w:vAlign w:val="center"/>
                </w:tcPr>
                <w:p w14:paraId="3EA029B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DA003</w:t>
                  </w:r>
                </w:p>
              </w:tc>
              <w:tc>
                <w:tcPr>
                  <w:tcW w:w="811" w:type="pct"/>
                  <w:tcBorders>
                    <w:top w:val="single" w:color="auto" w:sz="4" w:space="0"/>
                    <w:left w:val="nil"/>
                    <w:bottom w:val="single" w:color="auto" w:sz="4" w:space="0"/>
                    <w:right w:val="single" w:color="auto" w:sz="4" w:space="0"/>
                  </w:tcBorders>
                  <w:vAlign w:val="center"/>
                </w:tcPr>
                <w:p w14:paraId="15CC3DF3">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kern w:val="21"/>
                      <w:highlight w:val="none"/>
                      <w:lang w:eastAsia="zh-CN"/>
                    </w:rPr>
                  </w:pPr>
                  <w:r>
                    <w:rPr>
                      <w:rFonts w:ascii="Times New Roman" w:hAnsi="Times New Roman" w:eastAsia="宋体"/>
                      <w:color w:val="auto"/>
                      <w:kern w:val="21"/>
                      <w:highlight w:val="none"/>
                      <w:lang w:eastAsia="zh-CN"/>
                    </w:rPr>
                    <w:t>颗粒物</w:t>
                  </w:r>
                </w:p>
              </w:tc>
              <w:tc>
                <w:tcPr>
                  <w:tcW w:w="575" w:type="pct"/>
                  <w:tcBorders>
                    <w:top w:val="single" w:color="auto" w:sz="4" w:space="0"/>
                    <w:left w:val="nil"/>
                    <w:right w:val="single" w:color="auto" w:sz="4" w:space="0"/>
                  </w:tcBorders>
                  <w:vAlign w:val="center"/>
                </w:tcPr>
                <w:p w14:paraId="23D00ED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r>
                    <w:rPr>
                      <w:rFonts w:hint="eastAsia" w:cs="Times New Roman"/>
                      <w:color w:val="auto"/>
                      <w:kern w:val="21"/>
                      <w:highlight w:val="none"/>
                      <w:lang w:val="en-US" w:eastAsia="zh-CN"/>
                    </w:rPr>
                    <w:t>15</w:t>
                  </w:r>
                </w:p>
              </w:tc>
              <w:tc>
                <w:tcPr>
                  <w:tcW w:w="551" w:type="pct"/>
                  <w:tcBorders>
                    <w:top w:val="single" w:color="auto" w:sz="4" w:space="0"/>
                    <w:left w:val="nil"/>
                    <w:right w:val="single" w:color="auto" w:sz="4" w:space="0"/>
                  </w:tcBorders>
                  <w:vAlign w:val="center"/>
                </w:tcPr>
                <w:p w14:paraId="68F9D8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color w:val="auto"/>
                      <w:sz w:val="21"/>
                      <w:szCs w:val="21"/>
                      <w:highlight w:val="none"/>
                      <w:lang w:val="en-US" w:eastAsia="zh-CN"/>
                    </w:rPr>
                    <w:t>0.4</w:t>
                  </w:r>
                </w:p>
              </w:tc>
              <w:tc>
                <w:tcPr>
                  <w:tcW w:w="966" w:type="pct"/>
                  <w:tcBorders>
                    <w:top w:val="single" w:color="auto" w:sz="4" w:space="0"/>
                    <w:left w:val="nil"/>
                    <w:right w:val="single" w:color="auto" w:sz="4" w:space="0"/>
                  </w:tcBorders>
                  <w:vAlign w:val="center"/>
                </w:tcPr>
                <w:p w14:paraId="06FF544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11</w:t>
                  </w:r>
                  <w:r>
                    <w:rPr>
                      <w:rFonts w:hint="eastAsia"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66.741</w:t>
                  </w:r>
                  <w:r>
                    <w:rPr>
                      <w:rFonts w:ascii="Times New Roman" w:hAnsi="Times New Roman" w:eastAsia="宋体" w:cs="Times New Roman"/>
                      <w:color w:val="auto"/>
                      <w:kern w:val="21"/>
                      <w:highlight w:val="none"/>
                      <w:lang w:eastAsia="zh-CN"/>
                    </w:rPr>
                    <w:t>″</w:t>
                  </w:r>
                </w:p>
              </w:tc>
              <w:tc>
                <w:tcPr>
                  <w:tcW w:w="861" w:type="pct"/>
                  <w:tcBorders>
                    <w:top w:val="single" w:color="auto" w:sz="4" w:space="0"/>
                    <w:left w:val="nil"/>
                    <w:right w:val="single" w:color="auto" w:sz="4" w:space="0"/>
                  </w:tcBorders>
                  <w:vAlign w:val="center"/>
                </w:tcPr>
                <w:p w14:paraId="4566D37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eastAsia="zh-CN"/>
                    </w:rPr>
                  </w:pPr>
                  <w:r>
                    <w:rPr>
                      <w:rFonts w:hint="eastAsia" w:ascii="Times New Roman" w:hAnsi="Times New Roman" w:eastAsia="宋体" w:cs="Times New Roman"/>
                      <w:color w:val="auto"/>
                      <w:kern w:val="21"/>
                      <w:highlight w:val="none"/>
                      <w:lang w:eastAsia="zh-CN"/>
                    </w:rPr>
                    <w:t>34</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1</w:t>
                  </w:r>
                  <w:r>
                    <w:rPr>
                      <w:rFonts w:hint="eastAsia" w:ascii="Times New Roman" w:hAnsi="Times New Roman" w:eastAsia="宋体" w:cs="Times New Roman"/>
                      <w:color w:val="auto"/>
                      <w:kern w:val="21"/>
                      <w:highlight w:val="none"/>
                      <w:lang w:val="en-US" w:eastAsia="zh-CN"/>
                    </w:rPr>
                    <w:t>1</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65.814</w:t>
                  </w:r>
                  <w:r>
                    <w:rPr>
                      <w:rFonts w:ascii="Times New Roman" w:hAnsi="Times New Roman" w:eastAsia="宋体" w:cs="Times New Roman"/>
                      <w:color w:val="auto"/>
                      <w:kern w:val="21"/>
                      <w:highlight w:val="none"/>
                      <w:lang w:eastAsia="zh-CN"/>
                    </w:rPr>
                    <w:t>″</w:t>
                  </w:r>
                </w:p>
              </w:tc>
              <w:tc>
                <w:tcPr>
                  <w:tcW w:w="694" w:type="pct"/>
                  <w:tcBorders>
                    <w:top w:val="single" w:color="auto" w:sz="4" w:space="0"/>
                    <w:left w:val="nil"/>
                    <w:right w:val="single" w:color="auto" w:sz="4" w:space="0"/>
                  </w:tcBorders>
                  <w:vAlign w:val="center"/>
                </w:tcPr>
                <w:p w14:paraId="77B1155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1次/年</w:t>
                  </w:r>
                </w:p>
              </w:tc>
            </w:tr>
            <w:tr w14:paraId="41BD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restart"/>
                  <w:tcBorders>
                    <w:top w:val="single" w:color="auto" w:sz="4" w:space="0"/>
                    <w:left w:val="single" w:color="auto" w:sz="4" w:space="0"/>
                    <w:right w:val="single" w:color="auto" w:sz="4" w:space="0"/>
                  </w:tcBorders>
                  <w:vAlign w:val="center"/>
                </w:tcPr>
                <w:p w14:paraId="68831A7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DA004</w:t>
                  </w:r>
                </w:p>
              </w:tc>
              <w:tc>
                <w:tcPr>
                  <w:tcW w:w="811" w:type="pct"/>
                  <w:tcBorders>
                    <w:top w:val="single" w:color="auto" w:sz="4" w:space="0"/>
                    <w:left w:val="nil"/>
                    <w:bottom w:val="single" w:color="auto" w:sz="4" w:space="0"/>
                    <w:right w:val="single" w:color="auto" w:sz="4" w:space="0"/>
                  </w:tcBorders>
                  <w:vAlign w:val="center"/>
                </w:tcPr>
                <w:p w14:paraId="7462913F">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kern w:val="21"/>
                      <w:highlight w:val="none"/>
                      <w:lang w:val="en-US" w:eastAsia="zh-CN"/>
                    </w:rPr>
                  </w:pPr>
                  <w:r>
                    <w:rPr>
                      <w:rFonts w:ascii="Times New Roman" w:hAnsi="Times New Roman" w:eastAsia="宋体"/>
                      <w:color w:val="auto"/>
                      <w:kern w:val="21"/>
                      <w:highlight w:val="none"/>
                      <w:lang w:eastAsia="zh-CN"/>
                    </w:rPr>
                    <w:t>颗粒物</w:t>
                  </w:r>
                </w:p>
              </w:tc>
              <w:tc>
                <w:tcPr>
                  <w:tcW w:w="575" w:type="pct"/>
                  <w:vMerge w:val="restart"/>
                  <w:tcBorders>
                    <w:top w:val="single" w:color="auto" w:sz="4" w:space="0"/>
                    <w:left w:val="nil"/>
                    <w:right w:val="single" w:color="auto" w:sz="4" w:space="0"/>
                  </w:tcBorders>
                  <w:vAlign w:val="center"/>
                </w:tcPr>
                <w:p w14:paraId="6B3B6982">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kern w:val="21"/>
                      <w:highlight w:val="none"/>
                      <w:lang w:val="en-US" w:eastAsia="zh-CN"/>
                    </w:rPr>
                  </w:pPr>
                  <w:r>
                    <w:rPr>
                      <w:rFonts w:hint="eastAsia" w:cs="Times New Roman"/>
                      <w:color w:val="auto"/>
                      <w:kern w:val="21"/>
                      <w:highlight w:val="none"/>
                      <w:lang w:val="en-US" w:eastAsia="zh-CN"/>
                    </w:rPr>
                    <w:t>15</w:t>
                  </w:r>
                </w:p>
              </w:tc>
              <w:tc>
                <w:tcPr>
                  <w:tcW w:w="551" w:type="pct"/>
                  <w:vMerge w:val="restart"/>
                  <w:tcBorders>
                    <w:top w:val="single" w:color="auto" w:sz="4" w:space="0"/>
                    <w:left w:val="nil"/>
                    <w:right w:val="single" w:color="auto" w:sz="4" w:space="0"/>
                  </w:tcBorders>
                  <w:vAlign w:val="center"/>
                </w:tcPr>
                <w:p w14:paraId="36A9A1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color w:val="auto"/>
                      <w:sz w:val="21"/>
                      <w:szCs w:val="21"/>
                      <w:highlight w:val="none"/>
                      <w:lang w:val="en-US" w:eastAsia="zh-CN"/>
                    </w:rPr>
                    <w:t>0.4</w:t>
                  </w:r>
                </w:p>
              </w:tc>
              <w:tc>
                <w:tcPr>
                  <w:tcW w:w="966" w:type="pct"/>
                  <w:vMerge w:val="restart"/>
                  <w:tcBorders>
                    <w:top w:val="single" w:color="auto" w:sz="4" w:space="0"/>
                    <w:left w:val="nil"/>
                    <w:right w:val="single" w:color="auto" w:sz="4" w:space="0"/>
                  </w:tcBorders>
                  <w:vAlign w:val="center"/>
                </w:tcPr>
                <w:p w14:paraId="0AA6233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11</w:t>
                  </w:r>
                  <w:r>
                    <w:rPr>
                      <w:rFonts w:hint="eastAsia"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54.735</w:t>
                  </w:r>
                  <w:r>
                    <w:rPr>
                      <w:rFonts w:ascii="Times New Roman" w:hAnsi="Times New Roman" w:eastAsia="宋体" w:cs="Times New Roman"/>
                      <w:color w:val="auto"/>
                      <w:kern w:val="21"/>
                      <w:highlight w:val="none"/>
                      <w:lang w:eastAsia="zh-CN"/>
                    </w:rPr>
                    <w:t>″</w:t>
                  </w:r>
                </w:p>
              </w:tc>
              <w:tc>
                <w:tcPr>
                  <w:tcW w:w="861" w:type="pct"/>
                  <w:vMerge w:val="restart"/>
                  <w:tcBorders>
                    <w:top w:val="single" w:color="auto" w:sz="4" w:space="0"/>
                    <w:left w:val="nil"/>
                    <w:right w:val="single" w:color="auto" w:sz="4" w:space="0"/>
                  </w:tcBorders>
                  <w:vAlign w:val="center"/>
                </w:tcPr>
                <w:p w14:paraId="0F7576C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eastAsia="zh-CN"/>
                    </w:rPr>
                  </w:pPr>
                  <w:r>
                    <w:rPr>
                      <w:rFonts w:hint="eastAsia" w:ascii="Times New Roman" w:hAnsi="Times New Roman" w:eastAsia="宋体" w:cs="Times New Roman"/>
                      <w:color w:val="auto"/>
                      <w:kern w:val="21"/>
                      <w:highlight w:val="none"/>
                      <w:lang w:eastAsia="zh-CN"/>
                    </w:rPr>
                    <w:t>34</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11</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65.824</w:t>
                  </w:r>
                  <w:r>
                    <w:rPr>
                      <w:rFonts w:ascii="Times New Roman" w:hAnsi="Times New Roman" w:eastAsia="宋体" w:cs="Times New Roman"/>
                      <w:color w:val="auto"/>
                      <w:kern w:val="21"/>
                      <w:highlight w:val="none"/>
                      <w:lang w:eastAsia="zh-CN"/>
                    </w:rPr>
                    <w:t>″</w:t>
                  </w:r>
                </w:p>
              </w:tc>
              <w:tc>
                <w:tcPr>
                  <w:tcW w:w="694" w:type="pct"/>
                  <w:vMerge w:val="restart"/>
                  <w:tcBorders>
                    <w:top w:val="single" w:color="auto" w:sz="4" w:space="0"/>
                    <w:left w:val="nil"/>
                    <w:right w:val="single" w:color="auto" w:sz="4" w:space="0"/>
                  </w:tcBorders>
                  <w:vAlign w:val="center"/>
                </w:tcPr>
                <w:p w14:paraId="6F7333D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1次/年</w:t>
                  </w:r>
                </w:p>
              </w:tc>
            </w:tr>
            <w:tr w14:paraId="7FE1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tcBorders>
                    <w:left w:val="single" w:color="auto" w:sz="4" w:space="0"/>
                    <w:right w:val="single" w:color="auto" w:sz="4" w:space="0"/>
                  </w:tcBorders>
                  <w:vAlign w:val="center"/>
                </w:tcPr>
                <w:p w14:paraId="52A2F78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811" w:type="pct"/>
                  <w:tcBorders>
                    <w:top w:val="single" w:color="auto" w:sz="4" w:space="0"/>
                    <w:left w:val="nil"/>
                    <w:bottom w:val="single" w:color="auto" w:sz="4" w:space="0"/>
                    <w:right w:val="single" w:color="auto" w:sz="4" w:space="0"/>
                  </w:tcBorders>
                  <w:vAlign w:val="center"/>
                </w:tcPr>
                <w:p w14:paraId="3885C5D2">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olor w:val="auto"/>
                      <w:kern w:val="21"/>
                      <w:highlight w:val="none"/>
                      <w:lang w:eastAsia="zh-CN"/>
                    </w:rPr>
                  </w:pPr>
                  <w:r>
                    <w:rPr>
                      <w:rFonts w:hint="eastAsia"/>
                      <w:color w:val="auto"/>
                      <w:kern w:val="21"/>
                      <w:highlight w:val="none"/>
                      <w:lang w:val="en-US" w:eastAsia="zh-CN"/>
                    </w:rPr>
                    <w:t>二氧化硫</w:t>
                  </w:r>
                </w:p>
              </w:tc>
              <w:tc>
                <w:tcPr>
                  <w:tcW w:w="575" w:type="pct"/>
                  <w:vMerge w:val="continue"/>
                  <w:tcBorders>
                    <w:left w:val="nil"/>
                    <w:right w:val="single" w:color="auto" w:sz="4" w:space="0"/>
                  </w:tcBorders>
                  <w:vAlign w:val="center"/>
                </w:tcPr>
                <w:p w14:paraId="7DCED5A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kern w:val="21"/>
                      <w:highlight w:val="none"/>
                      <w:lang w:val="en-US" w:eastAsia="zh-CN"/>
                    </w:rPr>
                  </w:pPr>
                </w:p>
              </w:tc>
              <w:tc>
                <w:tcPr>
                  <w:tcW w:w="551" w:type="pct"/>
                  <w:vMerge w:val="continue"/>
                  <w:tcBorders>
                    <w:left w:val="nil"/>
                    <w:right w:val="single" w:color="auto" w:sz="4" w:space="0"/>
                  </w:tcBorders>
                  <w:vAlign w:val="center"/>
                </w:tcPr>
                <w:p w14:paraId="1333066A">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21"/>
                      <w:highlight w:val="none"/>
                      <w:lang w:val="en-US" w:eastAsia="zh-CN"/>
                    </w:rPr>
                  </w:pPr>
                </w:p>
              </w:tc>
              <w:tc>
                <w:tcPr>
                  <w:tcW w:w="966" w:type="pct"/>
                  <w:vMerge w:val="continue"/>
                  <w:tcBorders>
                    <w:left w:val="nil"/>
                    <w:right w:val="single" w:color="auto" w:sz="4" w:space="0"/>
                  </w:tcBorders>
                  <w:vAlign w:val="center"/>
                </w:tcPr>
                <w:p w14:paraId="0E8D477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861" w:type="pct"/>
                  <w:vMerge w:val="continue"/>
                  <w:tcBorders>
                    <w:left w:val="nil"/>
                    <w:right w:val="single" w:color="auto" w:sz="4" w:space="0"/>
                  </w:tcBorders>
                  <w:vAlign w:val="center"/>
                </w:tcPr>
                <w:p w14:paraId="3A925DD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eastAsia="zh-CN"/>
                    </w:rPr>
                  </w:pPr>
                </w:p>
              </w:tc>
              <w:tc>
                <w:tcPr>
                  <w:tcW w:w="694" w:type="pct"/>
                  <w:vMerge w:val="continue"/>
                  <w:tcBorders>
                    <w:left w:val="nil"/>
                    <w:right w:val="single" w:color="auto" w:sz="4" w:space="0"/>
                  </w:tcBorders>
                  <w:vAlign w:val="center"/>
                </w:tcPr>
                <w:p w14:paraId="553CE32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r>
            <w:tr w14:paraId="57A5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tcBorders>
                    <w:left w:val="single" w:color="auto" w:sz="4" w:space="0"/>
                    <w:right w:val="single" w:color="auto" w:sz="4" w:space="0"/>
                  </w:tcBorders>
                  <w:vAlign w:val="center"/>
                </w:tcPr>
                <w:p w14:paraId="3495BC1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811" w:type="pct"/>
                  <w:tcBorders>
                    <w:top w:val="single" w:color="auto" w:sz="4" w:space="0"/>
                    <w:left w:val="nil"/>
                    <w:bottom w:val="single" w:color="auto" w:sz="4" w:space="0"/>
                    <w:right w:val="single" w:color="auto" w:sz="4" w:space="0"/>
                  </w:tcBorders>
                  <w:vAlign w:val="center"/>
                </w:tcPr>
                <w:p w14:paraId="5ADFBB71">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olor w:val="auto"/>
                      <w:kern w:val="21"/>
                      <w:highlight w:val="none"/>
                      <w:lang w:eastAsia="zh-CN"/>
                    </w:rPr>
                  </w:pPr>
                  <w:r>
                    <w:rPr>
                      <w:rFonts w:hint="eastAsia"/>
                      <w:color w:val="auto"/>
                      <w:kern w:val="21"/>
                      <w:highlight w:val="none"/>
                      <w:lang w:val="en-US" w:eastAsia="zh-CN"/>
                    </w:rPr>
                    <w:t>氮氧化物</w:t>
                  </w:r>
                </w:p>
              </w:tc>
              <w:tc>
                <w:tcPr>
                  <w:tcW w:w="575" w:type="pct"/>
                  <w:vMerge w:val="continue"/>
                  <w:tcBorders>
                    <w:left w:val="nil"/>
                    <w:right w:val="single" w:color="auto" w:sz="4" w:space="0"/>
                  </w:tcBorders>
                  <w:vAlign w:val="center"/>
                </w:tcPr>
                <w:p w14:paraId="1B4D3409">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21"/>
                      <w:highlight w:val="none"/>
                      <w:lang w:val="en-US" w:eastAsia="zh-CN"/>
                    </w:rPr>
                  </w:pPr>
                </w:p>
              </w:tc>
              <w:tc>
                <w:tcPr>
                  <w:tcW w:w="551" w:type="pct"/>
                  <w:vMerge w:val="continue"/>
                  <w:tcBorders>
                    <w:left w:val="nil"/>
                    <w:right w:val="single" w:color="auto" w:sz="4" w:space="0"/>
                  </w:tcBorders>
                  <w:vAlign w:val="center"/>
                </w:tcPr>
                <w:p w14:paraId="29954B36">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21"/>
                      <w:highlight w:val="none"/>
                      <w:lang w:val="en-US" w:eastAsia="zh-CN"/>
                    </w:rPr>
                  </w:pPr>
                </w:p>
              </w:tc>
              <w:tc>
                <w:tcPr>
                  <w:tcW w:w="966" w:type="pct"/>
                  <w:vMerge w:val="continue"/>
                  <w:tcBorders>
                    <w:left w:val="nil"/>
                    <w:right w:val="single" w:color="auto" w:sz="4" w:space="0"/>
                  </w:tcBorders>
                  <w:vAlign w:val="center"/>
                </w:tcPr>
                <w:p w14:paraId="2285462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861" w:type="pct"/>
                  <w:vMerge w:val="continue"/>
                  <w:tcBorders>
                    <w:left w:val="nil"/>
                    <w:right w:val="single" w:color="auto" w:sz="4" w:space="0"/>
                  </w:tcBorders>
                  <w:vAlign w:val="center"/>
                </w:tcPr>
                <w:p w14:paraId="70FA4C0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eastAsia="zh-CN"/>
                    </w:rPr>
                  </w:pPr>
                </w:p>
              </w:tc>
              <w:tc>
                <w:tcPr>
                  <w:tcW w:w="694" w:type="pct"/>
                  <w:vMerge w:val="continue"/>
                  <w:tcBorders>
                    <w:left w:val="nil"/>
                    <w:right w:val="single" w:color="auto" w:sz="4" w:space="0"/>
                  </w:tcBorders>
                  <w:vAlign w:val="center"/>
                </w:tcPr>
                <w:p w14:paraId="7ED3F0C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r>
            <w:tr w14:paraId="19BE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tcBorders>
                    <w:left w:val="single" w:color="auto" w:sz="4" w:space="0"/>
                    <w:right w:val="single" w:color="auto" w:sz="4" w:space="0"/>
                  </w:tcBorders>
                  <w:vAlign w:val="center"/>
                </w:tcPr>
                <w:p w14:paraId="2AF5F5E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811" w:type="pct"/>
                  <w:tcBorders>
                    <w:top w:val="single" w:color="auto" w:sz="4" w:space="0"/>
                    <w:left w:val="nil"/>
                    <w:bottom w:val="single" w:color="auto" w:sz="4" w:space="0"/>
                    <w:right w:val="single" w:color="auto" w:sz="4" w:space="0"/>
                  </w:tcBorders>
                  <w:vAlign w:val="center"/>
                </w:tcPr>
                <w:p w14:paraId="6349C5E9">
                  <w:pPr>
                    <w:pStyle w:val="41"/>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olor w:val="auto"/>
                      <w:kern w:val="21"/>
                      <w:highlight w:val="none"/>
                      <w:lang w:eastAsia="zh-CN"/>
                    </w:rPr>
                  </w:pPr>
                  <w:r>
                    <w:rPr>
                      <w:rFonts w:hint="eastAsia" w:ascii="Times New Roman" w:hAnsi="Times New Roman" w:eastAsia="宋体"/>
                      <w:color w:val="auto"/>
                      <w:kern w:val="21"/>
                      <w:highlight w:val="none"/>
                      <w:lang w:val="en-US" w:eastAsia="zh-CN"/>
                    </w:rPr>
                    <w:t>非甲烷总烃</w:t>
                  </w:r>
                </w:p>
              </w:tc>
              <w:tc>
                <w:tcPr>
                  <w:tcW w:w="575" w:type="pct"/>
                  <w:vMerge w:val="continue"/>
                  <w:tcBorders>
                    <w:left w:val="nil"/>
                    <w:right w:val="single" w:color="auto" w:sz="4" w:space="0"/>
                  </w:tcBorders>
                  <w:vAlign w:val="center"/>
                </w:tcPr>
                <w:p w14:paraId="713AF8F2">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21"/>
                      <w:highlight w:val="none"/>
                      <w:lang w:val="en-US" w:eastAsia="zh-CN"/>
                    </w:rPr>
                  </w:pPr>
                </w:p>
              </w:tc>
              <w:tc>
                <w:tcPr>
                  <w:tcW w:w="551" w:type="pct"/>
                  <w:vMerge w:val="continue"/>
                  <w:tcBorders>
                    <w:left w:val="nil"/>
                    <w:right w:val="single" w:color="auto" w:sz="4" w:space="0"/>
                  </w:tcBorders>
                  <w:vAlign w:val="center"/>
                </w:tcPr>
                <w:p w14:paraId="23E9F159">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21"/>
                      <w:highlight w:val="none"/>
                      <w:lang w:val="en-US" w:eastAsia="zh-CN"/>
                    </w:rPr>
                  </w:pPr>
                </w:p>
              </w:tc>
              <w:tc>
                <w:tcPr>
                  <w:tcW w:w="966" w:type="pct"/>
                  <w:vMerge w:val="continue"/>
                  <w:tcBorders>
                    <w:left w:val="nil"/>
                    <w:right w:val="single" w:color="auto" w:sz="4" w:space="0"/>
                  </w:tcBorders>
                  <w:vAlign w:val="center"/>
                </w:tcPr>
                <w:p w14:paraId="166F176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861" w:type="pct"/>
                  <w:vMerge w:val="continue"/>
                  <w:tcBorders>
                    <w:left w:val="nil"/>
                    <w:right w:val="single" w:color="auto" w:sz="4" w:space="0"/>
                  </w:tcBorders>
                  <w:vAlign w:val="center"/>
                </w:tcPr>
                <w:p w14:paraId="596FB2F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eastAsia="zh-CN"/>
                    </w:rPr>
                  </w:pPr>
                </w:p>
              </w:tc>
              <w:tc>
                <w:tcPr>
                  <w:tcW w:w="694" w:type="pct"/>
                  <w:vMerge w:val="continue"/>
                  <w:tcBorders>
                    <w:left w:val="nil"/>
                    <w:right w:val="single" w:color="auto" w:sz="4" w:space="0"/>
                  </w:tcBorders>
                  <w:vAlign w:val="center"/>
                </w:tcPr>
                <w:p w14:paraId="3E9867F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r>
            <w:tr w14:paraId="7A22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restart"/>
                  <w:tcBorders>
                    <w:top w:val="single" w:color="auto" w:sz="4" w:space="0"/>
                    <w:left w:val="single" w:color="auto" w:sz="4" w:space="0"/>
                    <w:right w:val="single" w:color="auto" w:sz="4" w:space="0"/>
                  </w:tcBorders>
                  <w:vAlign w:val="center"/>
                </w:tcPr>
                <w:p w14:paraId="54F8D1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DA00</w:t>
                  </w:r>
                  <w:r>
                    <w:rPr>
                      <w:rFonts w:hint="eastAsia" w:cs="Times New Roman"/>
                      <w:color w:val="auto"/>
                      <w:kern w:val="21"/>
                      <w:highlight w:val="none"/>
                      <w:lang w:val="en-US" w:eastAsia="zh-CN"/>
                    </w:rPr>
                    <w:t>5</w:t>
                  </w:r>
                </w:p>
              </w:tc>
              <w:tc>
                <w:tcPr>
                  <w:tcW w:w="811" w:type="pct"/>
                  <w:tcBorders>
                    <w:top w:val="single" w:color="auto" w:sz="4" w:space="0"/>
                    <w:left w:val="nil"/>
                    <w:bottom w:val="single" w:color="auto" w:sz="4" w:space="0"/>
                    <w:right w:val="single" w:color="auto" w:sz="4" w:space="0"/>
                  </w:tcBorders>
                  <w:vAlign w:val="center"/>
                </w:tcPr>
                <w:p w14:paraId="1DAB0902">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kern w:val="21"/>
                      <w:highlight w:val="none"/>
                      <w:lang w:val="en-US" w:eastAsia="zh-CN"/>
                    </w:rPr>
                  </w:pPr>
                  <w:r>
                    <w:rPr>
                      <w:rFonts w:hint="eastAsia" w:ascii="Times New Roman" w:hAnsi="Times New Roman" w:eastAsia="宋体"/>
                      <w:color w:val="auto"/>
                      <w:kern w:val="21"/>
                      <w:highlight w:val="none"/>
                      <w:lang w:val="en-US" w:eastAsia="zh-CN"/>
                    </w:rPr>
                    <w:t>非甲烷总烃</w:t>
                  </w:r>
                </w:p>
              </w:tc>
              <w:tc>
                <w:tcPr>
                  <w:tcW w:w="575" w:type="pct"/>
                  <w:vMerge w:val="restart"/>
                  <w:tcBorders>
                    <w:top w:val="single" w:color="auto" w:sz="4" w:space="0"/>
                    <w:left w:val="nil"/>
                    <w:right w:val="single" w:color="auto" w:sz="4" w:space="0"/>
                  </w:tcBorders>
                  <w:vAlign w:val="center"/>
                </w:tcPr>
                <w:p w14:paraId="18E38B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cs="Times New Roman"/>
                      <w:color w:val="auto"/>
                      <w:kern w:val="21"/>
                      <w:highlight w:val="none"/>
                      <w:lang w:val="en-US" w:eastAsia="zh-CN"/>
                    </w:rPr>
                    <w:t>15</w:t>
                  </w:r>
                </w:p>
              </w:tc>
              <w:tc>
                <w:tcPr>
                  <w:tcW w:w="551" w:type="pct"/>
                  <w:vMerge w:val="restart"/>
                  <w:tcBorders>
                    <w:top w:val="single" w:color="auto" w:sz="4" w:space="0"/>
                    <w:left w:val="nil"/>
                    <w:right w:val="single" w:color="auto" w:sz="4" w:space="0"/>
                  </w:tcBorders>
                  <w:vAlign w:val="center"/>
                </w:tcPr>
                <w:p w14:paraId="012A94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cs="Times New Roman"/>
                      <w:color w:val="auto"/>
                      <w:kern w:val="21"/>
                      <w:highlight w:val="none"/>
                      <w:lang w:val="en-US" w:eastAsia="zh-CN"/>
                    </w:rPr>
                    <w:t>0.7</w:t>
                  </w:r>
                </w:p>
              </w:tc>
              <w:tc>
                <w:tcPr>
                  <w:tcW w:w="966" w:type="pct"/>
                  <w:vMerge w:val="restart"/>
                  <w:tcBorders>
                    <w:top w:val="single" w:color="auto" w:sz="4" w:space="0"/>
                    <w:left w:val="nil"/>
                    <w:right w:val="single" w:color="auto" w:sz="4" w:space="0"/>
                  </w:tcBorders>
                  <w:vAlign w:val="center"/>
                </w:tcPr>
                <w:p w14:paraId="57781D5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hint="eastAsia" w:ascii="Times New Roman" w:hAnsi="Times New Roman" w:eastAsia="宋体" w:cs="Times New Roman"/>
                      <w:color w:val="auto"/>
                      <w:kern w:val="21"/>
                      <w:highlight w:val="none"/>
                      <w:lang w:val="en-US" w:eastAsia="zh-CN"/>
                    </w:rPr>
                    <w:t>11</w:t>
                  </w:r>
                  <w:r>
                    <w:rPr>
                      <w:rFonts w:hint="eastAsia"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val="en-US" w:eastAsia="zh-CN"/>
                    </w:rPr>
                    <w:t>68.737</w:t>
                  </w:r>
                  <w:r>
                    <w:rPr>
                      <w:rFonts w:ascii="Times New Roman" w:hAnsi="Times New Roman" w:eastAsia="宋体" w:cs="Times New Roman"/>
                      <w:color w:val="auto"/>
                      <w:kern w:val="21"/>
                      <w:highlight w:val="none"/>
                      <w:lang w:eastAsia="zh-CN"/>
                    </w:rPr>
                    <w:t>″</w:t>
                  </w:r>
                </w:p>
              </w:tc>
              <w:tc>
                <w:tcPr>
                  <w:tcW w:w="861" w:type="pct"/>
                  <w:vMerge w:val="restart"/>
                  <w:tcBorders>
                    <w:top w:val="single" w:color="auto" w:sz="4" w:space="0"/>
                    <w:left w:val="nil"/>
                    <w:right w:val="single" w:color="auto" w:sz="4" w:space="0"/>
                  </w:tcBorders>
                  <w:vAlign w:val="center"/>
                </w:tcPr>
                <w:p w14:paraId="4C860D2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hint="eastAsia" w:ascii="Times New Roman" w:hAnsi="Times New Roman" w:eastAsia="宋体" w:cs="Times New Roman"/>
                      <w:color w:val="auto"/>
                      <w:kern w:val="21"/>
                      <w:highlight w:val="none"/>
                      <w:lang w:eastAsia="zh-CN"/>
                    </w:rPr>
                    <w:t>34</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1</w:t>
                  </w:r>
                  <w:r>
                    <w:rPr>
                      <w:rFonts w:hint="eastAsia" w:cs="Times New Roman"/>
                      <w:color w:val="auto"/>
                      <w:kern w:val="21"/>
                      <w:highlight w:val="none"/>
                      <w:lang w:val="en-US" w:eastAsia="zh-CN"/>
                    </w:rPr>
                    <w:t>1</w:t>
                  </w:r>
                  <w:r>
                    <w:rPr>
                      <w:rFonts w:ascii="Times New Roman" w:hAnsi="Times New Roman" w:eastAsia="宋体" w:cs="Times New Roman"/>
                      <w:color w:val="auto"/>
                      <w:kern w:val="21"/>
                      <w:highlight w:val="none"/>
                      <w:lang w:eastAsia="zh-CN"/>
                    </w:rPr>
                    <w:t>′</w:t>
                  </w:r>
                  <w:r>
                    <w:rPr>
                      <w:rFonts w:hint="eastAsia" w:ascii="Times New Roman" w:hAnsi="Times New Roman" w:eastAsia="宋体" w:cs="Times New Roman"/>
                      <w:color w:val="auto"/>
                      <w:kern w:val="21"/>
                      <w:highlight w:val="none"/>
                      <w:lang w:eastAsia="zh-CN"/>
                    </w:rPr>
                    <w:t>6</w:t>
                  </w:r>
                  <w:r>
                    <w:rPr>
                      <w:rFonts w:hint="eastAsia" w:ascii="Times New Roman" w:hAnsi="Times New Roman" w:eastAsia="宋体" w:cs="Times New Roman"/>
                      <w:color w:val="auto"/>
                      <w:kern w:val="21"/>
                      <w:highlight w:val="none"/>
                      <w:lang w:val="en-US" w:eastAsia="zh-CN"/>
                    </w:rPr>
                    <w:t>8.308</w:t>
                  </w:r>
                  <w:r>
                    <w:rPr>
                      <w:rFonts w:ascii="Times New Roman" w:hAnsi="Times New Roman" w:eastAsia="宋体" w:cs="Times New Roman"/>
                      <w:color w:val="auto"/>
                      <w:kern w:val="21"/>
                      <w:highlight w:val="none"/>
                      <w:lang w:eastAsia="zh-CN"/>
                    </w:rPr>
                    <w:t>″</w:t>
                  </w:r>
                </w:p>
              </w:tc>
              <w:tc>
                <w:tcPr>
                  <w:tcW w:w="694" w:type="pct"/>
                  <w:tcBorders>
                    <w:top w:val="single" w:color="auto" w:sz="4" w:space="0"/>
                    <w:left w:val="nil"/>
                    <w:right w:val="single" w:color="auto" w:sz="4" w:space="0"/>
                  </w:tcBorders>
                  <w:vAlign w:val="center"/>
                </w:tcPr>
                <w:p w14:paraId="0A64FA9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1次/年</w:t>
                  </w:r>
                </w:p>
              </w:tc>
            </w:tr>
            <w:tr w14:paraId="5B78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tcBorders>
                    <w:left w:val="single" w:color="auto" w:sz="4" w:space="0"/>
                    <w:right w:val="single" w:color="auto" w:sz="4" w:space="0"/>
                  </w:tcBorders>
                  <w:vAlign w:val="center"/>
                </w:tcPr>
                <w:p w14:paraId="1524FBE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811" w:type="pct"/>
                  <w:tcBorders>
                    <w:top w:val="single" w:color="auto" w:sz="4" w:space="0"/>
                    <w:left w:val="nil"/>
                    <w:bottom w:val="single" w:color="auto" w:sz="4" w:space="0"/>
                    <w:right w:val="single" w:color="auto" w:sz="4" w:space="0"/>
                  </w:tcBorders>
                  <w:vAlign w:val="center"/>
                </w:tcPr>
                <w:p w14:paraId="103CBADE">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olor w:val="auto"/>
                      <w:kern w:val="21"/>
                      <w:highlight w:val="none"/>
                      <w:lang w:val="en-US" w:eastAsia="zh-CN"/>
                    </w:rPr>
                  </w:pPr>
                  <w:r>
                    <w:rPr>
                      <w:rFonts w:hint="eastAsia"/>
                      <w:color w:val="auto"/>
                      <w:kern w:val="21"/>
                      <w:highlight w:val="none"/>
                      <w:lang w:val="en-US" w:eastAsia="zh-CN"/>
                    </w:rPr>
                    <w:t>颗粒物</w:t>
                  </w:r>
                </w:p>
              </w:tc>
              <w:tc>
                <w:tcPr>
                  <w:tcW w:w="575" w:type="pct"/>
                  <w:vMerge w:val="continue"/>
                  <w:tcBorders>
                    <w:left w:val="nil"/>
                    <w:right w:val="single" w:color="auto" w:sz="4" w:space="0"/>
                  </w:tcBorders>
                  <w:vAlign w:val="center"/>
                </w:tcPr>
                <w:p w14:paraId="1E7BDEF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551" w:type="pct"/>
                  <w:vMerge w:val="continue"/>
                  <w:tcBorders>
                    <w:left w:val="nil"/>
                    <w:right w:val="single" w:color="auto" w:sz="4" w:space="0"/>
                  </w:tcBorders>
                  <w:vAlign w:val="center"/>
                </w:tcPr>
                <w:p w14:paraId="67D5679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966" w:type="pct"/>
                  <w:vMerge w:val="continue"/>
                  <w:tcBorders>
                    <w:left w:val="nil"/>
                    <w:right w:val="single" w:color="auto" w:sz="4" w:space="0"/>
                  </w:tcBorders>
                  <w:vAlign w:val="center"/>
                </w:tcPr>
                <w:p w14:paraId="44DD34B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val="en-US" w:eastAsia="zh-CN"/>
                    </w:rPr>
                  </w:pPr>
                </w:p>
              </w:tc>
              <w:tc>
                <w:tcPr>
                  <w:tcW w:w="861" w:type="pct"/>
                  <w:vMerge w:val="continue"/>
                  <w:tcBorders>
                    <w:left w:val="nil"/>
                    <w:right w:val="single" w:color="auto" w:sz="4" w:space="0"/>
                  </w:tcBorders>
                  <w:vAlign w:val="center"/>
                </w:tcPr>
                <w:p w14:paraId="7BA7FE3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1"/>
                      <w:highlight w:val="none"/>
                      <w:lang w:eastAsia="zh-CN"/>
                    </w:rPr>
                  </w:pPr>
                </w:p>
              </w:tc>
              <w:tc>
                <w:tcPr>
                  <w:tcW w:w="694" w:type="pct"/>
                  <w:tcBorders>
                    <w:top w:val="single" w:color="auto" w:sz="4" w:space="0"/>
                    <w:left w:val="nil"/>
                    <w:right w:val="single" w:color="auto" w:sz="4" w:space="0"/>
                  </w:tcBorders>
                  <w:vAlign w:val="center"/>
                </w:tcPr>
                <w:p w14:paraId="301025A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1次/年</w:t>
                  </w:r>
                </w:p>
              </w:tc>
            </w:tr>
            <w:tr w14:paraId="6581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restart"/>
                  <w:tcBorders>
                    <w:left w:val="single" w:color="auto" w:sz="4" w:space="0"/>
                    <w:right w:val="single" w:color="auto" w:sz="4" w:space="0"/>
                  </w:tcBorders>
                  <w:vAlign w:val="center"/>
                </w:tcPr>
                <w:p w14:paraId="724DD03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厂界</w:t>
                  </w:r>
                </w:p>
              </w:tc>
              <w:tc>
                <w:tcPr>
                  <w:tcW w:w="811" w:type="pct"/>
                  <w:tcBorders>
                    <w:top w:val="single" w:color="auto" w:sz="4" w:space="0"/>
                    <w:left w:val="nil"/>
                    <w:bottom w:val="single" w:color="auto" w:sz="4" w:space="0"/>
                    <w:right w:val="single" w:color="auto" w:sz="4" w:space="0"/>
                  </w:tcBorders>
                  <w:vAlign w:val="center"/>
                </w:tcPr>
                <w:p w14:paraId="1B3BAA3C">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olor w:val="auto"/>
                      <w:kern w:val="21"/>
                      <w:highlight w:val="none"/>
                      <w:lang w:eastAsia="zh-CN"/>
                    </w:rPr>
                  </w:pPr>
                  <w:r>
                    <w:rPr>
                      <w:rFonts w:ascii="Times New Roman" w:hAnsi="Times New Roman" w:eastAsia="宋体"/>
                      <w:color w:val="auto"/>
                      <w:kern w:val="21"/>
                      <w:highlight w:val="none"/>
                      <w:lang w:eastAsia="zh-CN"/>
                    </w:rPr>
                    <w:t>非甲烷总烃</w:t>
                  </w:r>
                </w:p>
              </w:tc>
              <w:tc>
                <w:tcPr>
                  <w:tcW w:w="575" w:type="pct"/>
                  <w:tcBorders>
                    <w:left w:val="nil"/>
                    <w:right w:val="single" w:color="auto" w:sz="4" w:space="0"/>
                  </w:tcBorders>
                  <w:vAlign w:val="center"/>
                </w:tcPr>
                <w:p w14:paraId="104DF65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w:t>
                  </w:r>
                </w:p>
              </w:tc>
              <w:tc>
                <w:tcPr>
                  <w:tcW w:w="551" w:type="pct"/>
                  <w:tcBorders>
                    <w:left w:val="nil"/>
                    <w:right w:val="single" w:color="auto" w:sz="4" w:space="0"/>
                  </w:tcBorders>
                  <w:vAlign w:val="center"/>
                </w:tcPr>
                <w:p w14:paraId="493BD25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w:t>
                  </w:r>
                </w:p>
              </w:tc>
              <w:tc>
                <w:tcPr>
                  <w:tcW w:w="966" w:type="pct"/>
                  <w:tcBorders>
                    <w:left w:val="nil"/>
                    <w:right w:val="single" w:color="auto" w:sz="4" w:space="0"/>
                  </w:tcBorders>
                  <w:vAlign w:val="center"/>
                </w:tcPr>
                <w:p w14:paraId="6B0C6D1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w:t>
                  </w:r>
                </w:p>
              </w:tc>
              <w:tc>
                <w:tcPr>
                  <w:tcW w:w="861" w:type="pct"/>
                  <w:tcBorders>
                    <w:left w:val="nil"/>
                    <w:right w:val="single" w:color="auto" w:sz="4" w:space="0"/>
                  </w:tcBorders>
                  <w:vAlign w:val="center"/>
                </w:tcPr>
                <w:p w14:paraId="7FE9120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w:t>
                  </w:r>
                </w:p>
              </w:tc>
              <w:tc>
                <w:tcPr>
                  <w:tcW w:w="694" w:type="pct"/>
                  <w:tcBorders>
                    <w:left w:val="nil"/>
                    <w:right w:val="single" w:color="auto" w:sz="4" w:space="0"/>
                  </w:tcBorders>
                  <w:vAlign w:val="center"/>
                </w:tcPr>
                <w:p w14:paraId="7933CBE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1次/半年</w:t>
                  </w:r>
                </w:p>
              </w:tc>
            </w:tr>
            <w:tr w14:paraId="7685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Merge w:val="continue"/>
                  <w:tcBorders>
                    <w:left w:val="single" w:color="auto" w:sz="4" w:space="0"/>
                    <w:right w:val="single" w:color="auto" w:sz="4" w:space="0"/>
                  </w:tcBorders>
                  <w:vAlign w:val="center"/>
                </w:tcPr>
                <w:p w14:paraId="34F5C70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p>
              </w:tc>
              <w:tc>
                <w:tcPr>
                  <w:tcW w:w="811" w:type="pct"/>
                  <w:tcBorders>
                    <w:top w:val="single" w:color="auto" w:sz="4" w:space="0"/>
                    <w:left w:val="nil"/>
                    <w:bottom w:val="single" w:color="auto" w:sz="4" w:space="0"/>
                    <w:right w:val="single" w:color="auto" w:sz="4" w:space="0"/>
                  </w:tcBorders>
                  <w:vAlign w:val="center"/>
                </w:tcPr>
                <w:p w14:paraId="636D8F20">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olor w:val="auto"/>
                      <w:kern w:val="21"/>
                      <w:highlight w:val="none"/>
                      <w:lang w:eastAsia="zh-CN"/>
                    </w:rPr>
                  </w:pPr>
                  <w:r>
                    <w:rPr>
                      <w:rFonts w:ascii="Times New Roman" w:hAnsi="Times New Roman" w:eastAsia="宋体"/>
                      <w:color w:val="auto"/>
                      <w:kern w:val="21"/>
                      <w:highlight w:val="none"/>
                      <w:lang w:eastAsia="zh-CN"/>
                    </w:rPr>
                    <w:t>颗粒物</w:t>
                  </w:r>
                </w:p>
              </w:tc>
              <w:tc>
                <w:tcPr>
                  <w:tcW w:w="575" w:type="pct"/>
                  <w:tcBorders>
                    <w:left w:val="nil"/>
                    <w:right w:val="single" w:color="auto" w:sz="4" w:space="0"/>
                  </w:tcBorders>
                  <w:vAlign w:val="center"/>
                </w:tcPr>
                <w:p w14:paraId="5132574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w:t>
                  </w:r>
                </w:p>
              </w:tc>
              <w:tc>
                <w:tcPr>
                  <w:tcW w:w="551" w:type="pct"/>
                  <w:tcBorders>
                    <w:left w:val="nil"/>
                    <w:right w:val="single" w:color="auto" w:sz="4" w:space="0"/>
                  </w:tcBorders>
                  <w:vAlign w:val="center"/>
                </w:tcPr>
                <w:p w14:paraId="5C7D0CE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w:t>
                  </w:r>
                </w:p>
              </w:tc>
              <w:tc>
                <w:tcPr>
                  <w:tcW w:w="966" w:type="pct"/>
                  <w:tcBorders>
                    <w:left w:val="nil"/>
                    <w:right w:val="single" w:color="auto" w:sz="4" w:space="0"/>
                  </w:tcBorders>
                  <w:vAlign w:val="center"/>
                </w:tcPr>
                <w:p w14:paraId="2697FCE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w:t>
                  </w:r>
                </w:p>
              </w:tc>
              <w:tc>
                <w:tcPr>
                  <w:tcW w:w="861" w:type="pct"/>
                  <w:tcBorders>
                    <w:left w:val="nil"/>
                    <w:right w:val="single" w:color="auto" w:sz="4" w:space="0"/>
                  </w:tcBorders>
                  <w:vAlign w:val="center"/>
                </w:tcPr>
                <w:p w14:paraId="51ECFCB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w:t>
                  </w:r>
                </w:p>
              </w:tc>
              <w:tc>
                <w:tcPr>
                  <w:tcW w:w="694" w:type="pct"/>
                  <w:tcBorders>
                    <w:left w:val="nil"/>
                    <w:right w:val="single" w:color="auto" w:sz="4" w:space="0"/>
                  </w:tcBorders>
                  <w:vAlign w:val="center"/>
                </w:tcPr>
                <w:p w14:paraId="7AAC1DE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kern w:val="21"/>
                      <w:highlight w:val="none"/>
                      <w:lang w:eastAsia="zh-CN"/>
                    </w:rPr>
                  </w:pPr>
                  <w:r>
                    <w:rPr>
                      <w:rFonts w:ascii="Times New Roman" w:hAnsi="Times New Roman" w:eastAsia="宋体" w:cs="Times New Roman"/>
                      <w:color w:val="auto"/>
                      <w:kern w:val="21"/>
                      <w:highlight w:val="none"/>
                      <w:lang w:eastAsia="zh-CN"/>
                    </w:rPr>
                    <w:t>1次/半年</w:t>
                  </w:r>
                </w:p>
              </w:tc>
            </w:tr>
            <w:tr w14:paraId="7B4AE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tcBorders>
                    <w:left w:val="single" w:color="auto" w:sz="4" w:space="0"/>
                    <w:right w:val="single" w:color="auto" w:sz="4" w:space="0"/>
                  </w:tcBorders>
                  <w:vAlign w:val="center"/>
                </w:tcPr>
                <w:p w14:paraId="75729B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涂装工段旁</w:t>
                  </w:r>
                </w:p>
              </w:tc>
              <w:tc>
                <w:tcPr>
                  <w:tcW w:w="811" w:type="pct"/>
                  <w:tcBorders>
                    <w:top w:val="single" w:color="auto" w:sz="4" w:space="0"/>
                    <w:left w:val="nil"/>
                    <w:bottom w:val="single" w:color="auto" w:sz="4" w:space="0"/>
                    <w:right w:val="single" w:color="auto" w:sz="4" w:space="0"/>
                  </w:tcBorders>
                  <w:vAlign w:val="center"/>
                </w:tcPr>
                <w:p w14:paraId="380F05F9">
                  <w:pPr>
                    <w:pStyle w:val="41"/>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olor w:val="auto"/>
                      <w:kern w:val="21"/>
                      <w:highlight w:val="none"/>
                      <w:lang w:eastAsia="zh-CN"/>
                    </w:rPr>
                  </w:pPr>
                  <w:r>
                    <w:rPr>
                      <w:rFonts w:ascii="Times New Roman" w:hAnsi="Times New Roman" w:eastAsia="宋体"/>
                      <w:color w:val="auto"/>
                      <w:kern w:val="21"/>
                      <w:highlight w:val="none"/>
                      <w:lang w:eastAsia="zh-CN"/>
                    </w:rPr>
                    <w:t>非甲烷总烃</w:t>
                  </w:r>
                </w:p>
              </w:tc>
              <w:tc>
                <w:tcPr>
                  <w:tcW w:w="575" w:type="pct"/>
                  <w:tcBorders>
                    <w:left w:val="nil"/>
                    <w:right w:val="single" w:color="auto" w:sz="4" w:space="0"/>
                  </w:tcBorders>
                  <w:vAlign w:val="center"/>
                </w:tcPr>
                <w:p w14:paraId="483FC8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w:t>
                  </w:r>
                </w:p>
              </w:tc>
              <w:tc>
                <w:tcPr>
                  <w:tcW w:w="551" w:type="pct"/>
                  <w:tcBorders>
                    <w:left w:val="nil"/>
                    <w:right w:val="single" w:color="auto" w:sz="4" w:space="0"/>
                  </w:tcBorders>
                  <w:vAlign w:val="center"/>
                </w:tcPr>
                <w:p w14:paraId="6FFF14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w:t>
                  </w:r>
                </w:p>
              </w:tc>
              <w:tc>
                <w:tcPr>
                  <w:tcW w:w="966" w:type="pct"/>
                  <w:tcBorders>
                    <w:left w:val="nil"/>
                    <w:right w:val="single" w:color="auto" w:sz="4" w:space="0"/>
                  </w:tcBorders>
                  <w:vAlign w:val="center"/>
                </w:tcPr>
                <w:p w14:paraId="07D3B4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w:t>
                  </w:r>
                </w:p>
              </w:tc>
              <w:tc>
                <w:tcPr>
                  <w:tcW w:w="861" w:type="pct"/>
                  <w:tcBorders>
                    <w:left w:val="nil"/>
                    <w:right w:val="single" w:color="auto" w:sz="4" w:space="0"/>
                  </w:tcBorders>
                  <w:vAlign w:val="center"/>
                </w:tcPr>
                <w:p w14:paraId="271B7B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w:t>
                  </w:r>
                </w:p>
              </w:tc>
              <w:tc>
                <w:tcPr>
                  <w:tcW w:w="694" w:type="pct"/>
                  <w:tcBorders>
                    <w:left w:val="nil"/>
                    <w:right w:val="single" w:color="auto" w:sz="4" w:space="0"/>
                  </w:tcBorders>
                  <w:vAlign w:val="center"/>
                </w:tcPr>
                <w:p w14:paraId="15CCE5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1"/>
                      <w:highlight w:val="none"/>
                      <w:lang w:val="en-US" w:eastAsia="zh-CN"/>
                    </w:rPr>
                  </w:pPr>
                  <w:r>
                    <w:rPr>
                      <w:rFonts w:ascii="Times New Roman" w:hAnsi="Times New Roman" w:eastAsia="宋体" w:cs="Times New Roman"/>
                      <w:color w:val="auto"/>
                      <w:kern w:val="21"/>
                      <w:highlight w:val="none"/>
                      <w:lang w:eastAsia="zh-CN"/>
                    </w:rPr>
                    <w:t>1次</w:t>
                  </w:r>
                  <w:r>
                    <w:rPr>
                      <w:rFonts w:hint="eastAsia" w:ascii="Times New Roman" w:hAnsi="Times New Roman" w:eastAsia="宋体" w:cs="Times New Roman"/>
                      <w:color w:val="auto"/>
                      <w:kern w:val="21"/>
                      <w:highlight w:val="none"/>
                      <w:lang w:val="en-US" w:eastAsia="zh-CN"/>
                    </w:rPr>
                    <w:t>/季度</w:t>
                  </w:r>
                </w:p>
              </w:tc>
            </w:tr>
          </w:tbl>
          <w:p w14:paraId="57622F9C">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highlight w:val="none"/>
                <w:lang w:eastAsia="zh-CN"/>
              </w:rPr>
              <w:t>3、废气处理措施及可行性分析</w:t>
            </w:r>
          </w:p>
          <w:p w14:paraId="0CABDE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宋体" w:eastAsia="宋体" w:cs="宋体"/>
                <w:b w:val="0"/>
                <w:color w:val="auto"/>
                <w:kern w:val="2"/>
                <w:sz w:val="24"/>
                <w:szCs w:val="24"/>
                <w:highlight w:val="none"/>
                <w:lang w:val="en-US" w:eastAsia="zh-CN" w:bidi="ar-SA"/>
              </w:rPr>
            </w:pPr>
            <w:r>
              <w:rPr>
                <w:rFonts w:hint="default" w:ascii="Times New Roman" w:hAnsi="Times New Roman" w:cs="Times New Roman"/>
                <w:b w:val="0"/>
                <w:bCs w:val="0"/>
                <w:color w:val="auto"/>
                <w:sz w:val="24"/>
                <w:highlight w:val="none"/>
              </w:rPr>
              <w:t>（</w:t>
            </w:r>
            <w:r>
              <w:rPr>
                <w:rFonts w:hint="default" w:ascii="Times New Roman" w:hAnsi="Times New Roman" w:cs="Times New Roman"/>
                <w:b w:val="0"/>
                <w:bCs w:val="0"/>
                <w:color w:val="auto"/>
                <w:sz w:val="24"/>
                <w:highlight w:val="none"/>
                <w:lang w:val="en-US" w:eastAsia="zh-CN"/>
              </w:rPr>
              <w:t>1</w:t>
            </w:r>
            <w:r>
              <w:rPr>
                <w:rFonts w:hint="default" w:ascii="Times New Roman" w:hAnsi="Times New Roman" w:cs="Times New Roman"/>
                <w:b w:val="0"/>
                <w:bCs w:val="0"/>
                <w:color w:val="auto"/>
                <w:sz w:val="24"/>
                <w:highlight w:val="none"/>
              </w:rPr>
              <w:t>）治理设施可行性分析</w:t>
            </w:r>
          </w:p>
          <w:p w14:paraId="0A3AA38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105" w:leftChars="50" w:right="105" w:rightChars="50" w:firstLine="480" w:firstLineChars="200"/>
              <w:textAlignment w:val="auto"/>
              <w:rPr>
                <w:rFonts w:hint="default" w:ascii="Times New Roman" w:hAnsi="宋体" w:eastAsia="宋体" w:cs="宋体"/>
                <w:b w:val="0"/>
                <w:color w:val="auto"/>
                <w:kern w:val="2"/>
                <w:sz w:val="24"/>
                <w:szCs w:val="24"/>
                <w:highlight w:val="none"/>
                <w:lang w:val="en-US" w:eastAsia="zh-CN" w:bidi="ar-SA"/>
              </w:rPr>
            </w:pPr>
            <w:r>
              <w:rPr>
                <w:rFonts w:hint="default" w:ascii="Times New Roman" w:hAnsi="宋体" w:eastAsia="宋体" w:cs="宋体"/>
                <w:b w:val="0"/>
                <w:color w:val="auto"/>
                <w:kern w:val="2"/>
                <w:sz w:val="24"/>
                <w:szCs w:val="24"/>
                <w:highlight w:val="none"/>
                <w:lang w:val="en-US" w:eastAsia="zh-CN" w:bidi="ar-SA"/>
              </w:rPr>
              <w:t>项目根据《固定污染源排污许可分类管理名录（2019年版）》，本项目排污许可属于登记管理，且无相应排污许可技术规范，项目末端治理技术参照</w:t>
            </w:r>
            <w:r>
              <w:rPr>
                <w:rFonts w:hint="default" w:ascii="Times New Roman" w:hAnsi="宋体" w:eastAsia="宋体" w:cs="宋体"/>
                <w:b w:val="0"/>
                <w:color w:val="auto"/>
                <w:kern w:val="2"/>
                <w:sz w:val="24"/>
                <w:szCs w:val="24"/>
                <w:highlight w:val="none"/>
                <w:lang w:val="zh-CN" w:eastAsia="zh-CN" w:bidi="ar-SA"/>
              </w:rPr>
              <w:t>《</w:t>
            </w:r>
            <w:r>
              <w:rPr>
                <w:rFonts w:hint="default" w:ascii="Times New Roman" w:hAnsi="宋体" w:eastAsia="宋体" w:cs="宋体"/>
                <w:b w:val="0"/>
                <w:color w:val="auto"/>
                <w:kern w:val="2"/>
                <w:sz w:val="24"/>
                <w:szCs w:val="24"/>
                <w:highlight w:val="none"/>
                <w:lang w:val="en-US" w:eastAsia="zh-CN" w:bidi="ar-SA"/>
              </w:rPr>
              <w:t>排污许可证申请与核发技术规范 铁路、船舶、航空航天和其他运输设备制造业》（HJ1124-2020）</w:t>
            </w:r>
            <w:r>
              <w:rPr>
                <w:rFonts w:hint="eastAsia" w:ascii="Times New Roman" w:hAnsi="宋体" w:eastAsia="宋体" w:cs="宋体"/>
                <w:b w:val="0"/>
                <w:color w:val="auto"/>
                <w:kern w:val="2"/>
                <w:sz w:val="24"/>
                <w:szCs w:val="24"/>
                <w:highlight w:val="none"/>
                <w:lang w:val="en-US" w:eastAsia="zh-CN" w:bidi="ar-SA"/>
              </w:rPr>
              <w:t>，（</w:t>
            </w:r>
            <w:r>
              <w:rPr>
                <w:rFonts w:hint="default" w:ascii="Times New Roman" w:hAnsi="宋体" w:eastAsia="宋体" w:cs="宋体"/>
                <w:b w:val="0"/>
                <w:color w:val="auto"/>
                <w:kern w:val="2"/>
                <w:sz w:val="24"/>
                <w:szCs w:val="24"/>
                <w:highlight w:val="none"/>
                <w:lang w:val="zh-CN" w:eastAsia="zh-CN" w:bidi="ar-SA"/>
              </w:rPr>
              <w:t>其中下料、焊接</w:t>
            </w:r>
            <w:r>
              <w:rPr>
                <w:rFonts w:hint="eastAsia" w:ascii="Times New Roman" w:hAnsi="宋体" w:eastAsia="宋体" w:cs="宋体"/>
                <w:b w:val="0"/>
                <w:color w:val="auto"/>
                <w:kern w:val="2"/>
                <w:sz w:val="24"/>
                <w:szCs w:val="24"/>
                <w:highlight w:val="none"/>
                <w:lang w:val="zh-CN" w:eastAsia="zh-CN" w:bidi="ar-SA"/>
              </w:rPr>
              <w:t>、</w:t>
            </w:r>
            <w:r>
              <w:rPr>
                <w:rFonts w:hint="eastAsia" w:ascii="Times New Roman" w:hAnsi="宋体" w:eastAsia="宋体" w:cs="宋体"/>
                <w:b w:val="0"/>
                <w:color w:val="auto"/>
                <w:kern w:val="2"/>
                <w:sz w:val="24"/>
                <w:szCs w:val="24"/>
                <w:highlight w:val="none"/>
                <w:lang w:val="en-US" w:eastAsia="zh-CN" w:bidi="ar-SA"/>
              </w:rPr>
              <w:t>打磨/抛光、抛丸</w:t>
            </w:r>
            <w:r>
              <w:rPr>
                <w:rFonts w:hint="default" w:ascii="Times New Roman" w:hAnsi="宋体" w:eastAsia="宋体" w:cs="宋体"/>
                <w:b w:val="0"/>
                <w:color w:val="auto"/>
                <w:kern w:val="2"/>
                <w:sz w:val="24"/>
                <w:szCs w:val="24"/>
                <w:highlight w:val="none"/>
                <w:lang w:val="zh-CN" w:eastAsia="zh-CN" w:bidi="ar-SA"/>
              </w:rPr>
              <w:t>工序的末端治理技术名称为“</w:t>
            </w:r>
            <w:r>
              <w:rPr>
                <w:rFonts w:hint="eastAsia" w:ascii="Times New Roman" w:hAnsi="宋体" w:eastAsia="宋体" w:cs="宋体"/>
                <w:b w:val="0"/>
                <w:color w:val="auto"/>
                <w:kern w:val="2"/>
                <w:sz w:val="24"/>
                <w:szCs w:val="24"/>
                <w:highlight w:val="none"/>
                <w:lang w:val="en-US" w:eastAsia="zh-CN" w:bidi="ar-SA"/>
              </w:rPr>
              <w:t>脉冲除尘器、布袋</w:t>
            </w:r>
            <w:r>
              <w:rPr>
                <w:rFonts w:hint="default" w:ascii="Times New Roman" w:hAnsi="宋体" w:eastAsia="宋体" w:cs="宋体"/>
                <w:b w:val="0"/>
                <w:color w:val="auto"/>
                <w:kern w:val="2"/>
                <w:sz w:val="24"/>
                <w:szCs w:val="24"/>
                <w:highlight w:val="none"/>
                <w:lang w:val="zh-CN" w:eastAsia="zh-CN" w:bidi="ar-SA"/>
              </w:rPr>
              <w:t>除尘器”</w:t>
            </w:r>
            <w:r>
              <w:rPr>
                <w:rFonts w:hint="eastAsia" w:ascii="Times New Roman" w:hAnsi="宋体" w:eastAsia="宋体" w:cs="宋体"/>
                <w:b w:val="0"/>
                <w:color w:val="auto"/>
                <w:kern w:val="2"/>
                <w:sz w:val="24"/>
                <w:szCs w:val="24"/>
                <w:highlight w:val="none"/>
                <w:lang w:val="zh-CN" w:eastAsia="zh-CN" w:bidi="ar-SA"/>
              </w:rPr>
              <w:t>，</w:t>
            </w:r>
            <w:r>
              <w:rPr>
                <w:rFonts w:hint="default" w:ascii="Times New Roman" w:hAnsi="宋体" w:eastAsia="宋体" w:cs="宋体"/>
                <w:b w:val="0"/>
                <w:color w:val="auto"/>
                <w:kern w:val="2"/>
                <w:sz w:val="24"/>
                <w:szCs w:val="24"/>
                <w:highlight w:val="none"/>
                <w:lang w:val="en-US" w:eastAsia="zh-CN" w:bidi="ar-SA"/>
              </w:rPr>
              <w:t>为可行性技术</w:t>
            </w:r>
            <w:r>
              <w:rPr>
                <w:rFonts w:hint="default" w:ascii="Times New Roman" w:hAnsi="宋体" w:eastAsia="宋体" w:cs="宋体"/>
                <w:b w:val="0"/>
                <w:color w:val="auto"/>
                <w:kern w:val="2"/>
                <w:sz w:val="24"/>
                <w:szCs w:val="24"/>
                <w:highlight w:val="none"/>
                <w:lang w:val="zh-CN" w:eastAsia="zh-CN" w:bidi="ar-SA"/>
              </w:rPr>
              <w:t>；</w:t>
            </w:r>
            <w:r>
              <w:rPr>
                <w:rFonts w:hint="eastAsia" w:ascii="Times New Roman" w:hAnsi="宋体" w:eastAsia="宋体" w:cs="宋体"/>
                <w:b w:val="0"/>
                <w:color w:val="auto"/>
                <w:kern w:val="2"/>
                <w:sz w:val="24"/>
                <w:szCs w:val="24"/>
                <w:highlight w:val="none"/>
                <w:lang w:val="en-US" w:eastAsia="zh-CN" w:bidi="ar-SA"/>
              </w:rPr>
              <w:t>喷塑的末端治理技术名称为“除尘设施、袋式除尘器”可行性技术，喷塑后烘干末端治理为“有机废气治理措施，活性炭”为可行性技术，喷漆/烘干</w:t>
            </w:r>
            <w:r>
              <w:rPr>
                <w:rFonts w:hint="default" w:ascii="Times New Roman" w:hAnsi="宋体" w:eastAsia="宋体" w:cs="宋体"/>
                <w:b w:val="0"/>
                <w:color w:val="auto"/>
                <w:kern w:val="2"/>
                <w:sz w:val="24"/>
                <w:szCs w:val="24"/>
                <w:highlight w:val="none"/>
                <w:lang w:val="zh-CN" w:eastAsia="zh-CN" w:bidi="ar-SA"/>
              </w:rPr>
              <w:t>挥发性有机物的末端治理技术名称为</w:t>
            </w:r>
            <w:r>
              <w:rPr>
                <w:rFonts w:hint="eastAsia" w:ascii="Times New Roman" w:hAnsi="宋体" w:eastAsia="宋体" w:cs="宋体"/>
                <w:b w:val="0"/>
                <w:color w:val="auto"/>
                <w:kern w:val="2"/>
                <w:sz w:val="24"/>
                <w:szCs w:val="24"/>
                <w:highlight w:val="none"/>
                <w:lang w:val="en-US" w:eastAsia="zh-CN" w:bidi="ar-SA"/>
              </w:rPr>
              <w:t>“有机废气治理措施，活性炭”为</w:t>
            </w:r>
            <w:r>
              <w:rPr>
                <w:rFonts w:hint="default" w:ascii="Times New Roman" w:hAnsi="宋体" w:eastAsia="宋体" w:cs="宋体"/>
                <w:b w:val="0"/>
                <w:color w:val="auto"/>
                <w:kern w:val="2"/>
                <w:sz w:val="24"/>
                <w:szCs w:val="24"/>
                <w:highlight w:val="none"/>
                <w:lang w:val="en-US" w:eastAsia="zh-CN" w:bidi="ar-SA"/>
              </w:rPr>
              <w:t>可行性技术</w:t>
            </w:r>
            <w:r>
              <w:rPr>
                <w:rFonts w:hint="default" w:ascii="Times New Roman" w:hAnsi="宋体" w:eastAsia="宋体" w:cs="宋体"/>
                <w:b w:val="0"/>
                <w:color w:val="auto"/>
                <w:kern w:val="2"/>
                <w:sz w:val="24"/>
                <w:szCs w:val="24"/>
                <w:highlight w:val="none"/>
                <w:lang w:val="zh-CN" w:eastAsia="zh-CN" w:bidi="ar-SA"/>
              </w:rPr>
              <w:t>。</w:t>
            </w:r>
          </w:p>
          <w:p w14:paraId="48F247A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表4-4 废气处理及可行性分析一览表</w:t>
            </w:r>
          </w:p>
          <w:tbl>
            <w:tblPr>
              <w:tblStyle w:val="26"/>
              <w:tblW w:w="49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902"/>
              <w:gridCol w:w="1268"/>
              <w:gridCol w:w="1347"/>
              <w:gridCol w:w="1788"/>
              <w:gridCol w:w="1306"/>
              <w:gridCol w:w="1201"/>
            </w:tblGrid>
            <w:tr w14:paraId="1268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Align w:val="center"/>
                </w:tcPr>
                <w:p w14:paraId="54648A6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val="0"/>
                      <w:bCs w:val="0"/>
                      <w:color w:val="auto"/>
                      <w:sz w:val="21"/>
                      <w:szCs w:val="18"/>
                      <w:highlight w:val="none"/>
                      <w:vertAlign w:val="baseline"/>
                      <w:lang w:eastAsia="zh-CN"/>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生产单元</w:t>
                  </w:r>
                </w:p>
              </w:tc>
              <w:tc>
                <w:tcPr>
                  <w:tcW w:w="499" w:type="pct"/>
                  <w:vAlign w:val="center"/>
                </w:tcPr>
                <w:p w14:paraId="484F039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产污环节</w:t>
                  </w:r>
                </w:p>
              </w:tc>
              <w:tc>
                <w:tcPr>
                  <w:tcW w:w="701" w:type="pct"/>
                  <w:vAlign w:val="center"/>
                </w:tcPr>
                <w:p w14:paraId="330085B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生产设施</w:t>
                  </w:r>
                </w:p>
              </w:tc>
              <w:tc>
                <w:tcPr>
                  <w:tcW w:w="745" w:type="pct"/>
                  <w:vAlign w:val="center"/>
                </w:tcPr>
                <w:p w14:paraId="1F0F97F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污染物项目</w:t>
                  </w:r>
                </w:p>
              </w:tc>
              <w:tc>
                <w:tcPr>
                  <w:tcW w:w="989" w:type="pct"/>
                  <w:vAlign w:val="center"/>
                </w:tcPr>
                <w:p w14:paraId="515D3D1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防治污染设施</w:t>
                  </w:r>
                </w:p>
              </w:tc>
              <w:tc>
                <w:tcPr>
                  <w:tcW w:w="722" w:type="pct"/>
                  <w:vAlign w:val="center"/>
                </w:tcPr>
                <w:p w14:paraId="31EF80B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拟建项目采取的措施</w:t>
                  </w:r>
                </w:p>
              </w:tc>
              <w:tc>
                <w:tcPr>
                  <w:tcW w:w="664" w:type="pct"/>
                  <w:vAlign w:val="center"/>
                </w:tcPr>
                <w:p w14:paraId="1772F41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是否为可行性分析</w:t>
                  </w:r>
                </w:p>
              </w:tc>
            </w:tr>
            <w:tr w14:paraId="7018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Align w:val="center"/>
                </w:tcPr>
                <w:p w14:paraId="5566524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下料</w:t>
                  </w:r>
                </w:p>
              </w:tc>
              <w:tc>
                <w:tcPr>
                  <w:tcW w:w="499" w:type="pct"/>
                  <w:vAlign w:val="center"/>
                </w:tcPr>
                <w:p w14:paraId="31123B0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切割</w:t>
                  </w:r>
                </w:p>
              </w:tc>
              <w:tc>
                <w:tcPr>
                  <w:tcW w:w="701" w:type="pct"/>
                  <w:vAlign w:val="center"/>
                </w:tcPr>
                <w:p w14:paraId="167D8D4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激光切割机</w:t>
                  </w:r>
                </w:p>
              </w:tc>
              <w:tc>
                <w:tcPr>
                  <w:tcW w:w="745" w:type="pct"/>
                  <w:vAlign w:val="center"/>
                </w:tcPr>
                <w:p w14:paraId="4472BE4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颗粒物</w:t>
                  </w:r>
                </w:p>
              </w:tc>
              <w:tc>
                <w:tcPr>
                  <w:tcW w:w="989" w:type="pct"/>
                  <w:vAlign w:val="center"/>
                </w:tcPr>
                <w:p w14:paraId="44C6D21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0" w:right="0" w:firstLine="0"/>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除尘设施，袋式除尘、静电除尘</w:t>
                  </w:r>
                </w:p>
              </w:tc>
              <w:tc>
                <w:tcPr>
                  <w:tcW w:w="722" w:type="pct"/>
                  <w:vAlign w:val="center"/>
                </w:tcPr>
                <w:p w14:paraId="1FC91757">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布袋除尘器</w:t>
                  </w:r>
                </w:p>
              </w:tc>
              <w:tc>
                <w:tcPr>
                  <w:tcW w:w="664" w:type="pct"/>
                  <w:vAlign w:val="center"/>
                </w:tcPr>
                <w:p w14:paraId="667A004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是</w:t>
                  </w:r>
                </w:p>
              </w:tc>
            </w:tr>
            <w:tr w14:paraId="7290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Align w:val="center"/>
                </w:tcPr>
                <w:p w14:paraId="5D39C27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焊接</w:t>
                  </w:r>
                </w:p>
              </w:tc>
              <w:tc>
                <w:tcPr>
                  <w:tcW w:w="499" w:type="pct"/>
                  <w:vAlign w:val="center"/>
                </w:tcPr>
                <w:p w14:paraId="1C4978D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焊接</w:t>
                  </w:r>
                </w:p>
              </w:tc>
              <w:tc>
                <w:tcPr>
                  <w:tcW w:w="701" w:type="pct"/>
                  <w:vAlign w:val="center"/>
                </w:tcPr>
                <w:p w14:paraId="5A0D403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焊接机</w:t>
                  </w:r>
                </w:p>
              </w:tc>
              <w:tc>
                <w:tcPr>
                  <w:tcW w:w="745" w:type="pct"/>
                  <w:vAlign w:val="center"/>
                </w:tcPr>
                <w:p w14:paraId="65ED93B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颗粒物</w:t>
                  </w:r>
                </w:p>
              </w:tc>
              <w:tc>
                <w:tcPr>
                  <w:tcW w:w="989" w:type="pct"/>
                  <w:vAlign w:val="center"/>
                </w:tcPr>
                <w:p w14:paraId="185ED62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0" w:right="0" w:firstLine="0"/>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烟尘净化装置，袋式除尘</w:t>
                  </w:r>
                </w:p>
              </w:tc>
              <w:tc>
                <w:tcPr>
                  <w:tcW w:w="722" w:type="pct"/>
                  <w:vAlign w:val="center"/>
                </w:tcPr>
                <w:p w14:paraId="0A64F88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布袋除尘器</w:t>
                  </w:r>
                </w:p>
              </w:tc>
              <w:tc>
                <w:tcPr>
                  <w:tcW w:w="664" w:type="pct"/>
                  <w:vAlign w:val="center"/>
                </w:tcPr>
                <w:p w14:paraId="65EFF7E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是</w:t>
                  </w:r>
                </w:p>
              </w:tc>
            </w:tr>
            <w:tr w14:paraId="6E9E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Align w:val="center"/>
                </w:tcPr>
                <w:p w14:paraId="139E31E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打磨/抛光</w:t>
                  </w:r>
                </w:p>
              </w:tc>
              <w:tc>
                <w:tcPr>
                  <w:tcW w:w="499" w:type="pct"/>
                  <w:vAlign w:val="center"/>
                </w:tcPr>
                <w:p w14:paraId="05E5075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打磨</w:t>
                  </w:r>
                </w:p>
              </w:tc>
              <w:tc>
                <w:tcPr>
                  <w:tcW w:w="701" w:type="pct"/>
                  <w:vAlign w:val="center"/>
                </w:tcPr>
                <w:p w14:paraId="0505D2F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打磨机</w:t>
                  </w:r>
                </w:p>
              </w:tc>
              <w:tc>
                <w:tcPr>
                  <w:tcW w:w="745" w:type="pct"/>
                  <w:vAlign w:val="center"/>
                </w:tcPr>
                <w:p w14:paraId="3742653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颗粒物</w:t>
                  </w:r>
                </w:p>
              </w:tc>
              <w:tc>
                <w:tcPr>
                  <w:tcW w:w="989" w:type="pct"/>
                  <w:vAlign w:val="center"/>
                </w:tcPr>
                <w:p w14:paraId="00249F3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除尘设施，袋式除尘、静电除尘</w:t>
                  </w:r>
                </w:p>
              </w:tc>
              <w:tc>
                <w:tcPr>
                  <w:tcW w:w="722" w:type="pct"/>
                  <w:vAlign w:val="center"/>
                </w:tcPr>
                <w:p w14:paraId="2C25065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布袋除尘器</w:t>
                  </w:r>
                </w:p>
              </w:tc>
              <w:tc>
                <w:tcPr>
                  <w:tcW w:w="664" w:type="pct"/>
                  <w:vAlign w:val="center"/>
                </w:tcPr>
                <w:p w14:paraId="0C731D0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是</w:t>
                  </w:r>
                </w:p>
              </w:tc>
            </w:tr>
            <w:tr w14:paraId="725F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Align w:val="center"/>
                </w:tcPr>
                <w:p w14:paraId="57E5CA0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抛丸</w:t>
                  </w:r>
                </w:p>
              </w:tc>
              <w:tc>
                <w:tcPr>
                  <w:tcW w:w="499" w:type="pct"/>
                  <w:vAlign w:val="center"/>
                </w:tcPr>
                <w:p w14:paraId="335E86D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抛丸</w:t>
                  </w:r>
                </w:p>
              </w:tc>
              <w:tc>
                <w:tcPr>
                  <w:tcW w:w="701" w:type="pct"/>
                  <w:vAlign w:val="center"/>
                </w:tcPr>
                <w:p w14:paraId="77069C17">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抛丸机</w:t>
                  </w:r>
                </w:p>
              </w:tc>
              <w:tc>
                <w:tcPr>
                  <w:tcW w:w="745" w:type="pct"/>
                  <w:vAlign w:val="center"/>
                </w:tcPr>
                <w:p w14:paraId="49DD6EF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颗粒物</w:t>
                  </w:r>
                </w:p>
              </w:tc>
              <w:tc>
                <w:tcPr>
                  <w:tcW w:w="989" w:type="pct"/>
                  <w:vAlign w:val="center"/>
                </w:tcPr>
                <w:p w14:paraId="1745707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除尘设施、脉冲布袋除尘器</w:t>
                  </w:r>
                </w:p>
              </w:tc>
              <w:tc>
                <w:tcPr>
                  <w:tcW w:w="722" w:type="pct"/>
                  <w:vAlign w:val="center"/>
                </w:tcPr>
                <w:p w14:paraId="098967D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布袋除尘器</w:t>
                  </w:r>
                </w:p>
              </w:tc>
              <w:tc>
                <w:tcPr>
                  <w:tcW w:w="664" w:type="pct"/>
                  <w:vAlign w:val="center"/>
                </w:tcPr>
                <w:p w14:paraId="6552FE3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是</w:t>
                  </w:r>
                </w:p>
              </w:tc>
            </w:tr>
            <w:tr w14:paraId="0BEC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restart"/>
                  <w:vAlign w:val="center"/>
                </w:tcPr>
                <w:p w14:paraId="4FAD4E4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r>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t>涂装</w:t>
                  </w:r>
                </w:p>
              </w:tc>
              <w:tc>
                <w:tcPr>
                  <w:tcW w:w="499" w:type="pct"/>
                  <w:vAlign w:val="center"/>
                </w:tcPr>
                <w:p w14:paraId="34A90B5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喷塑</w:t>
                  </w:r>
                </w:p>
              </w:tc>
              <w:tc>
                <w:tcPr>
                  <w:tcW w:w="701" w:type="pct"/>
                  <w:vAlign w:val="center"/>
                </w:tcPr>
                <w:p w14:paraId="719A8CB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喷塑房</w:t>
                  </w:r>
                </w:p>
              </w:tc>
              <w:tc>
                <w:tcPr>
                  <w:tcW w:w="745" w:type="pct"/>
                  <w:vAlign w:val="center"/>
                </w:tcPr>
                <w:p w14:paraId="46C7BC0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颗粒物</w:t>
                  </w:r>
                </w:p>
              </w:tc>
              <w:tc>
                <w:tcPr>
                  <w:tcW w:w="989" w:type="pct"/>
                  <w:vAlign w:val="center"/>
                </w:tcPr>
                <w:p w14:paraId="7E8F15A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除尘设施、袋式除尘器</w:t>
                  </w:r>
                </w:p>
              </w:tc>
              <w:tc>
                <w:tcPr>
                  <w:tcW w:w="722" w:type="pct"/>
                  <w:vAlign w:val="center"/>
                </w:tcPr>
                <w:p w14:paraId="34A9E9B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滤芯除尘装置+布袋除尘器</w:t>
                  </w:r>
                </w:p>
              </w:tc>
              <w:tc>
                <w:tcPr>
                  <w:tcW w:w="664" w:type="pct"/>
                  <w:vAlign w:val="center"/>
                </w:tcPr>
                <w:p w14:paraId="28CEC4A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是</w:t>
                  </w:r>
                </w:p>
              </w:tc>
            </w:tr>
            <w:tr w14:paraId="7D5A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68A259D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p>
              </w:tc>
              <w:tc>
                <w:tcPr>
                  <w:tcW w:w="499" w:type="pct"/>
                  <w:vAlign w:val="center"/>
                </w:tcPr>
                <w:p w14:paraId="536CAF5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固化/烘干</w:t>
                  </w:r>
                </w:p>
              </w:tc>
              <w:tc>
                <w:tcPr>
                  <w:tcW w:w="701" w:type="pct"/>
                  <w:vAlign w:val="center"/>
                </w:tcPr>
                <w:p w14:paraId="7D12FF1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固化房</w:t>
                  </w:r>
                </w:p>
              </w:tc>
              <w:tc>
                <w:tcPr>
                  <w:tcW w:w="745" w:type="pct"/>
                  <w:vAlign w:val="center"/>
                </w:tcPr>
                <w:p w14:paraId="1091CF0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非甲烷总烃</w:t>
                  </w:r>
                </w:p>
              </w:tc>
              <w:tc>
                <w:tcPr>
                  <w:tcW w:w="989" w:type="pct"/>
                  <w:vAlign w:val="center"/>
                </w:tcPr>
                <w:p w14:paraId="2FE20E7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zh-CN"/>
                    </w:rPr>
                    <w:t>其他（吸附法）</w:t>
                  </w:r>
                </w:p>
              </w:tc>
              <w:tc>
                <w:tcPr>
                  <w:tcW w:w="722" w:type="pct"/>
                  <w:vAlign w:val="center"/>
                </w:tcPr>
                <w:p w14:paraId="0259294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二级活性炭吸附</w:t>
                  </w:r>
                </w:p>
              </w:tc>
              <w:tc>
                <w:tcPr>
                  <w:tcW w:w="664" w:type="pct"/>
                  <w:vAlign w:val="center"/>
                </w:tcPr>
                <w:p w14:paraId="52E4DE6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是</w:t>
                  </w:r>
                </w:p>
              </w:tc>
            </w:tr>
            <w:tr w14:paraId="1406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pct"/>
                  <w:vMerge w:val="continue"/>
                  <w:vAlign w:val="center"/>
                </w:tcPr>
                <w:p w14:paraId="5D323F5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val="0"/>
                      <w:bCs w:val="0"/>
                      <w:i w:val="0"/>
                      <w:iCs w:val="0"/>
                      <w:caps w:val="0"/>
                      <w:snapToGrid w:val="0"/>
                      <w:color w:val="auto"/>
                      <w:spacing w:val="0"/>
                      <w:kern w:val="0"/>
                      <w:sz w:val="21"/>
                      <w:szCs w:val="21"/>
                      <w:highlight w:val="none"/>
                      <w:shd w:val="clear" w:fill="FFFFFF"/>
                      <w:lang w:val="en-US" w:eastAsia="zh-CN" w:bidi="ar"/>
                    </w:rPr>
                  </w:pPr>
                </w:p>
              </w:tc>
              <w:tc>
                <w:tcPr>
                  <w:tcW w:w="499" w:type="pct"/>
                  <w:vAlign w:val="center"/>
                </w:tcPr>
                <w:p w14:paraId="141A9F9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喷漆干</w:t>
                  </w:r>
                </w:p>
              </w:tc>
              <w:tc>
                <w:tcPr>
                  <w:tcW w:w="701" w:type="pct"/>
                  <w:vAlign w:val="center"/>
                </w:tcPr>
                <w:p w14:paraId="445ACF9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喷漆房</w:t>
                  </w:r>
                </w:p>
              </w:tc>
              <w:tc>
                <w:tcPr>
                  <w:tcW w:w="745" w:type="pct"/>
                  <w:vAlign w:val="center"/>
                </w:tcPr>
                <w:p w14:paraId="6FAA588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颗粒物、非甲烷总烃</w:t>
                  </w:r>
                </w:p>
              </w:tc>
              <w:tc>
                <w:tcPr>
                  <w:tcW w:w="989" w:type="pct"/>
                  <w:vAlign w:val="center"/>
                </w:tcPr>
                <w:p w14:paraId="2872D41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zh-CN"/>
                    </w:rPr>
                    <w:t>其他（吸附法）</w:t>
                  </w:r>
                </w:p>
              </w:tc>
              <w:tc>
                <w:tcPr>
                  <w:tcW w:w="722" w:type="pct"/>
                  <w:vAlign w:val="center"/>
                </w:tcPr>
                <w:p w14:paraId="5178224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干式过滤+二级活性炭吸附</w:t>
                  </w:r>
                </w:p>
              </w:tc>
              <w:tc>
                <w:tcPr>
                  <w:tcW w:w="664" w:type="pct"/>
                  <w:vAlign w:val="center"/>
                </w:tcPr>
                <w:p w14:paraId="7B20FCE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是</w:t>
                  </w:r>
                </w:p>
              </w:tc>
            </w:tr>
          </w:tbl>
          <w:p w14:paraId="1A3CE547">
            <w:pPr>
              <w:kinsoku/>
              <w:adjustRightInd/>
              <w:snapToGrid/>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Cs/>
                <w:snapToGrid w:val="0"/>
                <w:color w:val="auto"/>
                <w:sz w:val="24"/>
                <w:szCs w:val="24"/>
                <w:highlight w:val="none"/>
                <w:lang w:val="en-US" w:eastAsia="zh-CN" w:bidi="ar-SA"/>
              </w:rPr>
              <w:t>（2）</w:t>
            </w:r>
            <w:r>
              <w:rPr>
                <w:rFonts w:hint="eastAsia" w:ascii="Times New Roman" w:hAnsi="Times New Roman" w:eastAsia="宋体" w:cs="Times New Roman"/>
                <w:color w:val="auto"/>
                <w:sz w:val="24"/>
                <w:highlight w:val="none"/>
                <w:lang w:val="en-US" w:eastAsia="zh-CN"/>
              </w:rPr>
              <w:t>二级活性炭设置要求</w:t>
            </w:r>
          </w:p>
          <w:p w14:paraId="2A913EED">
            <w:pPr>
              <w:kinsoku/>
              <w:adjustRightInd/>
              <w:snapToGrid/>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为确保本项目运行期间活性炭吸附装置效率，本次评价对活性炭吸附参数提出以下相关技术要求：</w:t>
            </w:r>
          </w:p>
          <w:p w14:paraId="75D6B65D">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w:t>
            </w:r>
            <w:r>
              <w:rPr>
                <w:rFonts w:hint="eastAsia" w:cs="Times New Roman"/>
                <w:b/>
                <w:bCs/>
                <w:color w:val="auto"/>
                <w:sz w:val="24"/>
                <w:highlight w:val="none"/>
                <w:lang w:val="en-US" w:eastAsia="zh-CN"/>
              </w:rPr>
              <w:t>5</w:t>
            </w:r>
            <w:r>
              <w:rPr>
                <w:rFonts w:hint="eastAsia" w:ascii="Times New Roman" w:hAnsi="Times New Roman" w:eastAsia="宋体" w:cs="Times New Roman"/>
                <w:b/>
                <w:bCs/>
                <w:color w:val="auto"/>
                <w:sz w:val="24"/>
                <w:highlight w:val="none"/>
                <w:lang w:val="en-US" w:eastAsia="zh-CN"/>
              </w:rPr>
              <w:t xml:space="preserve">  活性炭吸附参数相关要求一览表</w:t>
            </w:r>
          </w:p>
          <w:tbl>
            <w:tblPr>
              <w:tblStyle w:val="26"/>
              <w:tblW w:w="49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162"/>
              <w:gridCol w:w="3667"/>
              <w:gridCol w:w="1355"/>
              <w:gridCol w:w="1929"/>
            </w:tblGrid>
            <w:tr w14:paraId="1CD4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48A7464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bCs/>
                      <w:color w:val="auto"/>
                      <w:sz w:val="21"/>
                      <w:szCs w:val="18"/>
                      <w:highlight w:val="none"/>
                      <w:vertAlign w:val="baseline"/>
                      <w:lang w:val="en-US" w:eastAsia="zh-CN"/>
                    </w:rPr>
                  </w:pPr>
                  <w:r>
                    <w:rPr>
                      <w:rFonts w:hint="eastAsia" w:ascii="Times New Roman" w:hAnsi="Times New Roman" w:eastAsia="宋体" w:cs="Times New Roman"/>
                      <w:b/>
                      <w:bCs/>
                      <w:color w:val="auto"/>
                      <w:sz w:val="21"/>
                      <w:szCs w:val="18"/>
                      <w:highlight w:val="none"/>
                      <w:vertAlign w:val="baseline"/>
                      <w:lang w:val="en-US" w:eastAsia="zh-CN"/>
                    </w:rPr>
                    <w:t>序号</w:t>
                  </w:r>
                </w:p>
              </w:tc>
              <w:tc>
                <w:tcPr>
                  <w:tcW w:w="646" w:type="pct"/>
                  <w:vAlign w:val="center"/>
                </w:tcPr>
                <w:p w14:paraId="271D775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bCs/>
                      <w:color w:val="auto"/>
                      <w:sz w:val="21"/>
                      <w:szCs w:val="18"/>
                      <w:highlight w:val="none"/>
                      <w:vertAlign w:val="baseline"/>
                      <w:lang w:val="en-US" w:eastAsia="zh-CN"/>
                    </w:rPr>
                  </w:pPr>
                  <w:r>
                    <w:rPr>
                      <w:rFonts w:hint="eastAsia" w:ascii="Times New Roman" w:hAnsi="Times New Roman" w:eastAsia="宋体" w:cs="Times New Roman"/>
                      <w:b/>
                      <w:bCs/>
                      <w:color w:val="auto"/>
                      <w:sz w:val="21"/>
                      <w:szCs w:val="18"/>
                      <w:highlight w:val="none"/>
                      <w:vertAlign w:val="baseline"/>
                      <w:lang w:val="en-US" w:eastAsia="zh-CN"/>
                    </w:rPr>
                    <w:t>相关参数</w:t>
                  </w:r>
                </w:p>
              </w:tc>
              <w:tc>
                <w:tcPr>
                  <w:tcW w:w="2038" w:type="pct"/>
                  <w:vAlign w:val="center"/>
                </w:tcPr>
                <w:p w14:paraId="03FD780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bCs/>
                      <w:color w:val="auto"/>
                      <w:sz w:val="24"/>
                      <w:highlight w:val="none"/>
                      <w:vertAlign w:val="baseline"/>
                      <w:lang w:val="en-US" w:eastAsia="zh-CN"/>
                    </w:rPr>
                  </w:pPr>
                  <w:r>
                    <w:rPr>
                      <w:rFonts w:hint="eastAsia" w:ascii="Times New Roman" w:hAnsi="Times New Roman" w:eastAsia="宋体" w:cs="Times New Roman"/>
                      <w:b/>
                      <w:bCs/>
                      <w:color w:val="auto"/>
                      <w:sz w:val="24"/>
                      <w:highlight w:val="none"/>
                      <w:vertAlign w:val="baseline"/>
                      <w:lang w:val="en-US" w:eastAsia="zh-CN"/>
                    </w:rPr>
                    <w:t>对应要求</w:t>
                  </w:r>
                </w:p>
              </w:tc>
              <w:tc>
                <w:tcPr>
                  <w:tcW w:w="753" w:type="pct"/>
                  <w:vAlign w:val="center"/>
                </w:tcPr>
                <w:p w14:paraId="5AA1E2D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bCs/>
                      <w:color w:val="auto"/>
                      <w:sz w:val="24"/>
                      <w:highlight w:val="none"/>
                      <w:vertAlign w:val="baseline"/>
                      <w:lang w:val="en-US" w:eastAsia="zh-CN"/>
                    </w:rPr>
                  </w:pPr>
                  <w:r>
                    <w:rPr>
                      <w:rFonts w:hint="eastAsia" w:ascii="Times New Roman" w:hAnsi="Times New Roman" w:eastAsia="宋体" w:cs="Times New Roman"/>
                      <w:b/>
                      <w:bCs/>
                      <w:color w:val="auto"/>
                      <w:sz w:val="24"/>
                      <w:highlight w:val="none"/>
                      <w:vertAlign w:val="baseline"/>
                      <w:lang w:val="en-US" w:eastAsia="zh-CN"/>
                    </w:rPr>
                    <w:t>性质</w:t>
                  </w:r>
                </w:p>
              </w:tc>
              <w:tc>
                <w:tcPr>
                  <w:tcW w:w="1072" w:type="pct"/>
                  <w:vAlign w:val="center"/>
                </w:tcPr>
                <w:p w14:paraId="008F929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bCs/>
                      <w:color w:val="auto"/>
                      <w:sz w:val="24"/>
                      <w:highlight w:val="none"/>
                      <w:vertAlign w:val="baseline"/>
                      <w:lang w:val="en-US" w:eastAsia="zh-CN"/>
                    </w:rPr>
                  </w:pPr>
                  <w:r>
                    <w:rPr>
                      <w:rFonts w:hint="eastAsia" w:ascii="Times New Roman" w:hAnsi="Times New Roman" w:eastAsia="宋体" w:cs="Times New Roman"/>
                      <w:b/>
                      <w:bCs/>
                      <w:color w:val="auto"/>
                      <w:sz w:val="24"/>
                      <w:highlight w:val="none"/>
                      <w:vertAlign w:val="baseline"/>
                      <w:lang w:val="en-US" w:eastAsia="zh-CN"/>
                    </w:rPr>
                    <w:t>依据</w:t>
                  </w:r>
                </w:p>
              </w:tc>
            </w:tr>
            <w:tr w14:paraId="35D3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2E62703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1</w:t>
                  </w:r>
                </w:p>
              </w:tc>
              <w:tc>
                <w:tcPr>
                  <w:tcW w:w="646" w:type="pct"/>
                  <w:vAlign w:val="center"/>
                </w:tcPr>
                <w:p w14:paraId="5996B2D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吸附温度</w:t>
                  </w:r>
                </w:p>
              </w:tc>
              <w:tc>
                <w:tcPr>
                  <w:tcW w:w="2038" w:type="pct"/>
                  <w:vAlign w:val="center"/>
                </w:tcPr>
                <w:p w14:paraId="3D03E94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进入吸附装置的废气温度宜低于40℃</w:t>
                  </w:r>
                </w:p>
              </w:tc>
              <w:tc>
                <w:tcPr>
                  <w:tcW w:w="753" w:type="pct"/>
                  <w:vAlign w:val="center"/>
                </w:tcPr>
                <w:p w14:paraId="34D0946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关键指标</w:t>
                  </w:r>
                </w:p>
              </w:tc>
              <w:tc>
                <w:tcPr>
                  <w:tcW w:w="1072" w:type="pct"/>
                  <w:vMerge w:val="restart"/>
                  <w:vAlign w:val="center"/>
                </w:tcPr>
                <w:p w14:paraId="3861CF7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《吸附法工业有机废气治理工程技术规范》</w:t>
                  </w:r>
                </w:p>
              </w:tc>
            </w:tr>
            <w:tr w14:paraId="2F20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35BA624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2</w:t>
                  </w:r>
                </w:p>
              </w:tc>
              <w:tc>
                <w:tcPr>
                  <w:tcW w:w="646" w:type="pct"/>
                  <w:vAlign w:val="center"/>
                </w:tcPr>
                <w:p w14:paraId="538098F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流速</w:t>
                  </w:r>
                </w:p>
              </w:tc>
              <w:tc>
                <w:tcPr>
                  <w:tcW w:w="2038" w:type="pct"/>
                  <w:vAlign w:val="center"/>
                </w:tcPr>
                <w:p w14:paraId="1023B67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采用蜂窝状吸附时，截面气体流速宜不低于1.2m/s</w:t>
                  </w:r>
                </w:p>
              </w:tc>
              <w:tc>
                <w:tcPr>
                  <w:tcW w:w="753" w:type="pct"/>
                  <w:vAlign w:val="center"/>
                </w:tcPr>
                <w:p w14:paraId="20A725F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color w:val="auto"/>
                      <w:highlight w:val="none"/>
                    </w:rPr>
                    <w:t>关键指标</w:t>
                  </w:r>
                </w:p>
              </w:tc>
              <w:tc>
                <w:tcPr>
                  <w:tcW w:w="1072" w:type="pct"/>
                  <w:vMerge w:val="continue"/>
                  <w:vAlign w:val="center"/>
                </w:tcPr>
                <w:p w14:paraId="4635C4E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p>
              </w:tc>
            </w:tr>
            <w:tr w14:paraId="2F5C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5E4D07E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3</w:t>
                  </w:r>
                </w:p>
              </w:tc>
              <w:tc>
                <w:tcPr>
                  <w:tcW w:w="646" w:type="pct"/>
                  <w:vAlign w:val="center"/>
                </w:tcPr>
                <w:p w14:paraId="1D68B13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颗粒物含量</w:t>
                  </w:r>
                </w:p>
              </w:tc>
              <w:tc>
                <w:tcPr>
                  <w:tcW w:w="2038" w:type="pct"/>
                  <w:vAlign w:val="center"/>
                </w:tcPr>
                <w:p w14:paraId="7083120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进入吸附装置的颗粒物含量低于1mg/m³</w:t>
                  </w:r>
                </w:p>
              </w:tc>
              <w:tc>
                <w:tcPr>
                  <w:tcW w:w="753" w:type="pct"/>
                  <w:vAlign w:val="center"/>
                </w:tcPr>
                <w:p w14:paraId="2B2AC02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color w:val="auto"/>
                      <w:highlight w:val="none"/>
                    </w:rPr>
                    <w:t>关键指标</w:t>
                  </w:r>
                </w:p>
              </w:tc>
              <w:tc>
                <w:tcPr>
                  <w:tcW w:w="1072" w:type="pct"/>
                  <w:vMerge w:val="continue"/>
                  <w:vAlign w:val="center"/>
                </w:tcPr>
                <w:p w14:paraId="416D909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p>
              </w:tc>
            </w:tr>
            <w:tr w14:paraId="2662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Merge w:val="restart"/>
                  <w:vAlign w:val="center"/>
                </w:tcPr>
                <w:p w14:paraId="228B0B1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4</w:t>
                  </w:r>
                </w:p>
              </w:tc>
              <w:tc>
                <w:tcPr>
                  <w:tcW w:w="646" w:type="pct"/>
                  <w:vMerge w:val="restart"/>
                  <w:vAlign w:val="center"/>
                </w:tcPr>
                <w:p w14:paraId="277763E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压力损失</w:t>
                  </w:r>
                </w:p>
              </w:tc>
              <w:tc>
                <w:tcPr>
                  <w:tcW w:w="2038" w:type="pct"/>
                  <w:vAlign w:val="center"/>
                </w:tcPr>
                <w:p w14:paraId="1D88AB77">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采用纤维状吸附剂时，吸附单元的压力损失宜低于4Kpa</w:t>
                  </w:r>
                </w:p>
              </w:tc>
              <w:tc>
                <w:tcPr>
                  <w:tcW w:w="753" w:type="pct"/>
                  <w:vAlign w:val="center"/>
                </w:tcPr>
                <w:p w14:paraId="5A0B622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color w:val="auto"/>
                      <w:highlight w:val="none"/>
                    </w:rPr>
                    <w:t>关键指标</w:t>
                  </w:r>
                </w:p>
              </w:tc>
              <w:tc>
                <w:tcPr>
                  <w:tcW w:w="1072" w:type="pct"/>
                  <w:vMerge w:val="continue"/>
                  <w:vAlign w:val="center"/>
                </w:tcPr>
                <w:p w14:paraId="249D642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p>
              </w:tc>
            </w:tr>
            <w:tr w14:paraId="6C9E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Merge w:val="continue"/>
                  <w:vAlign w:val="center"/>
                </w:tcPr>
                <w:p w14:paraId="17FD114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ascii="Times New Roman" w:hAnsi="Times New Roman" w:eastAsia="宋体" w:cs="Times New Roman"/>
                      <w:b w:val="0"/>
                      <w:bCs w:val="0"/>
                      <w:color w:val="auto"/>
                      <w:sz w:val="21"/>
                      <w:szCs w:val="18"/>
                      <w:highlight w:val="none"/>
                      <w:vertAlign w:val="baseline"/>
                      <w:lang w:val="en-US" w:eastAsia="zh-CN"/>
                    </w:rPr>
                  </w:pPr>
                </w:p>
              </w:tc>
              <w:tc>
                <w:tcPr>
                  <w:tcW w:w="646" w:type="pct"/>
                  <w:vMerge w:val="continue"/>
                  <w:vAlign w:val="center"/>
                </w:tcPr>
                <w:p w14:paraId="65A3E13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ascii="Times New Roman" w:hAnsi="Times New Roman" w:eastAsia="宋体" w:cs="Times New Roman"/>
                      <w:b w:val="0"/>
                      <w:bCs w:val="0"/>
                      <w:color w:val="auto"/>
                      <w:sz w:val="21"/>
                      <w:szCs w:val="18"/>
                      <w:highlight w:val="none"/>
                      <w:vertAlign w:val="baseline"/>
                      <w:lang w:val="en-US" w:eastAsia="zh-CN"/>
                    </w:rPr>
                  </w:pPr>
                </w:p>
              </w:tc>
              <w:tc>
                <w:tcPr>
                  <w:tcW w:w="2038" w:type="pct"/>
                  <w:vAlign w:val="center"/>
                </w:tcPr>
                <w:p w14:paraId="5D76316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采用其他形状吸附剂时，吸附单元的压力损失宜低于2.5kpa</w:t>
                  </w:r>
                </w:p>
              </w:tc>
              <w:tc>
                <w:tcPr>
                  <w:tcW w:w="753" w:type="pct"/>
                  <w:vAlign w:val="center"/>
                </w:tcPr>
                <w:p w14:paraId="24FB24A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color w:val="auto"/>
                      <w:highlight w:val="none"/>
                    </w:rPr>
                    <w:t>关键指标</w:t>
                  </w:r>
                </w:p>
              </w:tc>
              <w:tc>
                <w:tcPr>
                  <w:tcW w:w="1072" w:type="pct"/>
                  <w:vMerge w:val="continue"/>
                  <w:vAlign w:val="center"/>
                </w:tcPr>
                <w:p w14:paraId="227010C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p>
              </w:tc>
            </w:tr>
            <w:tr w14:paraId="4859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3B3DBFC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5</w:t>
                  </w:r>
                </w:p>
              </w:tc>
              <w:tc>
                <w:tcPr>
                  <w:tcW w:w="646" w:type="pct"/>
                  <w:vAlign w:val="center"/>
                </w:tcPr>
                <w:p w14:paraId="41C53AE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ascii="Times New Roman" w:hAnsi="Times New Roman" w:eastAsia="宋体" w:cs="Times New Roman"/>
                      <w:b w:val="0"/>
                      <w:bCs w:val="0"/>
                      <w:color w:val="auto"/>
                      <w:sz w:val="21"/>
                      <w:szCs w:val="18"/>
                      <w:highlight w:val="none"/>
                      <w:vertAlign w:val="baseline"/>
                      <w:lang w:val="en-US" w:eastAsia="zh-CN"/>
                    </w:rPr>
                    <w:t>碘值要求</w:t>
                  </w:r>
                </w:p>
              </w:tc>
              <w:tc>
                <w:tcPr>
                  <w:tcW w:w="2038" w:type="pct"/>
                  <w:vAlign w:val="center"/>
                </w:tcPr>
                <w:p w14:paraId="56F56DF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&gt;800 毫克/克</w:t>
                  </w:r>
                </w:p>
              </w:tc>
              <w:tc>
                <w:tcPr>
                  <w:tcW w:w="753" w:type="pct"/>
                  <w:vAlign w:val="center"/>
                </w:tcPr>
                <w:p w14:paraId="50C0B12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eastAsia"/>
                      <w:color w:val="auto"/>
                      <w:highlight w:val="none"/>
                    </w:rPr>
                    <w:t>关键指标</w:t>
                  </w:r>
                </w:p>
              </w:tc>
              <w:tc>
                <w:tcPr>
                  <w:tcW w:w="1072" w:type="pct"/>
                  <w:vAlign w:val="center"/>
                </w:tcPr>
                <w:p w14:paraId="71C873E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b w:val="0"/>
                      <w:bCs w:val="0"/>
                      <w:color w:val="auto"/>
                      <w:sz w:val="21"/>
                      <w:szCs w:val="18"/>
                      <w:highlight w:val="none"/>
                      <w:vertAlign w:val="baseline"/>
                      <w:lang w:val="en-US" w:eastAsia="zh-CN"/>
                    </w:rPr>
                  </w:pPr>
                  <w:r>
                    <w:rPr>
                      <w:rFonts w:hint="default" w:ascii="Times New Roman" w:hAnsi="Times New Roman" w:eastAsia="宋体" w:cs="Times New Roman"/>
                      <w:b w:val="0"/>
                      <w:bCs w:val="0"/>
                      <w:color w:val="auto"/>
                      <w:sz w:val="21"/>
                      <w:szCs w:val="18"/>
                      <w:highlight w:val="none"/>
                      <w:vertAlign w:val="baseline"/>
                      <w:lang w:val="en-US" w:eastAsia="zh-CN"/>
                    </w:rPr>
                    <w:t>《2020 年挥发性有机物治理攻坚方案》</w:t>
                  </w:r>
                </w:p>
              </w:tc>
            </w:tr>
          </w:tbl>
          <w:p w14:paraId="6C05710B">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注：本项目固化时温度约180℃左右，废气采用集气罩收集，收集时因含空气在内，根据以往生产经验，废气温度约在80℃左右，项目通过增加风冷设备和</w:t>
            </w:r>
            <w:r>
              <w:rPr>
                <w:rFonts w:hint="default" w:ascii="Times New Roman" w:hAnsi="Times New Roman" w:cs="Times New Roman"/>
                <w:b w:val="0"/>
                <w:bCs w:val="0"/>
                <w:color w:val="auto"/>
                <w:sz w:val="24"/>
                <w:highlight w:val="none"/>
                <w:lang w:val="en-US" w:eastAsia="zh-CN"/>
              </w:rPr>
              <w:t>加长</w:t>
            </w:r>
            <w:r>
              <w:rPr>
                <w:rFonts w:hint="eastAsia" w:cs="Times New Roman"/>
                <w:b w:val="0"/>
                <w:bCs w:val="0"/>
                <w:color w:val="auto"/>
                <w:sz w:val="24"/>
                <w:highlight w:val="none"/>
                <w:lang w:val="en-US" w:eastAsia="zh-CN"/>
              </w:rPr>
              <w:t>至</w:t>
            </w:r>
            <w:r>
              <w:rPr>
                <w:rFonts w:hint="default" w:ascii="Times New Roman" w:hAnsi="Times New Roman" w:cs="Times New Roman"/>
                <w:b w:val="0"/>
                <w:bCs w:val="0"/>
                <w:color w:val="auto"/>
                <w:sz w:val="24"/>
                <w:highlight w:val="none"/>
                <w:lang w:val="en-US" w:eastAsia="zh-CN"/>
              </w:rPr>
              <w:t>20m</w:t>
            </w:r>
            <w:r>
              <w:rPr>
                <w:rFonts w:hint="eastAsia" w:cs="Times New Roman"/>
                <w:b w:val="0"/>
                <w:bCs w:val="0"/>
                <w:color w:val="auto"/>
                <w:sz w:val="24"/>
                <w:highlight w:val="none"/>
                <w:lang w:val="en-US" w:eastAsia="zh-CN"/>
              </w:rPr>
              <w:t>左右</w:t>
            </w:r>
            <w:r>
              <w:rPr>
                <w:rFonts w:hint="default" w:ascii="Times New Roman" w:hAnsi="Times New Roman" w:cs="Times New Roman"/>
                <w:b w:val="0"/>
                <w:bCs w:val="0"/>
                <w:color w:val="auto"/>
                <w:sz w:val="24"/>
                <w:highlight w:val="none"/>
                <w:lang w:val="en-US" w:eastAsia="zh-CN"/>
              </w:rPr>
              <w:t>的管道长度可将温度降低至40℃以下</w:t>
            </w:r>
            <w:r>
              <w:rPr>
                <w:rFonts w:hint="default" w:ascii="Times New Roman" w:hAnsi="Times New Roman" w:eastAsia="宋体" w:cs="Times New Roman"/>
                <w:b w:val="0"/>
                <w:bCs w:val="0"/>
                <w:color w:val="auto"/>
                <w:sz w:val="24"/>
                <w:highlight w:val="none"/>
                <w:lang w:val="en-US" w:eastAsia="zh-CN"/>
              </w:rPr>
              <w:t>；</w:t>
            </w:r>
          </w:p>
          <w:p w14:paraId="721E969B">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hint="default" w:ascii="Times New Roman" w:hAnsi="Times New Roman"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风冷工作原理为：利用空气与高温烟气的热交换来降低烟气温度，高温烟气在管道内流动时，通过管道壁与外界空气（或强制引入的冷却空气）进行热传导，烟气的热量传递给管道壁，再由管道壁传递给周围空气，达到降温效果。</w:t>
            </w:r>
          </w:p>
          <w:p w14:paraId="5D974D4A">
            <w:pPr>
              <w:keepNext w:val="0"/>
              <w:keepLines w:val="0"/>
              <w:pageBreakBefore w:val="0"/>
              <w:wordWrap/>
              <w:overflowPunct/>
              <w:topLinePunct w:val="0"/>
              <w:autoSpaceDE w:val="0"/>
              <w:autoSpaceDN w:val="0"/>
              <w:bidi w:val="0"/>
              <w:adjustRightInd/>
              <w:snapToGrid/>
              <w:spacing w:line="360" w:lineRule="auto"/>
              <w:ind w:left="105" w:leftChars="50" w:right="105" w:rightChars="50" w:firstLine="480" w:firstLineChars="200"/>
              <w:textAlignment w:val="baseline"/>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w:t>
            </w:r>
            <w:r>
              <w:rPr>
                <w:rFonts w:hint="eastAsia" w:ascii="Times New Roman" w:hAnsi="Times New Roman" w:cs="Times New Roman"/>
                <w:bCs/>
                <w:color w:val="auto"/>
                <w:sz w:val="24"/>
                <w:highlight w:val="none"/>
                <w:lang w:val="en-US" w:eastAsia="zh-CN"/>
              </w:rPr>
              <w:t>3</w:t>
            </w:r>
            <w:r>
              <w:rPr>
                <w:rFonts w:hint="default" w:ascii="Times New Roman" w:hAnsi="Times New Roman" w:cs="Times New Roman"/>
                <w:bCs/>
                <w:color w:val="auto"/>
                <w:sz w:val="24"/>
                <w:highlight w:val="none"/>
                <w:lang w:val="en-US" w:eastAsia="zh-CN"/>
              </w:rPr>
              <w:t>）废气排放达标性分析</w:t>
            </w:r>
          </w:p>
          <w:p w14:paraId="15138BF5">
            <w:pPr>
              <w:keepNext w:val="0"/>
              <w:keepLines w:val="0"/>
              <w:pageBreakBefore w:val="0"/>
              <w:widowControl/>
              <w:kinsoku w:val="0"/>
              <w:wordWrap/>
              <w:overflowPunct/>
              <w:topLinePunct w:val="0"/>
              <w:autoSpaceDE w:val="0"/>
              <w:autoSpaceDN w:val="0"/>
              <w:bidi w:val="0"/>
              <w:adjustRightInd/>
              <w:snapToGrid/>
              <w:spacing w:line="360" w:lineRule="auto"/>
              <w:ind w:left="105" w:leftChars="50" w:right="105" w:rightChars="50" w:firstLine="480" w:firstLineChars="200"/>
              <w:textAlignment w:val="baseline"/>
              <w:rPr>
                <w:rFonts w:hint="eastAsia" w:ascii="Times New Roman" w:hAnsi="Times New Roman" w:eastAsia="宋体" w:cs="Times New Roman"/>
                <w:b/>
                <w:bCs/>
                <w:color w:val="auto"/>
                <w:kern w:val="21"/>
                <w:sz w:val="24"/>
                <w:highlight w:val="none"/>
                <w:lang w:val="en-US" w:eastAsia="zh-CN"/>
              </w:rPr>
            </w:pPr>
            <w:r>
              <w:rPr>
                <w:rFonts w:hint="default" w:ascii="Times New Roman" w:hAnsi="Times New Roman" w:cs="Times New Roman"/>
                <w:bCs/>
                <w:color w:val="auto"/>
                <w:sz w:val="24"/>
                <w:highlight w:val="none"/>
                <w:lang w:val="en-US" w:eastAsia="zh-CN"/>
              </w:rPr>
              <w:t>综上所述，项目拟采取的颗粒物、</w:t>
            </w:r>
            <w:r>
              <w:rPr>
                <w:rFonts w:hint="eastAsia" w:cs="Times New Roman"/>
                <w:bCs/>
                <w:color w:val="auto"/>
                <w:sz w:val="24"/>
                <w:highlight w:val="none"/>
                <w:lang w:val="en-US" w:eastAsia="zh-CN"/>
              </w:rPr>
              <w:t>非甲烷总烃</w:t>
            </w:r>
            <w:r>
              <w:rPr>
                <w:rFonts w:hint="default" w:ascii="Times New Roman" w:hAnsi="Times New Roman" w:cs="Times New Roman"/>
                <w:bCs/>
                <w:color w:val="auto"/>
                <w:sz w:val="24"/>
                <w:highlight w:val="none"/>
                <w:lang w:val="en-US" w:eastAsia="zh-CN"/>
              </w:rPr>
              <w:t>污染防治措施技术可行。本次评价各项污染物在收集处理达标排放后能够达到</w:t>
            </w:r>
            <w:r>
              <w:rPr>
                <w:rFonts w:hint="eastAsia" w:ascii="Times New Roman" w:hAnsi="Times New Roman" w:cs="Times New Roman"/>
                <w:bCs/>
                <w:color w:val="auto"/>
                <w:sz w:val="24"/>
                <w:highlight w:val="none"/>
                <w:lang w:val="en-US" w:eastAsia="zh-CN"/>
              </w:rPr>
              <w:t>《</w:t>
            </w:r>
            <w:r>
              <w:rPr>
                <w:rFonts w:hint="default" w:ascii="Times New Roman" w:hAnsi="Times New Roman" w:cs="Times New Roman"/>
                <w:bCs/>
                <w:color w:val="auto"/>
                <w:sz w:val="24"/>
                <w:highlight w:val="none"/>
                <w:lang w:val="en-US" w:eastAsia="zh-CN"/>
              </w:rPr>
              <w:t>大气污染物综合排放标准》（GB16297-1996）</w:t>
            </w:r>
            <w:r>
              <w:rPr>
                <w:rFonts w:hint="eastAsia" w:cs="Times New Roman"/>
                <w:bCs/>
                <w:color w:val="auto"/>
                <w:sz w:val="24"/>
                <w:highlight w:val="none"/>
                <w:lang w:val="en-US" w:eastAsia="zh-CN"/>
              </w:rPr>
              <w:t>、</w:t>
            </w:r>
            <w:r>
              <w:rPr>
                <w:rFonts w:hint="default" w:ascii="Times New Roman" w:hAnsi="Times New Roman" w:cs="Times New Roman"/>
                <w:bCs/>
                <w:color w:val="auto"/>
                <w:sz w:val="24"/>
                <w:highlight w:val="none"/>
                <w:lang w:val="en-US" w:eastAsia="zh-CN"/>
              </w:rPr>
              <w:t>安徽省《固定源挥发性有机物</w:t>
            </w:r>
            <w:r>
              <w:rPr>
                <w:rFonts w:hint="eastAsia" w:cs="Times New Roman"/>
                <w:bCs/>
                <w:color w:val="auto"/>
                <w:sz w:val="24"/>
                <w:highlight w:val="none"/>
                <w:lang w:val="en-US" w:eastAsia="zh-CN"/>
              </w:rPr>
              <w:t>综合排放标准</w:t>
            </w:r>
            <w:r>
              <w:rPr>
                <w:rFonts w:hint="default" w:ascii="Times New Roman" w:hAnsi="Times New Roman" w:cs="Times New Roman"/>
                <w:bCs/>
                <w:color w:val="auto"/>
                <w:sz w:val="24"/>
                <w:highlight w:val="none"/>
                <w:lang w:val="en-US" w:eastAsia="zh-CN"/>
              </w:rPr>
              <w:t>第六部分：其他行业》（DB34/4812.6-2024）标准要求。</w:t>
            </w:r>
          </w:p>
          <w:p w14:paraId="3D4A4BFB">
            <w:pPr>
              <w:keepNext w:val="0"/>
              <w:keepLines w:val="0"/>
              <w:pageBreakBefore w:val="0"/>
              <w:widowControl/>
              <w:kinsoku/>
              <w:wordWrap/>
              <w:overflowPunct/>
              <w:topLinePunct w:val="0"/>
              <w:autoSpaceDE w:val="0"/>
              <w:autoSpaceDN w:val="0"/>
              <w:bidi w:val="0"/>
              <w:adjustRightInd/>
              <w:snapToGrid/>
              <w:spacing w:line="360" w:lineRule="auto"/>
              <w:ind w:left="105" w:leftChars="50" w:right="105" w:rightChars="50" w:firstLine="482" w:firstLineChars="200"/>
              <w:textAlignment w:val="baseline"/>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4、无组织废气防治措施</w:t>
            </w:r>
          </w:p>
          <w:p w14:paraId="408BE94B">
            <w:pPr>
              <w:pStyle w:val="59"/>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bidi="ar-SA"/>
              </w:rPr>
              <w:t>本项目无组织废气主要为各生产工序未能收集的污染物，为了</w:t>
            </w:r>
            <w:r>
              <w:rPr>
                <w:rFonts w:hint="eastAsia" w:ascii="Times New Roman" w:hAnsi="Times New Roman" w:eastAsia="宋体" w:cs="Times New Roman"/>
                <w:bCs/>
                <w:color w:val="auto"/>
                <w:kern w:val="2"/>
                <w:sz w:val="24"/>
                <w:szCs w:val="24"/>
                <w:highlight w:val="none"/>
                <w:lang w:val="en-US" w:eastAsia="zh-CN" w:bidi="ar-SA"/>
              </w:rPr>
              <w:t>减少</w:t>
            </w:r>
            <w:r>
              <w:rPr>
                <w:rFonts w:hint="default" w:ascii="Times New Roman" w:hAnsi="Times New Roman" w:eastAsia="宋体" w:cs="Times New Roman"/>
                <w:bCs/>
                <w:color w:val="auto"/>
                <w:kern w:val="2"/>
                <w:sz w:val="24"/>
                <w:szCs w:val="24"/>
                <w:highlight w:val="none"/>
                <w:lang w:val="en-US" w:eastAsia="zh-CN" w:bidi="ar-SA"/>
              </w:rPr>
              <w:t>本项目无组织有机废气、粉尘对周边环境的影响，对照</w:t>
            </w:r>
            <w:r>
              <w:rPr>
                <w:rFonts w:hint="default" w:ascii="Times New Roman" w:hAnsi="Times New Roman" w:eastAsia="宋体" w:cs="Times New Roman"/>
                <w:color w:val="auto"/>
                <w:sz w:val="24"/>
                <w:szCs w:val="24"/>
                <w:highlight w:val="none"/>
                <w:lang w:val="en-US" w:eastAsia="zh-CN"/>
              </w:rPr>
              <w:t>《挥发性有机物无组织排放控制标准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 37822-2019）</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安徽省《</w:t>
            </w:r>
            <w:r>
              <w:rPr>
                <w:rFonts w:hint="default" w:ascii="Times New Roman" w:hAnsi="Times New Roman" w:cs="Times New Roman"/>
                <w:bCs/>
                <w:color w:val="auto"/>
                <w:sz w:val="24"/>
                <w:highlight w:val="none"/>
                <w:lang w:val="en-US" w:eastAsia="zh-CN"/>
              </w:rPr>
              <w:t>固定源挥发性有机物</w:t>
            </w:r>
            <w:r>
              <w:rPr>
                <w:rFonts w:hint="eastAsia" w:cs="Times New Roman"/>
                <w:bCs/>
                <w:color w:val="auto"/>
                <w:sz w:val="24"/>
                <w:highlight w:val="none"/>
                <w:lang w:val="en-US" w:eastAsia="zh-CN"/>
              </w:rPr>
              <w:t>综合排放标准</w:t>
            </w:r>
            <w:r>
              <w:rPr>
                <w:rFonts w:hint="default" w:ascii="Times New Roman" w:hAnsi="Times New Roman" w:cs="Times New Roman"/>
                <w:bCs/>
                <w:color w:val="auto"/>
                <w:sz w:val="24"/>
                <w:highlight w:val="none"/>
                <w:lang w:val="en-US" w:eastAsia="zh-CN"/>
              </w:rPr>
              <w:t>第六部分</w:t>
            </w:r>
            <w:r>
              <w:rPr>
                <w:rFonts w:hint="default" w:ascii="Times New Roman" w:hAnsi="Times New Roman" w:eastAsia="宋体" w:cs="Times New Roman"/>
                <w:color w:val="auto"/>
                <w:sz w:val="24"/>
                <w:szCs w:val="24"/>
                <w:highlight w:val="none"/>
                <w:lang w:val="en-US" w:eastAsia="zh-CN"/>
              </w:rPr>
              <w:t>：其他行业》（DB34/4812.6-2024）</w:t>
            </w:r>
            <w:r>
              <w:rPr>
                <w:rFonts w:hint="default" w:ascii="Times New Roman" w:hAnsi="Times New Roman" w:cs="Times New Roman"/>
                <w:color w:val="auto"/>
                <w:sz w:val="24"/>
                <w:highlight w:val="none"/>
                <w:lang w:val="en-US" w:eastAsia="zh-CN"/>
              </w:rPr>
              <w:t>等相关文件规定，项目采取以下防治措施从而减少对周围大气环境的不利影响：</w:t>
            </w:r>
          </w:p>
          <w:p w14:paraId="18FE63BA">
            <w:pPr>
              <w:pStyle w:val="59"/>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eastAsia="Arial" w:cs="Times New Roman"/>
                <w:snapToGrid w:val="0"/>
                <w:color w:val="auto"/>
                <w:sz w:val="24"/>
                <w:szCs w:val="21"/>
                <w:highlight w:val="none"/>
                <w:lang w:val="en-US" w:eastAsia="zh-CN" w:bidi="ar-SA"/>
              </w:rPr>
              <w:t>A.</w:t>
            </w:r>
            <w:r>
              <w:rPr>
                <w:rFonts w:hint="eastAsia" w:ascii="Times New Roman" w:hAnsi="Times New Roman" w:cs="Times New Roman"/>
                <w:color w:val="auto"/>
                <w:sz w:val="24"/>
                <w:highlight w:val="none"/>
                <w:lang w:val="en-US" w:eastAsia="zh-CN"/>
              </w:rPr>
              <w:t>本项目使用水性漆时，物料应</w:t>
            </w:r>
            <w:r>
              <w:rPr>
                <w:rFonts w:hint="default" w:ascii="Times New Roman" w:hAnsi="Times New Roman" w:cs="Times New Roman"/>
                <w:color w:val="auto"/>
                <w:sz w:val="24"/>
                <w:highlight w:val="none"/>
                <w:lang w:val="en-US" w:eastAsia="zh-CN"/>
              </w:rPr>
              <w:t>采取加盖、封装等方式进行密闭，使用过程随取随开，用后及时密闭。日常确保贮存的容器材质结实、耐用、无破损、无泄漏，封闭良好；</w:t>
            </w:r>
          </w:p>
          <w:p w14:paraId="3902D0D0">
            <w:pPr>
              <w:pStyle w:val="59"/>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eastAsia="Arial" w:cs="Times New Roman"/>
                <w:snapToGrid w:val="0"/>
                <w:color w:val="auto"/>
                <w:sz w:val="24"/>
                <w:szCs w:val="21"/>
                <w:highlight w:val="none"/>
                <w:lang w:val="en-US" w:eastAsia="zh-CN" w:bidi="ar-SA"/>
              </w:rPr>
              <w:t>B.</w:t>
            </w:r>
            <w:r>
              <w:rPr>
                <w:rFonts w:hint="default" w:ascii="Times New Roman" w:hAnsi="Times New Roman" w:cs="Times New Roman"/>
                <w:color w:val="auto"/>
                <w:sz w:val="24"/>
                <w:highlight w:val="none"/>
                <w:lang w:val="en-US" w:eastAsia="zh-CN"/>
              </w:rPr>
              <w:t>加强有组织废气的收集措施，项目喷塑、固化废气设置均在密闭空间内进行作业，产生的废气密闭负压收集；废气收集系统的管道应密闭完好，加强废气收集可从源头上有效减少无组织废气的产生量；</w:t>
            </w:r>
          </w:p>
          <w:p w14:paraId="1DADCAFE">
            <w:pPr>
              <w:pStyle w:val="59"/>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default" w:ascii="Times New Roman" w:hAnsi="Times New Roman" w:cs="Times New Roman"/>
                <w:color w:val="auto"/>
                <w:sz w:val="24"/>
                <w:highlight w:val="none"/>
                <w:lang w:val="en-US" w:eastAsia="zh-CN"/>
              </w:rPr>
            </w:pPr>
            <w:r>
              <w:rPr>
                <w:rFonts w:hint="eastAsia" w:ascii="Times New Roman" w:eastAsia="Arial" w:cs="Times New Roman"/>
                <w:snapToGrid w:val="0"/>
                <w:color w:val="auto"/>
                <w:sz w:val="24"/>
                <w:szCs w:val="21"/>
                <w:highlight w:val="none"/>
                <w:lang w:val="en-US" w:eastAsia="zh-CN" w:bidi="ar-SA"/>
              </w:rPr>
              <w:t>C</w:t>
            </w:r>
            <w:r>
              <w:rPr>
                <w:rFonts w:hint="default" w:ascii="Times New Roman" w:hAnsi="Times New Roman" w:eastAsia="Arial" w:cs="Times New Roman"/>
                <w:snapToGrid w:val="0"/>
                <w:color w:val="auto"/>
                <w:sz w:val="24"/>
                <w:szCs w:val="21"/>
                <w:highlight w:val="none"/>
                <w:lang w:val="en-US" w:eastAsia="zh-CN" w:bidi="ar-SA"/>
              </w:rPr>
              <w:t>.</w:t>
            </w:r>
            <w:r>
              <w:rPr>
                <w:rFonts w:hint="default" w:ascii="Times New Roman" w:hAnsi="Times New Roman" w:cs="Times New Roman"/>
                <w:color w:val="auto"/>
                <w:sz w:val="24"/>
                <w:highlight w:val="none"/>
                <w:lang w:val="en-US" w:eastAsia="zh-CN"/>
              </w:rPr>
              <w:t>废气收集处理系统与生产工艺设备同步运行，当废气收集处理系统发生故障或检修时，对应的生产工艺设备应停止运行，检修完毕后同步使用。</w:t>
            </w:r>
          </w:p>
          <w:p w14:paraId="3C42E3BA">
            <w:pPr>
              <w:pStyle w:val="59"/>
              <w:widowControl w:val="0"/>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eastAsia" w:ascii="Times New Roman" w:cs="Times New Roman"/>
                <w:color w:val="auto"/>
                <w:sz w:val="24"/>
                <w:highlight w:val="none"/>
                <w:lang w:val="en-US" w:eastAsia="zh-CN"/>
              </w:rPr>
              <w:t>D.</w:t>
            </w:r>
            <w:r>
              <w:rPr>
                <w:rFonts w:hint="default" w:ascii="Times New Roman" w:hAnsi="Times New Roman" w:eastAsia="宋体" w:cs="Times New Roman"/>
                <w:color w:val="auto"/>
                <w:sz w:val="24"/>
                <w:highlight w:val="none"/>
                <w:lang w:val="en-US" w:eastAsia="zh-CN"/>
              </w:rPr>
              <w:t>项目产生的废油漆桶、废机油等</w:t>
            </w:r>
            <w:r>
              <w:rPr>
                <w:rFonts w:hint="default" w:ascii="Times New Roman" w:hAnsi="Times New Roman" w:eastAsia="宋体" w:cs="Times New Roman"/>
                <w:color w:val="auto"/>
                <w:sz w:val="24"/>
                <w:highlight w:val="none"/>
                <w:lang w:eastAsia="zh-CN"/>
              </w:rPr>
              <w:t>废物，</w:t>
            </w:r>
            <w:r>
              <w:rPr>
                <w:rFonts w:hint="default" w:ascii="Times New Roman" w:hAnsi="Times New Roman" w:eastAsia="宋体" w:cs="Times New Roman"/>
                <w:color w:val="auto"/>
                <w:sz w:val="24"/>
                <w:highlight w:val="none"/>
                <w:lang w:val="en-US" w:eastAsia="zh-CN"/>
              </w:rPr>
              <w:t>暂存时</w:t>
            </w:r>
            <w:r>
              <w:rPr>
                <w:rFonts w:hint="default" w:ascii="Times New Roman" w:hAnsi="Times New Roman" w:eastAsia="宋体" w:cs="Times New Roman"/>
                <w:color w:val="auto"/>
                <w:sz w:val="24"/>
                <w:highlight w:val="none"/>
                <w:lang w:eastAsia="zh-CN"/>
              </w:rPr>
              <w:t>采取加盖、封装，</w:t>
            </w:r>
            <w:r>
              <w:rPr>
                <w:rFonts w:hint="default" w:ascii="Times New Roman" w:hAnsi="Times New Roman" w:eastAsia="宋体" w:cs="Times New Roman"/>
                <w:color w:val="auto"/>
                <w:sz w:val="24"/>
                <w:highlight w:val="none"/>
                <w:lang w:val="en-US" w:eastAsia="zh-CN"/>
              </w:rPr>
              <w:t>废活性炭</w:t>
            </w:r>
            <w:r>
              <w:rPr>
                <w:rFonts w:hint="eastAsia" w:ascii="Times New Roman" w:hAnsi="Times New Roman" w:eastAsia="宋体" w:cs="Times New Roman"/>
                <w:color w:val="auto"/>
                <w:sz w:val="24"/>
                <w:highlight w:val="none"/>
                <w:lang w:val="en-US" w:eastAsia="zh-CN"/>
              </w:rPr>
              <w:t>采用薄膜缠绕包裹，密闭桶存放，</w:t>
            </w:r>
            <w:r>
              <w:rPr>
                <w:rFonts w:hint="default" w:ascii="Times New Roman" w:hAnsi="Times New Roman" w:eastAsia="宋体" w:cs="Times New Roman"/>
                <w:color w:val="auto"/>
                <w:sz w:val="24"/>
                <w:highlight w:val="none"/>
                <w:lang w:val="en-US" w:eastAsia="zh-CN"/>
              </w:rPr>
              <w:t>废过滤棉</w:t>
            </w:r>
            <w:r>
              <w:rPr>
                <w:rFonts w:hint="eastAsia" w:ascii="Times New Roman" w:hAnsi="Times New Roman" w:eastAsia="宋体" w:cs="Times New Roman"/>
                <w:color w:val="auto"/>
                <w:sz w:val="24"/>
                <w:highlight w:val="none"/>
                <w:lang w:val="en-US" w:eastAsia="zh-CN"/>
              </w:rPr>
              <w:t>应</w:t>
            </w:r>
            <w:r>
              <w:rPr>
                <w:rFonts w:hint="default" w:ascii="Times New Roman" w:hAnsi="Times New Roman" w:eastAsia="宋体" w:cs="Times New Roman"/>
                <w:color w:val="auto"/>
                <w:sz w:val="24"/>
                <w:highlight w:val="none"/>
                <w:lang w:val="en-US" w:eastAsia="zh-CN"/>
              </w:rPr>
              <w:t>采取危废专用编织袋进行收集后封口</w:t>
            </w:r>
            <w:r>
              <w:rPr>
                <w:rFonts w:hint="default" w:ascii="Times New Roman" w:hAnsi="Times New Roman" w:eastAsia="宋体" w:cs="Times New Roman"/>
                <w:color w:val="auto"/>
                <w:sz w:val="24"/>
                <w:highlight w:val="none"/>
                <w:lang w:eastAsia="zh-CN"/>
              </w:rPr>
              <w:t>等方式进行密闭。日常确保贮存含VOCs原辅材料的容器材质结实、耐用、无破损、无泄漏，封闭良好；</w:t>
            </w:r>
          </w:p>
          <w:p w14:paraId="1F2C71AB">
            <w:pPr>
              <w:pStyle w:val="59"/>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default" w:ascii="Times New Roman" w:hAnsi="Times New Roman" w:cs="Times New Roman"/>
                <w:color w:val="auto"/>
                <w:sz w:val="24"/>
                <w:highlight w:val="none"/>
                <w:lang w:val="en-US" w:eastAsia="zh-CN"/>
              </w:rPr>
            </w:pPr>
            <w:r>
              <w:rPr>
                <w:rFonts w:hint="eastAsia" w:ascii="Times New Roman" w:eastAsia="Arial" w:cs="Times New Roman"/>
                <w:snapToGrid w:val="0"/>
                <w:color w:val="auto"/>
                <w:sz w:val="24"/>
                <w:szCs w:val="21"/>
                <w:highlight w:val="none"/>
                <w:lang w:val="en-US" w:eastAsia="zh-CN" w:bidi="ar-SA"/>
              </w:rPr>
              <w:t>E</w:t>
            </w:r>
            <w:r>
              <w:rPr>
                <w:rFonts w:hint="default" w:ascii="Times New Roman" w:hAnsi="Times New Roman" w:eastAsia="Arial" w:cs="Times New Roman"/>
                <w:snapToGrid w:val="0"/>
                <w:color w:val="auto"/>
                <w:sz w:val="24"/>
                <w:szCs w:val="21"/>
                <w:highlight w:val="none"/>
                <w:lang w:val="en-US" w:eastAsia="zh-CN" w:bidi="ar-SA"/>
              </w:rPr>
              <w:t>.</w:t>
            </w:r>
            <w:r>
              <w:rPr>
                <w:rFonts w:hint="default" w:ascii="Times New Roman" w:hAnsi="Times New Roman" w:cs="Times New Roman"/>
                <w:color w:val="auto"/>
                <w:sz w:val="24"/>
                <w:highlight w:val="none"/>
                <w:lang w:val="en-US" w:eastAsia="zh-CN"/>
              </w:rPr>
              <w:t>植物对大气污染物有一定的净化作用，加强厂区绿化，</w:t>
            </w:r>
            <w:r>
              <w:rPr>
                <w:rFonts w:hint="eastAsia" w:ascii="Times New Roman" w:cs="Times New Roman"/>
                <w:color w:val="auto"/>
                <w:sz w:val="24"/>
                <w:highlight w:val="none"/>
                <w:lang w:val="en-US" w:eastAsia="zh-CN"/>
              </w:rPr>
              <w:t>种植常青树木，</w:t>
            </w:r>
            <w:r>
              <w:rPr>
                <w:rFonts w:hint="default" w:ascii="Times New Roman" w:hAnsi="Times New Roman" w:cs="Times New Roman"/>
                <w:color w:val="auto"/>
                <w:sz w:val="24"/>
                <w:highlight w:val="none"/>
                <w:lang w:val="en-US" w:eastAsia="zh-CN"/>
              </w:rPr>
              <w:t>减少</w:t>
            </w:r>
            <w:r>
              <w:rPr>
                <w:rFonts w:hint="eastAsia" w:ascii="Times New Roman" w:cs="Times New Roman"/>
                <w:color w:val="auto"/>
                <w:sz w:val="24"/>
                <w:highlight w:val="none"/>
                <w:lang w:val="en-US" w:eastAsia="zh-CN"/>
              </w:rPr>
              <w:t>废气</w:t>
            </w:r>
            <w:r>
              <w:rPr>
                <w:rFonts w:hint="default" w:ascii="Times New Roman" w:hAnsi="Times New Roman" w:cs="Times New Roman"/>
                <w:color w:val="auto"/>
                <w:sz w:val="24"/>
                <w:highlight w:val="none"/>
                <w:lang w:val="en-US" w:eastAsia="zh-CN"/>
              </w:rPr>
              <w:t>对周围环境的影响</w:t>
            </w:r>
            <w:r>
              <w:rPr>
                <w:rFonts w:hint="eastAsia" w:ascii="Times New Roman" w:cs="Times New Roman"/>
                <w:color w:val="auto"/>
                <w:sz w:val="24"/>
                <w:highlight w:val="none"/>
                <w:lang w:val="en-US" w:eastAsia="zh-CN"/>
              </w:rPr>
              <w:t>。</w:t>
            </w:r>
          </w:p>
          <w:p w14:paraId="26D79AC6">
            <w:pPr>
              <w:pStyle w:val="59"/>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通过以上措施无组织颗粒物满足《大气污染物综合排放标准》（GB16297-1996）中二级标准，非甲烷总烃厂界浓度能够达到安徽省《</w:t>
            </w:r>
            <w:r>
              <w:rPr>
                <w:rFonts w:hint="default" w:ascii="Times New Roman" w:hAnsi="Times New Roman" w:cs="Times New Roman"/>
                <w:bCs/>
                <w:color w:val="auto"/>
                <w:sz w:val="24"/>
                <w:highlight w:val="none"/>
                <w:lang w:val="en-US" w:eastAsia="zh-CN"/>
              </w:rPr>
              <w:t>固定源挥发性有机物</w:t>
            </w:r>
            <w:r>
              <w:rPr>
                <w:rFonts w:hint="eastAsia" w:cs="Times New Roman"/>
                <w:bCs/>
                <w:color w:val="auto"/>
                <w:sz w:val="24"/>
                <w:highlight w:val="none"/>
                <w:lang w:val="en-US" w:eastAsia="zh-CN"/>
              </w:rPr>
              <w:t>综合排放标准</w:t>
            </w:r>
            <w:r>
              <w:rPr>
                <w:rFonts w:hint="default" w:ascii="Times New Roman" w:hAnsi="Times New Roman" w:cs="Times New Roman"/>
                <w:bCs/>
                <w:color w:val="auto"/>
                <w:sz w:val="24"/>
                <w:highlight w:val="none"/>
                <w:lang w:val="en-US" w:eastAsia="zh-CN"/>
              </w:rPr>
              <w:t>第六部分</w:t>
            </w:r>
            <w:r>
              <w:rPr>
                <w:rFonts w:hint="default" w:ascii="Times New Roman" w:hAnsi="Times New Roman" w:cs="Times New Roman"/>
                <w:color w:val="auto"/>
                <w:sz w:val="24"/>
                <w:highlight w:val="none"/>
                <w:lang w:val="en-US" w:eastAsia="zh-CN"/>
              </w:rPr>
              <w:t>：其他行业》（DB34/4812.6-2024）表1标准限值要求。</w:t>
            </w:r>
          </w:p>
          <w:p w14:paraId="09D30670">
            <w:pPr>
              <w:keepNext w:val="0"/>
              <w:keepLines w:val="0"/>
              <w:pageBreakBefore w:val="0"/>
              <w:widowControl/>
              <w:kinsoku/>
              <w:wordWrap/>
              <w:overflowPunct/>
              <w:topLinePunct w:val="0"/>
              <w:autoSpaceDE w:val="0"/>
              <w:autoSpaceDN w:val="0"/>
              <w:bidi w:val="0"/>
              <w:adjustRightInd/>
              <w:snapToGrid/>
              <w:spacing w:line="360" w:lineRule="auto"/>
              <w:ind w:left="105" w:leftChars="50" w:right="105" w:rightChars="50" w:firstLine="482" w:firstLineChars="200"/>
              <w:textAlignment w:val="baseline"/>
              <w:rPr>
                <w:rFonts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val="en-US" w:eastAsia="zh-CN"/>
              </w:rPr>
              <w:t>5</w:t>
            </w:r>
            <w:r>
              <w:rPr>
                <w:rFonts w:ascii="Times New Roman" w:hAnsi="Times New Roman" w:eastAsia="宋体" w:cs="Times New Roman"/>
                <w:b/>
                <w:bCs/>
                <w:color w:val="auto"/>
                <w:sz w:val="24"/>
                <w:highlight w:val="none"/>
                <w:lang w:eastAsia="zh-CN"/>
              </w:rPr>
              <w:t>、非正常工况</w:t>
            </w:r>
          </w:p>
          <w:p w14:paraId="3721B5C0">
            <w:pPr>
              <w:keepNext w:val="0"/>
              <w:keepLines w:val="0"/>
              <w:pageBreakBefore w:val="0"/>
              <w:widowControl/>
              <w:kinsoku/>
              <w:wordWrap/>
              <w:overflowPunct/>
              <w:topLinePunct w:val="0"/>
              <w:autoSpaceDE w:val="0"/>
              <w:autoSpaceDN w:val="0"/>
              <w:bidi w:val="0"/>
              <w:adjustRightInd/>
              <w:snapToGrid/>
              <w:spacing w:line="360" w:lineRule="auto"/>
              <w:ind w:left="105" w:leftChars="50" w:right="105" w:rightChars="50" w:firstLine="480" w:firstLineChars="200"/>
              <w:textAlignment w:val="baseline"/>
              <w:rPr>
                <w:rFonts w:hint="eastAsia" w:ascii="Times New Roman" w:hAnsi="Times New Roman" w:eastAsia="宋体" w:cs="Times New Roman"/>
                <w:color w:val="auto"/>
                <w:sz w:val="24"/>
                <w:highlight w:val="none"/>
                <w:lang w:val="en-US" w:eastAsia="zh-CN" w:bidi="ar"/>
              </w:rPr>
            </w:pPr>
            <w:r>
              <w:rPr>
                <w:rFonts w:hint="eastAsia" w:ascii="Times New Roman" w:hAnsi="Times New Roman" w:eastAsia="宋体" w:cs="Times New Roman"/>
                <w:color w:val="auto"/>
                <w:sz w:val="24"/>
                <w:highlight w:val="none"/>
                <w:lang w:val="en-US" w:eastAsia="zh-CN" w:bidi="ar"/>
              </w:rPr>
              <w:t>非正常排放是指生产过程中开停车（工、炉）、设备检修、工艺设备运转异常等非正常工况下的污染物排放，以及污染物排放控制措施达不到应有效率等情况下的排放。项目废气非正常工况排放主要为布袋除尘器和二级活性炭吸附装置发生故障时，但废气收集系统可以正常运行，废气通过排气筒排放等情况，废气处理设施出现故障不能正常运行时，应立即停产进行维修，避免对周围环境造成污染。废气非正常工况源强情况见下表。</w:t>
            </w:r>
          </w:p>
          <w:p w14:paraId="5D0592FE">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highlight w:val="none"/>
                <w:lang w:eastAsia="zh-CN"/>
              </w:rPr>
              <w:t>表4-</w:t>
            </w:r>
            <w:r>
              <w:rPr>
                <w:rFonts w:hint="eastAsia" w:ascii="Times New Roman" w:hAnsi="Times New Roman" w:eastAsia="宋体" w:cs="Times New Roman"/>
                <w:b/>
                <w:bCs/>
                <w:color w:val="auto"/>
                <w:sz w:val="24"/>
                <w:highlight w:val="none"/>
                <w:lang w:val="en-US" w:eastAsia="zh-CN"/>
              </w:rPr>
              <w:t>6</w:t>
            </w:r>
            <w:r>
              <w:rPr>
                <w:rFonts w:ascii="Times New Roman" w:hAnsi="Times New Roman" w:eastAsia="宋体" w:cs="Times New Roman"/>
                <w:b/>
                <w:bCs/>
                <w:color w:val="auto"/>
                <w:sz w:val="24"/>
                <w:highlight w:val="none"/>
                <w:lang w:eastAsia="zh-CN"/>
              </w:rPr>
              <w:t xml:space="preserve"> 非正常工况污染物排放情况</w:t>
            </w:r>
          </w:p>
          <w:tbl>
            <w:tblPr>
              <w:tblStyle w:val="25"/>
              <w:tblW w:w="48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343"/>
              <w:gridCol w:w="1088"/>
              <w:gridCol w:w="1092"/>
              <w:gridCol w:w="795"/>
              <w:gridCol w:w="1145"/>
              <w:gridCol w:w="2521"/>
            </w:tblGrid>
            <w:tr w14:paraId="308E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restart"/>
                  <w:vAlign w:val="center"/>
                </w:tcPr>
                <w:p w14:paraId="6677525E">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r>
                    <w:rPr>
                      <w:rFonts w:ascii="Times New Roman" w:hAnsi="Times New Roman" w:eastAsia="宋体"/>
                      <w:color w:val="auto"/>
                      <w:highlight w:val="none"/>
                    </w:rPr>
                    <w:t>污染源</w:t>
                  </w:r>
                </w:p>
              </w:tc>
              <w:tc>
                <w:tcPr>
                  <w:tcW w:w="757" w:type="pct"/>
                  <w:vMerge w:val="restart"/>
                  <w:vAlign w:val="center"/>
                </w:tcPr>
                <w:p w14:paraId="15DA129D">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r>
                    <w:rPr>
                      <w:rFonts w:ascii="Times New Roman" w:hAnsi="Times New Roman" w:eastAsia="宋体"/>
                      <w:color w:val="auto"/>
                      <w:highlight w:val="none"/>
                    </w:rPr>
                    <w:t>污染物</w:t>
                  </w:r>
                </w:p>
              </w:tc>
              <w:tc>
                <w:tcPr>
                  <w:tcW w:w="1228" w:type="pct"/>
                  <w:gridSpan w:val="2"/>
                  <w:vAlign w:val="center"/>
                </w:tcPr>
                <w:p w14:paraId="64CB3DC0">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r>
                    <w:rPr>
                      <w:rFonts w:ascii="Times New Roman" w:hAnsi="Times New Roman" w:eastAsia="宋体"/>
                      <w:color w:val="auto"/>
                      <w:highlight w:val="none"/>
                    </w:rPr>
                    <w:t>产生情况</w:t>
                  </w:r>
                </w:p>
              </w:tc>
              <w:tc>
                <w:tcPr>
                  <w:tcW w:w="448" w:type="pct"/>
                  <w:vMerge w:val="restart"/>
                  <w:vAlign w:val="center"/>
                </w:tcPr>
                <w:p w14:paraId="2B9E9150">
                  <w:pPr>
                    <w:pStyle w:val="57"/>
                    <w:keepNext w:val="0"/>
                    <w:keepLines w:val="0"/>
                    <w:pageBreakBefore w:val="0"/>
                    <w:kinsoku/>
                    <w:wordWrap/>
                    <w:overflowPunct/>
                    <w:topLinePunct w:val="0"/>
                    <w:bidi w:val="0"/>
                    <w:adjustRightInd/>
                    <w:snapToGrid/>
                    <w:rPr>
                      <w:rFonts w:ascii="Times New Roman" w:hAnsi="Times New Roman" w:eastAsia="宋体" w:cs="Times New Roman"/>
                      <w:color w:val="auto"/>
                      <w:highlight w:val="none"/>
                    </w:rPr>
                  </w:pPr>
                  <w:r>
                    <w:rPr>
                      <w:rFonts w:ascii="Times New Roman" w:hAnsi="Times New Roman" w:eastAsia="宋体" w:cs="Times New Roman"/>
                      <w:b w:val="0"/>
                      <w:bCs w:val="0"/>
                      <w:color w:val="auto"/>
                      <w:highlight w:val="none"/>
                    </w:rPr>
                    <w:t>持续时间h</w:t>
                  </w:r>
                </w:p>
              </w:tc>
              <w:tc>
                <w:tcPr>
                  <w:tcW w:w="645" w:type="pct"/>
                  <w:vMerge w:val="restart"/>
                  <w:vAlign w:val="center"/>
                </w:tcPr>
                <w:p w14:paraId="172ADEE4">
                  <w:pPr>
                    <w:pStyle w:val="57"/>
                    <w:keepNext w:val="0"/>
                    <w:keepLines w:val="0"/>
                    <w:pageBreakBefore w:val="0"/>
                    <w:kinsoku/>
                    <w:wordWrap/>
                    <w:overflowPunct/>
                    <w:topLinePunct w:val="0"/>
                    <w:bidi w:val="0"/>
                    <w:adjustRightInd/>
                    <w:snapToGrid/>
                    <w:rPr>
                      <w:rFonts w:ascii="Times New Roman" w:hAnsi="Times New Roman" w:eastAsia="宋体" w:cs="Times New Roman"/>
                      <w:b w:val="0"/>
                      <w:bCs w:val="0"/>
                      <w:color w:val="auto"/>
                      <w:highlight w:val="none"/>
                    </w:rPr>
                  </w:pPr>
                  <w:r>
                    <w:rPr>
                      <w:rFonts w:ascii="Times New Roman" w:hAnsi="Times New Roman" w:eastAsia="宋体" w:cs="Times New Roman"/>
                      <w:b w:val="0"/>
                      <w:bCs w:val="0"/>
                      <w:color w:val="auto"/>
                      <w:highlight w:val="none"/>
                    </w:rPr>
                    <w:t>发生频次</w:t>
                  </w:r>
                </w:p>
              </w:tc>
              <w:tc>
                <w:tcPr>
                  <w:tcW w:w="1420" w:type="pct"/>
                  <w:vMerge w:val="restart"/>
                  <w:vAlign w:val="center"/>
                </w:tcPr>
                <w:p w14:paraId="26D86F6D">
                  <w:pPr>
                    <w:pStyle w:val="57"/>
                    <w:keepNext w:val="0"/>
                    <w:keepLines w:val="0"/>
                    <w:pageBreakBefore w:val="0"/>
                    <w:kinsoku/>
                    <w:wordWrap/>
                    <w:overflowPunct/>
                    <w:topLinePunct w:val="0"/>
                    <w:bidi w:val="0"/>
                    <w:adjustRightInd/>
                    <w:snapToGrid/>
                    <w:rPr>
                      <w:rFonts w:ascii="Times New Roman" w:hAnsi="Times New Roman" w:eastAsia="宋体" w:cs="Times New Roman"/>
                      <w:b w:val="0"/>
                      <w:bCs w:val="0"/>
                      <w:color w:val="auto"/>
                      <w:highlight w:val="none"/>
                    </w:rPr>
                  </w:pPr>
                  <w:r>
                    <w:rPr>
                      <w:rFonts w:ascii="Times New Roman" w:hAnsi="Times New Roman" w:eastAsia="宋体" w:cs="Times New Roman"/>
                      <w:b w:val="0"/>
                      <w:bCs w:val="0"/>
                      <w:color w:val="auto"/>
                      <w:highlight w:val="none"/>
                    </w:rPr>
                    <w:t>措施</w:t>
                  </w:r>
                </w:p>
              </w:tc>
            </w:tr>
            <w:tr w14:paraId="33E1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14:paraId="66D626CC">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p>
              </w:tc>
              <w:tc>
                <w:tcPr>
                  <w:tcW w:w="757" w:type="pct"/>
                  <w:vMerge w:val="continue"/>
                  <w:vAlign w:val="center"/>
                </w:tcPr>
                <w:p w14:paraId="451F5EFB">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p>
              </w:tc>
              <w:tc>
                <w:tcPr>
                  <w:tcW w:w="613" w:type="pct"/>
                  <w:vAlign w:val="center"/>
                </w:tcPr>
                <w:p w14:paraId="2348450C">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r>
                    <w:rPr>
                      <w:rFonts w:ascii="Times New Roman" w:hAnsi="Times New Roman" w:eastAsia="宋体"/>
                      <w:color w:val="auto"/>
                      <w:highlight w:val="none"/>
                    </w:rPr>
                    <w:t>浓度mg/m</w:t>
                  </w:r>
                  <w:r>
                    <w:rPr>
                      <w:rFonts w:ascii="Times New Roman" w:hAnsi="Times New Roman" w:eastAsia="宋体"/>
                      <w:color w:val="auto"/>
                      <w:highlight w:val="none"/>
                      <w:vertAlign w:val="superscript"/>
                    </w:rPr>
                    <w:t>3</w:t>
                  </w:r>
                </w:p>
              </w:tc>
              <w:tc>
                <w:tcPr>
                  <w:tcW w:w="615" w:type="pct"/>
                  <w:vAlign w:val="center"/>
                </w:tcPr>
                <w:p w14:paraId="5BF4D0E9">
                  <w:pPr>
                    <w:pStyle w:val="41"/>
                    <w:keepNext w:val="0"/>
                    <w:keepLines w:val="0"/>
                    <w:pageBreakBefore w:val="0"/>
                    <w:kinsoku/>
                    <w:wordWrap/>
                    <w:overflowPunct/>
                    <w:topLinePunct w:val="0"/>
                    <w:bidi w:val="0"/>
                    <w:adjustRightInd/>
                    <w:snapToGrid/>
                    <w:rPr>
                      <w:rFonts w:hint="default" w:ascii="Times New Roman" w:hAnsi="Times New Roman" w:eastAsia="宋体"/>
                      <w:color w:val="auto"/>
                      <w:highlight w:val="none"/>
                      <w:lang w:val="en-US" w:eastAsia="zh-CN"/>
                    </w:rPr>
                  </w:pPr>
                  <w:r>
                    <w:rPr>
                      <w:rFonts w:ascii="Times New Roman" w:hAnsi="Times New Roman" w:eastAsia="宋体"/>
                      <w:color w:val="auto"/>
                      <w:highlight w:val="none"/>
                    </w:rPr>
                    <w:t>排放量kg</w:t>
                  </w:r>
                  <w:r>
                    <w:rPr>
                      <w:rFonts w:hint="eastAsia"/>
                      <w:color w:val="auto"/>
                      <w:highlight w:val="none"/>
                      <w:lang w:val="en-US" w:eastAsia="zh-CN"/>
                    </w:rPr>
                    <w:t>/h</w:t>
                  </w:r>
                </w:p>
              </w:tc>
              <w:tc>
                <w:tcPr>
                  <w:tcW w:w="448" w:type="pct"/>
                  <w:vMerge w:val="continue"/>
                  <w:vAlign w:val="center"/>
                </w:tcPr>
                <w:p w14:paraId="303DDBAC">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p>
              </w:tc>
              <w:tc>
                <w:tcPr>
                  <w:tcW w:w="645" w:type="pct"/>
                  <w:vMerge w:val="continue"/>
                  <w:vAlign w:val="center"/>
                </w:tcPr>
                <w:p w14:paraId="7FBF2005">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p>
              </w:tc>
              <w:tc>
                <w:tcPr>
                  <w:tcW w:w="1420" w:type="pct"/>
                  <w:vMerge w:val="continue"/>
                  <w:vAlign w:val="center"/>
                </w:tcPr>
                <w:p w14:paraId="1B77F6C0">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p>
              </w:tc>
            </w:tr>
            <w:tr w14:paraId="6866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Align w:val="center"/>
                </w:tcPr>
                <w:p w14:paraId="62573C5C">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r>
                    <w:rPr>
                      <w:rFonts w:ascii="Times New Roman" w:hAnsi="Times New Roman" w:eastAsia="宋体"/>
                      <w:color w:val="auto"/>
                      <w:highlight w:val="none"/>
                    </w:rPr>
                    <w:t>DA001</w:t>
                  </w:r>
                </w:p>
              </w:tc>
              <w:tc>
                <w:tcPr>
                  <w:tcW w:w="757" w:type="pct"/>
                  <w:vAlign w:val="center"/>
                </w:tcPr>
                <w:p w14:paraId="6A227978">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r>
                    <w:rPr>
                      <w:rFonts w:ascii="Times New Roman" w:hAnsi="Times New Roman" w:eastAsia="宋体"/>
                      <w:color w:val="auto"/>
                      <w:highlight w:val="none"/>
                    </w:rPr>
                    <w:t>颗粒物</w:t>
                  </w:r>
                </w:p>
              </w:tc>
              <w:tc>
                <w:tcPr>
                  <w:tcW w:w="1062" w:type="dxa"/>
                  <w:vAlign w:val="center"/>
                </w:tcPr>
                <w:p w14:paraId="389028E1">
                  <w:pPr>
                    <w:pStyle w:val="41"/>
                    <w:ind w:firstLine="0" w:firstLineChars="0"/>
                    <w:jc w:val="center"/>
                    <w:rPr>
                      <w:rFonts w:hint="default" w:ascii="Times New Roman" w:hAnsi="Times New Roman" w:eastAsia="宋体"/>
                      <w:color w:val="auto"/>
                      <w:highlight w:val="none"/>
                      <w:lang w:val="en-US" w:eastAsia="zh-CN"/>
                    </w:rPr>
                  </w:pPr>
                  <w:r>
                    <w:rPr>
                      <w:rFonts w:hint="eastAsia"/>
                      <w:color w:val="auto"/>
                      <w:sz w:val="21"/>
                      <w:szCs w:val="21"/>
                      <w:highlight w:val="none"/>
                      <w:lang w:val="en-US" w:eastAsia="zh-CN"/>
                    </w:rPr>
                    <w:t>287.4</w:t>
                  </w:r>
                </w:p>
              </w:tc>
              <w:tc>
                <w:tcPr>
                  <w:tcW w:w="1065" w:type="dxa"/>
                  <w:vAlign w:val="center"/>
                </w:tcPr>
                <w:p w14:paraId="1FC7EE43">
                  <w:pPr>
                    <w:pStyle w:val="41"/>
                    <w:ind w:firstLine="0" w:firstLineChars="0"/>
                    <w:jc w:val="center"/>
                    <w:rPr>
                      <w:rFonts w:hint="default" w:ascii="Times New Roman" w:hAnsi="Times New Roman" w:eastAsia="宋体"/>
                      <w:color w:val="auto"/>
                      <w:highlight w:val="none"/>
                      <w:lang w:val="en-US" w:eastAsia="zh-CN"/>
                    </w:rPr>
                  </w:pPr>
                  <w:r>
                    <w:rPr>
                      <w:rFonts w:hint="eastAsia"/>
                      <w:color w:val="auto"/>
                      <w:sz w:val="21"/>
                      <w:szCs w:val="21"/>
                      <w:highlight w:val="none"/>
                      <w:lang w:val="en-US" w:eastAsia="zh-CN"/>
                    </w:rPr>
                    <w:t>4.311</w:t>
                  </w:r>
                </w:p>
              </w:tc>
              <w:tc>
                <w:tcPr>
                  <w:tcW w:w="448" w:type="pct"/>
                  <w:vAlign w:val="center"/>
                </w:tcPr>
                <w:p w14:paraId="38A7E01F">
                  <w:pPr>
                    <w:keepNext w:val="0"/>
                    <w:keepLines w:val="0"/>
                    <w:pageBreakBefore w:val="0"/>
                    <w:kinsoku/>
                    <w:wordWrap/>
                    <w:overflowPunct/>
                    <w:topLinePunct w:val="0"/>
                    <w:bidi w:val="0"/>
                    <w:adjustRightInd/>
                    <w:snapToGrid/>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0.5</w:t>
                  </w:r>
                </w:p>
              </w:tc>
              <w:tc>
                <w:tcPr>
                  <w:tcW w:w="645" w:type="pct"/>
                  <w:vAlign w:val="center"/>
                </w:tcPr>
                <w:p w14:paraId="7E7794FD">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1次/年</w:t>
                  </w:r>
                </w:p>
              </w:tc>
              <w:tc>
                <w:tcPr>
                  <w:tcW w:w="1420" w:type="pct"/>
                  <w:vMerge w:val="restart"/>
                  <w:vAlign w:val="center"/>
                </w:tcPr>
                <w:p w14:paraId="6F68CAFA">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设立管理专员维护各项环保设施的运行，定期检修，</w:t>
                  </w:r>
                  <w:r>
                    <w:rPr>
                      <w:rFonts w:ascii="Times New Roman" w:hAnsi="Times New Roman" w:eastAsia="宋体" w:cs="Times New Roman"/>
                      <w:color w:val="auto"/>
                      <w:highlight w:val="none"/>
                      <w:lang w:eastAsia="zh-CN"/>
                    </w:rPr>
                    <w:t>定期进行设备维护，当工艺废气处理装置出现故障且不能短时间恢复时停止生产</w:t>
                  </w:r>
                </w:p>
              </w:tc>
            </w:tr>
            <w:tr w14:paraId="2AA3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Align w:val="center"/>
                </w:tcPr>
                <w:p w14:paraId="344F420C">
                  <w:pPr>
                    <w:pStyle w:val="41"/>
                    <w:keepNext w:val="0"/>
                    <w:keepLines w:val="0"/>
                    <w:pageBreakBefore w:val="0"/>
                    <w:kinsoku/>
                    <w:wordWrap/>
                    <w:overflowPunct/>
                    <w:topLinePunct w:val="0"/>
                    <w:bidi w:val="0"/>
                    <w:adjustRightInd/>
                    <w:snapToGrid/>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DA002</w:t>
                  </w:r>
                </w:p>
              </w:tc>
              <w:tc>
                <w:tcPr>
                  <w:tcW w:w="757" w:type="pct"/>
                  <w:vAlign w:val="center"/>
                </w:tcPr>
                <w:p w14:paraId="222B5F41">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r>
                    <w:rPr>
                      <w:rFonts w:ascii="Times New Roman" w:hAnsi="Times New Roman" w:eastAsia="宋体"/>
                      <w:color w:val="auto"/>
                      <w:highlight w:val="none"/>
                    </w:rPr>
                    <w:t>颗粒物</w:t>
                  </w:r>
                </w:p>
              </w:tc>
              <w:tc>
                <w:tcPr>
                  <w:tcW w:w="1062" w:type="dxa"/>
                  <w:vAlign w:val="center"/>
                </w:tcPr>
                <w:p w14:paraId="307EFF6F">
                  <w:pPr>
                    <w:pStyle w:val="41"/>
                    <w:ind w:firstLine="0" w:firstLineChars="0"/>
                    <w:jc w:val="center"/>
                    <w:rPr>
                      <w:rFonts w:hint="default" w:ascii="Times New Roman" w:hAnsi="Times New Roman" w:eastAsia="宋体"/>
                      <w:color w:val="auto"/>
                      <w:highlight w:val="none"/>
                      <w:lang w:val="en-US" w:eastAsia="zh-CN"/>
                    </w:rPr>
                  </w:pPr>
                  <w:r>
                    <w:rPr>
                      <w:rFonts w:hint="eastAsia"/>
                      <w:color w:val="auto"/>
                      <w:sz w:val="21"/>
                      <w:szCs w:val="21"/>
                      <w:highlight w:val="none"/>
                      <w:lang w:val="en-US" w:eastAsia="zh-CN"/>
                    </w:rPr>
                    <w:t>109.42</w:t>
                  </w:r>
                </w:p>
              </w:tc>
              <w:tc>
                <w:tcPr>
                  <w:tcW w:w="1065" w:type="dxa"/>
                  <w:vAlign w:val="center"/>
                </w:tcPr>
                <w:p w14:paraId="646B238C">
                  <w:pPr>
                    <w:pStyle w:val="41"/>
                    <w:ind w:firstLine="0" w:firstLineChars="0"/>
                    <w:jc w:val="center"/>
                    <w:rPr>
                      <w:rFonts w:hint="default" w:ascii="Times New Roman" w:hAnsi="Times New Roman" w:eastAsia="宋体"/>
                      <w:color w:val="auto"/>
                      <w:highlight w:val="none"/>
                      <w:lang w:val="en-US" w:eastAsia="zh-CN"/>
                    </w:rPr>
                  </w:pPr>
                  <w:r>
                    <w:rPr>
                      <w:rFonts w:hint="eastAsia"/>
                      <w:color w:val="auto"/>
                      <w:sz w:val="21"/>
                      <w:szCs w:val="21"/>
                      <w:highlight w:val="none"/>
                      <w:lang w:val="en-US" w:eastAsia="zh-CN"/>
                    </w:rPr>
                    <w:t>0.383</w:t>
                  </w:r>
                </w:p>
              </w:tc>
              <w:tc>
                <w:tcPr>
                  <w:tcW w:w="448" w:type="pct"/>
                  <w:vAlign w:val="center"/>
                </w:tcPr>
                <w:p w14:paraId="78886DE8">
                  <w:pPr>
                    <w:keepNext w:val="0"/>
                    <w:keepLines w:val="0"/>
                    <w:pageBreakBefore w:val="0"/>
                    <w:kinsoku/>
                    <w:wordWrap/>
                    <w:overflowPunct/>
                    <w:topLinePunct w:val="0"/>
                    <w:bidi w:val="0"/>
                    <w:adjustRightInd/>
                    <w:snapToGrid/>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0.5</w:t>
                  </w:r>
                </w:p>
              </w:tc>
              <w:tc>
                <w:tcPr>
                  <w:tcW w:w="645" w:type="pct"/>
                  <w:vAlign w:val="center"/>
                </w:tcPr>
                <w:p w14:paraId="396DEB43">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1次/年</w:t>
                  </w:r>
                </w:p>
              </w:tc>
              <w:tc>
                <w:tcPr>
                  <w:tcW w:w="1420" w:type="pct"/>
                  <w:vMerge w:val="continue"/>
                  <w:vAlign w:val="center"/>
                </w:tcPr>
                <w:p w14:paraId="4CE5838F">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lang w:eastAsia="zh-CN"/>
                    </w:rPr>
                  </w:pPr>
                </w:p>
              </w:tc>
            </w:tr>
            <w:tr w14:paraId="36A6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Align w:val="center"/>
                </w:tcPr>
                <w:p w14:paraId="721AFECF">
                  <w:pPr>
                    <w:pStyle w:val="41"/>
                    <w:keepNext w:val="0"/>
                    <w:keepLines w:val="0"/>
                    <w:pageBreakBefore w:val="0"/>
                    <w:kinsoku/>
                    <w:wordWrap/>
                    <w:overflowPunct/>
                    <w:topLinePunct w:val="0"/>
                    <w:bidi w:val="0"/>
                    <w:adjustRightInd/>
                    <w:snapToGrid/>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DA003</w:t>
                  </w:r>
                </w:p>
              </w:tc>
              <w:tc>
                <w:tcPr>
                  <w:tcW w:w="757" w:type="pct"/>
                  <w:vAlign w:val="center"/>
                </w:tcPr>
                <w:p w14:paraId="17E1FB7E">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rPr>
                  </w:pPr>
                  <w:r>
                    <w:rPr>
                      <w:rFonts w:ascii="Times New Roman" w:hAnsi="Times New Roman" w:eastAsia="宋体"/>
                      <w:color w:val="auto"/>
                      <w:highlight w:val="none"/>
                    </w:rPr>
                    <w:t>颗粒物</w:t>
                  </w:r>
                </w:p>
              </w:tc>
              <w:tc>
                <w:tcPr>
                  <w:tcW w:w="1062" w:type="dxa"/>
                  <w:vAlign w:val="center"/>
                </w:tcPr>
                <w:p w14:paraId="1075F960">
                  <w:pPr>
                    <w:pStyle w:val="41"/>
                    <w:ind w:firstLine="0" w:firstLineChars="0"/>
                    <w:jc w:val="center"/>
                    <w:rPr>
                      <w:rFonts w:hint="default" w:ascii="Times New Roman" w:hAnsi="Times New Roman" w:eastAsia="宋体"/>
                      <w:color w:val="auto"/>
                      <w:highlight w:val="none"/>
                      <w:lang w:val="en-US" w:eastAsia="zh-CN"/>
                    </w:rPr>
                  </w:pPr>
                  <w:r>
                    <w:rPr>
                      <w:rFonts w:hint="eastAsia"/>
                      <w:color w:val="auto"/>
                      <w:sz w:val="21"/>
                      <w:szCs w:val="21"/>
                      <w:highlight w:val="none"/>
                      <w:lang w:val="en-US" w:eastAsia="zh-CN"/>
                    </w:rPr>
                    <w:t>1633.33</w:t>
                  </w:r>
                </w:p>
              </w:tc>
              <w:tc>
                <w:tcPr>
                  <w:tcW w:w="1065" w:type="dxa"/>
                  <w:vAlign w:val="center"/>
                </w:tcPr>
                <w:p w14:paraId="29C8F479">
                  <w:pPr>
                    <w:pStyle w:val="41"/>
                    <w:ind w:firstLine="0" w:firstLineChars="0"/>
                    <w:jc w:val="center"/>
                    <w:rPr>
                      <w:rFonts w:hint="default" w:ascii="Times New Roman" w:hAnsi="Times New Roman" w:eastAsia="宋体"/>
                      <w:color w:val="auto"/>
                      <w:highlight w:val="none"/>
                      <w:lang w:val="en-US" w:eastAsia="zh-CN"/>
                    </w:rPr>
                  </w:pPr>
                  <w:r>
                    <w:rPr>
                      <w:rFonts w:hint="eastAsia"/>
                      <w:color w:val="auto"/>
                      <w:sz w:val="21"/>
                      <w:szCs w:val="21"/>
                      <w:highlight w:val="none"/>
                      <w:lang w:val="en-US" w:eastAsia="zh-CN"/>
                    </w:rPr>
                    <w:t>24.5</w:t>
                  </w:r>
                </w:p>
              </w:tc>
              <w:tc>
                <w:tcPr>
                  <w:tcW w:w="448" w:type="pct"/>
                  <w:vAlign w:val="center"/>
                </w:tcPr>
                <w:p w14:paraId="3D69364E">
                  <w:pPr>
                    <w:keepNext w:val="0"/>
                    <w:keepLines w:val="0"/>
                    <w:pageBreakBefore w:val="0"/>
                    <w:kinsoku/>
                    <w:wordWrap/>
                    <w:overflowPunct/>
                    <w:topLinePunct w:val="0"/>
                    <w:bidi w:val="0"/>
                    <w:adjustRightInd/>
                    <w:snapToGrid/>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0.5</w:t>
                  </w:r>
                </w:p>
              </w:tc>
              <w:tc>
                <w:tcPr>
                  <w:tcW w:w="645" w:type="pct"/>
                  <w:vAlign w:val="center"/>
                </w:tcPr>
                <w:p w14:paraId="45DF1F48">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1次/年</w:t>
                  </w:r>
                </w:p>
              </w:tc>
              <w:tc>
                <w:tcPr>
                  <w:tcW w:w="1420" w:type="pct"/>
                  <w:vMerge w:val="continue"/>
                  <w:vAlign w:val="center"/>
                </w:tcPr>
                <w:p w14:paraId="611B7DDC">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lang w:eastAsia="zh-CN"/>
                    </w:rPr>
                  </w:pPr>
                </w:p>
              </w:tc>
            </w:tr>
            <w:tr w14:paraId="6C93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Align w:val="center"/>
                </w:tcPr>
                <w:p w14:paraId="0E8EEECA">
                  <w:pPr>
                    <w:pStyle w:val="41"/>
                    <w:keepNext w:val="0"/>
                    <w:keepLines w:val="0"/>
                    <w:pageBreakBefore w:val="0"/>
                    <w:kinsoku/>
                    <w:wordWrap/>
                    <w:overflowPunct/>
                    <w:topLinePunct w:val="0"/>
                    <w:bidi w:val="0"/>
                    <w:adjustRightInd/>
                    <w:snapToGrid/>
                    <w:rPr>
                      <w:rFonts w:hint="eastAsia" w:ascii="Times New Roman" w:hAnsi="Times New Roman" w:eastAsia="宋体"/>
                      <w:color w:val="auto"/>
                      <w:highlight w:val="none"/>
                      <w:lang w:val="en-US" w:eastAsia="zh-CN"/>
                    </w:rPr>
                  </w:pPr>
                  <w:r>
                    <w:rPr>
                      <w:rFonts w:ascii="Times New Roman" w:hAnsi="Times New Roman" w:eastAsia="宋体"/>
                      <w:color w:val="auto"/>
                      <w:highlight w:val="none"/>
                      <w:lang w:eastAsia="zh-CN"/>
                    </w:rPr>
                    <w:t>DA00</w:t>
                  </w:r>
                  <w:r>
                    <w:rPr>
                      <w:rFonts w:hint="eastAsia" w:ascii="Times New Roman" w:hAnsi="Times New Roman" w:eastAsia="宋体"/>
                      <w:color w:val="auto"/>
                      <w:highlight w:val="none"/>
                      <w:lang w:val="en-US" w:eastAsia="zh-CN"/>
                    </w:rPr>
                    <w:t>4</w:t>
                  </w:r>
                </w:p>
              </w:tc>
              <w:tc>
                <w:tcPr>
                  <w:tcW w:w="757" w:type="pct"/>
                  <w:vAlign w:val="center"/>
                </w:tcPr>
                <w:p w14:paraId="60E65D59">
                  <w:pPr>
                    <w:pStyle w:val="41"/>
                    <w:keepNext w:val="0"/>
                    <w:keepLines w:val="0"/>
                    <w:pageBreakBefore w:val="0"/>
                    <w:kinsoku/>
                    <w:wordWrap/>
                    <w:overflowPunct/>
                    <w:topLinePunct w:val="0"/>
                    <w:bidi w:val="0"/>
                    <w:adjustRightInd/>
                    <w:snapToGrid/>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非甲烷总烃</w:t>
                  </w:r>
                </w:p>
              </w:tc>
              <w:tc>
                <w:tcPr>
                  <w:tcW w:w="1062" w:type="dxa"/>
                  <w:vAlign w:val="center"/>
                </w:tcPr>
                <w:p w14:paraId="2F937C4F">
                  <w:pPr>
                    <w:pStyle w:val="41"/>
                    <w:ind w:firstLine="0" w:firstLineChars="0"/>
                    <w:jc w:val="center"/>
                    <w:rPr>
                      <w:rFonts w:hint="default" w:ascii="Times New Roman" w:hAnsi="Times New Roman" w:eastAsia="宋体"/>
                      <w:color w:val="auto"/>
                      <w:highlight w:val="none"/>
                      <w:lang w:val="en-US" w:eastAsia="zh-CN"/>
                    </w:rPr>
                  </w:pPr>
                  <w:r>
                    <w:rPr>
                      <w:rFonts w:hint="eastAsia"/>
                      <w:color w:val="auto"/>
                      <w:sz w:val="21"/>
                      <w:szCs w:val="21"/>
                      <w:highlight w:val="none"/>
                      <w:lang w:val="en-US" w:eastAsia="zh-CN"/>
                    </w:rPr>
                    <w:t>133.13</w:t>
                  </w:r>
                </w:p>
              </w:tc>
              <w:tc>
                <w:tcPr>
                  <w:tcW w:w="1065" w:type="dxa"/>
                  <w:vAlign w:val="center"/>
                </w:tcPr>
                <w:p w14:paraId="4416C945">
                  <w:pPr>
                    <w:pStyle w:val="41"/>
                    <w:ind w:firstLine="0" w:firstLineChars="0"/>
                    <w:jc w:val="center"/>
                    <w:rPr>
                      <w:rFonts w:hint="default" w:ascii="Times New Roman" w:hAnsi="Times New Roman" w:eastAsia="宋体"/>
                      <w:color w:val="auto"/>
                      <w:highlight w:val="none"/>
                      <w:lang w:val="en-US" w:eastAsia="zh-CN"/>
                    </w:rPr>
                  </w:pPr>
                  <w:r>
                    <w:rPr>
                      <w:rFonts w:hint="eastAsia"/>
                      <w:color w:val="auto"/>
                      <w:highlight w:val="none"/>
                      <w:lang w:val="en-US" w:eastAsia="zh-CN"/>
                    </w:rPr>
                    <w:t>0.197</w:t>
                  </w:r>
                </w:p>
              </w:tc>
              <w:tc>
                <w:tcPr>
                  <w:tcW w:w="448" w:type="pct"/>
                  <w:vAlign w:val="center"/>
                </w:tcPr>
                <w:p w14:paraId="3BC724AD">
                  <w:pPr>
                    <w:keepNext w:val="0"/>
                    <w:keepLines w:val="0"/>
                    <w:pageBreakBefore w:val="0"/>
                    <w:kinsoku/>
                    <w:wordWrap/>
                    <w:overflowPunct/>
                    <w:topLinePunct w:val="0"/>
                    <w:bidi w:val="0"/>
                    <w:adjustRightInd/>
                    <w:snapToGrid/>
                    <w:jc w:val="center"/>
                    <w:textAlignment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0.5</w:t>
                  </w:r>
                </w:p>
              </w:tc>
              <w:tc>
                <w:tcPr>
                  <w:tcW w:w="645" w:type="pct"/>
                  <w:vAlign w:val="center"/>
                </w:tcPr>
                <w:p w14:paraId="5B146F3F">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1次/年</w:t>
                  </w:r>
                </w:p>
              </w:tc>
              <w:tc>
                <w:tcPr>
                  <w:tcW w:w="1420" w:type="pct"/>
                  <w:vMerge w:val="continue"/>
                  <w:vAlign w:val="center"/>
                </w:tcPr>
                <w:p w14:paraId="07C419FB">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lang w:eastAsia="zh-CN"/>
                    </w:rPr>
                  </w:pPr>
                </w:p>
              </w:tc>
            </w:tr>
            <w:tr w14:paraId="6012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restart"/>
                  <w:vAlign w:val="center"/>
                </w:tcPr>
                <w:p w14:paraId="257BE7AF">
                  <w:pPr>
                    <w:pStyle w:val="41"/>
                    <w:keepNext w:val="0"/>
                    <w:keepLines w:val="0"/>
                    <w:pageBreakBefore w:val="0"/>
                    <w:kinsoku/>
                    <w:wordWrap/>
                    <w:overflowPunct/>
                    <w:topLinePunct w:val="0"/>
                    <w:bidi w:val="0"/>
                    <w:adjustRightInd/>
                    <w:snapToGrid/>
                    <w:rPr>
                      <w:rFonts w:hint="default" w:ascii="Times New Roman" w:hAnsi="Times New Roman" w:eastAsia="宋体"/>
                      <w:color w:val="auto"/>
                      <w:highlight w:val="none"/>
                      <w:lang w:val="en-US" w:eastAsia="zh-CN"/>
                    </w:rPr>
                  </w:pPr>
                  <w:r>
                    <w:rPr>
                      <w:rFonts w:ascii="Times New Roman" w:hAnsi="Times New Roman" w:eastAsia="宋体"/>
                      <w:color w:val="auto"/>
                      <w:highlight w:val="none"/>
                      <w:lang w:eastAsia="zh-CN"/>
                    </w:rPr>
                    <w:t>DA00</w:t>
                  </w:r>
                  <w:r>
                    <w:rPr>
                      <w:rFonts w:hint="eastAsia" w:ascii="Times New Roman" w:hAnsi="Times New Roman" w:eastAsia="宋体"/>
                      <w:color w:val="auto"/>
                      <w:highlight w:val="none"/>
                      <w:lang w:val="en-US" w:eastAsia="zh-CN"/>
                    </w:rPr>
                    <w:t>5</w:t>
                  </w:r>
                </w:p>
              </w:tc>
              <w:tc>
                <w:tcPr>
                  <w:tcW w:w="757" w:type="pct"/>
                  <w:vAlign w:val="center"/>
                </w:tcPr>
                <w:p w14:paraId="14F9FF25">
                  <w:pPr>
                    <w:pStyle w:val="41"/>
                    <w:keepNext w:val="0"/>
                    <w:keepLines w:val="0"/>
                    <w:pageBreakBefore w:val="0"/>
                    <w:kinsoku/>
                    <w:wordWrap/>
                    <w:overflowPunct/>
                    <w:topLinePunct w:val="0"/>
                    <w:bidi w:val="0"/>
                    <w:adjustRightInd/>
                    <w:snapToGrid/>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非甲烷总烃</w:t>
                  </w:r>
                </w:p>
              </w:tc>
              <w:tc>
                <w:tcPr>
                  <w:tcW w:w="1062" w:type="dxa"/>
                  <w:vAlign w:val="center"/>
                </w:tcPr>
                <w:p w14:paraId="4A05FC20">
                  <w:pPr>
                    <w:pStyle w:val="41"/>
                    <w:ind w:firstLine="0" w:firstLineChars="0"/>
                    <w:jc w:val="center"/>
                    <w:rPr>
                      <w:rFonts w:hint="eastAsia" w:ascii="Times New Roman" w:hAnsi="Times New Roman" w:eastAsia="宋体"/>
                      <w:color w:val="auto"/>
                      <w:highlight w:val="none"/>
                      <w:lang w:val="en-US" w:eastAsia="zh-CN"/>
                    </w:rPr>
                  </w:pPr>
                  <w:r>
                    <w:rPr>
                      <w:rFonts w:hint="eastAsia"/>
                      <w:color w:val="auto"/>
                      <w:sz w:val="21"/>
                      <w:szCs w:val="21"/>
                      <w:highlight w:val="none"/>
                      <w:lang w:val="en-US" w:eastAsia="zh-CN"/>
                    </w:rPr>
                    <w:t>50.68</w:t>
                  </w:r>
                </w:p>
              </w:tc>
              <w:tc>
                <w:tcPr>
                  <w:tcW w:w="1065" w:type="dxa"/>
                  <w:vAlign w:val="center"/>
                </w:tcPr>
                <w:p w14:paraId="2481C690">
                  <w:pPr>
                    <w:pStyle w:val="41"/>
                    <w:ind w:firstLine="0" w:firstLineChars="0"/>
                    <w:jc w:val="center"/>
                    <w:rPr>
                      <w:rFonts w:hint="eastAsia" w:ascii="Times New Roman" w:hAnsi="Times New Roman" w:eastAsia="宋体"/>
                      <w:color w:val="auto"/>
                      <w:highlight w:val="none"/>
                      <w:lang w:val="en-US" w:eastAsia="zh-CN"/>
                    </w:rPr>
                  </w:pPr>
                  <w:r>
                    <w:rPr>
                      <w:rFonts w:hint="eastAsia"/>
                      <w:color w:val="auto"/>
                      <w:sz w:val="21"/>
                      <w:szCs w:val="21"/>
                      <w:highlight w:val="none"/>
                      <w:lang w:val="en-US" w:eastAsia="zh-CN"/>
                    </w:rPr>
                    <w:t>1.267</w:t>
                  </w:r>
                </w:p>
              </w:tc>
              <w:tc>
                <w:tcPr>
                  <w:tcW w:w="448" w:type="pct"/>
                  <w:vAlign w:val="center"/>
                </w:tcPr>
                <w:p w14:paraId="786494F5">
                  <w:pPr>
                    <w:keepNext w:val="0"/>
                    <w:keepLines w:val="0"/>
                    <w:pageBreakBefore w:val="0"/>
                    <w:kinsoku/>
                    <w:wordWrap/>
                    <w:overflowPunct/>
                    <w:topLinePunct w:val="0"/>
                    <w:bidi w:val="0"/>
                    <w:adjustRightInd/>
                    <w:snapToGrid/>
                    <w:jc w:val="center"/>
                    <w:textAlignment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0.5</w:t>
                  </w:r>
                </w:p>
              </w:tc>
              <w:tc>
                <w:tcPr>
                  <w:tcW w:w="645" w:type="pct"/>
                  <w:vAlign w:val="center"/>
                </w:tcPr>
                <w:p w14:paraId="4CC7C09A">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1次/年</w:t>
                  </w:r>
                </w:p>
              </w:tc>
              <w:tc>
                <w:tcPr>
                  <w:tcW w:w="1420" w:type="pct"/>
                  <w:vMerge w:val="continue"/>
                  <w:vAlign w:val="center"/>
                </w:tcPr>
                <w:p w14:paraId="641EE6CE">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lang w:eastAsia="zh-CN"/>
                    </w:rPr>
                  </w:pPr>
                </w:p>
              </w:tc>
            </w:tr>
            <w:tr w14:paraId="01C7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14:paraId="053DC56C">
                  <w:pPr>
                    <w:pStyle w:val="41"/>
                    <w:keepNext w:val="0"/>
                    <w:keepLines w:val="0"/>
                    <w:pageBreakBefore w:val="0"/>
                    <w:kinsoku/>
                    <w:wordWrap/>
                    <w:overflowPunct/>
                    <w:topLinePunct w:val="0"/>
                    <w:bidi w:val="0"/>
                    <w:adjustRightInd/>
                    <w:snapToGrid/>
                    <w:rPr>
                      <w:rFonts w:ascii="Times New Roman" w:hAnsi="Times New Roman" w:eastAsia="宋体"/>
                      <w:color w:val="auto"/>
                      <w:highlight w:val="none"/>
                      <w:lang w:eastAsia="zh-CN"/>
                    </w:rPr>
                  </w:pPr>
                </w:p>
              </w:tc>
              <w:tc>
                <w:tcPr>
                  <w:tcW w:w="757" w:type="pct"/>
                  <w:vAlign w:val="center"/>
                </w:tcPr>
                <w:p w14:paraId="7605D0EC">
                  <w:pPr>
                    <w:pStyle w:val="41"/>
                    <w:keepNext w:val="0"/>
                    <w:keepLines w:val="0"/>
                    <w:pageBreakBefore w:val="0"/>
                    <w:kinsoku/>
                    <w:wordWrap/>
                    <w:overflowPunct/>
                    <w:topLinePunct w:val="0"/>
                    <w:bidi w:val="0"/>
                    <w:adjustRightInd/>
                    <w:snapToGrid/>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颗粒物</w:t>
                  </w:r>
                </w:p>
              </w:tc>
              <w:tc>
                <w:tcPr>
                  <w:tcW w:w="1062" w:type="dxa"/>
                  <w:vAlign w:val="center"/>
                </w:tcPr>
                <w:p w14:paraId="2B7C2FA9">
                  <w:pPr>
                    <w:pStyle w:val="41"/>
                    <w:ind w:firstLine="0" w:firstLineChars="0"/>
                    <w:jc w:val="center"/>
                    <w:rPr>
                      <w:rFonts w:hint="eastAsia" w:ascii="Times New Roman" w:hAnsi="Times New Roman" w:eastAsia="宋体"/>
                      <w:color w:val="auto"/>
                      <w:highlight w:val="none"/>
                      <w:lang w:val="en-US" w:eastAsia="zh-CN"/>
                    </w:rPr>
                  </w:pPr>
                  <w:r>
                    <w:rPr>
                      <w:rFonts w:hint="eastAsia"/>
                      <w:color w:val="auto"/>
                      <w:sz w:val="21"/>
                      <w:szCs w:val="21"/>
                      <w:highlight w:val="none"/>
                      <w:lang w:val="en-US" w:eastAsia="zh-CN"/>
                    </w:rPr>
                    <w:t>400.8</w:t>
                  </w:r>
                </w:p>
              </w:tc>
              <w:tc>
                <w:tcPr>
                  <w:tcW w:w="1065" w:type="dxa"/>
                  <w:vAlign w:val="center"/>
                </w:tcPr>
                <w:p w14:paraId="3D590CA6">
                  <w:pPr>
                    <w:pStyle w:val="41"/>
                    <w:ind w:firstLine="0" w:firstLineChars="0"/>
                    <w:jc w:val="center"/>
                    <w:rPr>
                      <w:rFonts w:hint="eastAsia" w:ascii="Times New Roman" w:hAnsi="Times New Roman" w:eastAsia="宋体"/>
                      <w:color w:val="auto"/>
                      <w:highlight w:val="none"/>
                      <w:lang w:val="en-US" w:eastAsia="zh-CN"/>
                    </w:rPr>
                  </w:pPr>
                  <w:r>
                    <w:rPr>
                      <w:rFonts w:hint="eastAsia"/>
                      <w:color w:val="auto"/>
                      <w:sz w:val="21"/>
                      <w:szCs w:val="21"/>
                      <w:highlight w:val="none"/>
                      <w:lang w:val="en-US" w:eastAsia="zh-CN"/>
                    </w:rPr>
                    <w:t>10.02</w:t>
                  </w:r>
                </w:p>
              </w:tc>
              <w:tc>
                <w:tcPr>
                  <w:tcW w:w="448" w:type="pct"/>
                  <w:vAlign w:val="center"/>
                </w:tcPr>
                <w:p w14:paraId="4CCAAD00">
                  <w:pPr>
                    <w:keepNext w:val="0"/>
                    <w:keepLines w:val="0"/>
                    <w:pageBreakBefore w:val="0"/>
                    <w:kinsoku/>
                    <w:wordWrap/>
                    <w:overflowPunct/>
                    <w:topLinePunct w:val="0"/>
                    <w:bidi w:val="0"/>
                    <w:adjustRightInd/>
                    <w:snapToGrid/>
                    <w:jc w:val="center"/>
                    <w:textAlignment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0.5</w:t>
                  </w:r>
                </w:p>
              </w:tc>
              <w:tc>
                <w:tcPr>
                  <w:tcW w:w="645" w:type="pct"/>
                  <w:vAlign w:val="center"/>
                </w:tcPr>
                <w:p w14:paraId="6FC69AB9">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1次/年</w:t>
                  </w:r>
                </w:p>
              </w:tc>
              <w:tc>
                <w:tcPr>
                  <w:tcW w:w="1420" w:type="pct"/>
                  <w:vMerge w:val="continue"/>
                  <w:vAlign w:val="center"/>
                </w:tcPr>
                <w:p w14:paraId="1C86B5B5">
                  <w:pPr>
                    <w:keepNext w:val="0"/>
                    <w:keepLines w:val="0"/>
                    <w:pageBreakBefore w:val="0"/>
                    <w:kinsoku/>
                    <w:wordWrap/>
                    <w:overflowPunct/>
                    <w:topLinePunct w:val="0"/>
                    <w:bidi w:val="0"/>
                    <w:adjustRightInd/>
                    <w:snapToGrid/>
                    <w:jc w:val="center"/>
                    <w:textAlignment w:val="center"/>
                    <w:rPr>
                      <w:rFonts w:ascii="Times New Roman" w:hAnsi="Times New Roman" w:eastAsia="宋体" w:cs="Times New Roman"/>
                      <w:color w:val="auto"/>
                      <w:highlight w:val="none"/>
                      <w:lang w:eastAsia="zh-CN"/>
                    </w:rPr>
                  </w:pPr>
                </w:p>
              </w:tc>
            </w:tr>
          </w:tbl>
          <w:p w14:paraId="1D6C4656">
            <w:pPr>
              <w:keepNext w:val="0"/>
              <w:keepLines w:val="0"/>
              <w:pageBreakBefore w:val="0"/>
              <w:widowControl/>
              <w:kinsoku/>
              <w:wordWrap/>
              <w:overflowPunct/>
              <w:topLinePunct w:val="0"/>
              <w:autoSpaceDE w:val="0"/>
              <w:autoSpaceDN w:val="0"/>
              <w:bidi w:val="0"/>
              <w:adjustRightInd/>
              <w:snapToGrid/>
              <w:spacing w:line="360" w:lineRule="auto"/>
              <w:ind w:left="105" w:leftChars="50" w:right="105" w:rightChars="50"/>
              <w:jc w:val="left"/>
              <w:textAlignment w:val="baseline"/>
              <w:rPr>
                <w:rFonts w:ascii="Times New Roman" w:hAnsi="Times New Roman" w:eastAsia="宋体" w:cs="Times New Roman"/>
                <w:b/>
                <w:snapToGrid w:val="0"/>
                <w:color w:val="auto"/>
                <w:kern w:val="0"/>
                <w:sz w:val="24"/>
                <w:szCs w:val="21"/>
                <w:highlight w:val="none"/>
                <w:lang w:eastAsia="zh-CN"/>
              </w:rPr>
            </w:pPr>
            <w:r>
              <w:rPr>
                <w:rFonts w:ascii="Times New Roman" w:hAnsi="Times New Roman" w:eastAsia="宋体" w:cs="Times New Roman"/>
                <w:b/>
                <w:snapToGrid w:val="0"/>
                <w:color w:val="auto"/>
                <w:kern w:val="0"/>
                <w:sz w:val="24"/>
                <w:szCs w:val="21"/>
                <w:highlight w:val="none"/>
                <w:lang w:eastAsia="zh-CN"/>
              </w:rPr>
              <w:t>二、水污染</w:t>
            </w:r>
          </w:p>
          <w:p w14:paraId="6110E2CD">
            <w:pPr>
              <w:keepNext w:val="0"/>
              <w:keepLines w:val="0"/>
              <w:pageBreakBefore w:val="0"/>
              <w:widowControl/>
              <w:kinsoku/>
              <w:wordWrap/>
              <w:overflowPunct/>
              <w:topLinePunct w:val="0"/>
              <w:autoSpaceDE w:val="0"/>
              <w:autoSpaceDN w:val="0"/>
              <w:bidi w:val="0"/>
              <w:adjustRightInd/>
              <w:snapToGrid/>
              <w:spacing w:line="360" w:lineRule="auto"/>
              <w:ind w:left="105" w:leftChars="50" w:right="105" w:rightChars="50" w:firstLine="482" w:firstLineChars="200"/>
              <w:jc w:val="both"/>
              <w:textAlignment w:val="baseline"/>
              <w:rPr>
                <w:rFonts w:ascii="Times New Roman" w:hAnsi="Times New Roman" w:eastAsia="宋体" w:cs="Times New Roman"/>
                <w:b/>
                <w:snapToGrid w:val="0"/>
                <w:color w:val="auto"/>
                <w:kern w:val="0"/>
                <w:sz w:val="24"/>
                <w:szCs w:val="21"/>
                <w:highlight w:val="none"/>
                <w:lang w:eastAsia="zh-CN"/>
              </w:rPr>
            </w:pPr>
            <w:r>
              <w:rPr>
                <w:rFonts w:ascii="Times New Roman" w:hAnsi="Times New Roman" w:eastAsia="宋体" w:cs="Times New Roman"/>
                <w:b/>
                <w:snapToGrid w:val="0"/>
                <w:color w:val="auto"/>
                <w:kern w:val="0"/>
                <w:sz w:val="24"/>
                <w:szCs w:val="21"/>
                <w:highlight w:val="none"/>
                <w:lang w:eastAsia="zh-CN"/>
              </w:rPr>
              <w:t>1、废水污染源强</w:t>
            </w:r>
          </w:p>
          <w:p w14:paraId="184A5FEF">
            <w:pPr>
              <w:pStyle w:val="48"/>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w:t>
            </w:r>
            <w:r>
              <w:rPr>
                <w:rFonts w:ascii="Times New Roman" w:hAnsi="Times New Roman" w:eastAsia="宋体" w:cs="Times New Roman"/>
                <w:color w:val="auto"/>
                <w:kern w:val="2"/>
                <w:sz w:val="24"/>
                <w:szCs w:val="24"/>
                <w:highlight w:val="none"/>
                <w:lang w:val="en-US" w:eastAsia="zh-CN" w:bidi="ar-SA"/>
              </w:rPr>
              <w:t>生活用水：项目劳动定员人数</w:t>
            </w:r>
            <w:r>
              <w:rPr>
                <w:rFonts w:hint="eastAsia" w:ascii="Times New Roman" w:hAnsi="Times New Roman" w:eastAsia="宋体" w:cs="Times New Roman"/>
                <w:color w:val="auto"/>
                <w:kern w:val="2"/>
                <w:sz w:val="24"/>
                <w:szCs w:val="24"/>
                <w:highlight w:val="none"/>
                <w:lang w:val="en-US" w:eastAsia="zh-CN" w:bidi="ar-SA"/>
              </w:rPr>
              <w:t>120</w:t>
            </w:r>
            <w:r>
              <w:rPr>
                <w:rFonts w:ascii="Times New Roman" w:hAnsi="Times New Roman" w:eastAsia="宋体" w:cs="Times New Roman"/>
                <w:color w:val="auto"/>
                <w:kern w:val="2"/>
                <w:sz w:val="24"/>
                <w:szCs w:val="24"/>
                <w:highlight w:val="none"/>
                <w:lang w:val="en-US" w:eastAsia="zh-CN" w:bidi="ar-SA"/>
              </w:rPr>
              <w:t>人，</w:t>
            </w:r>
            <w:r>
              <w:rPr>
                <w:rFonts w:hint="eastAsia" w:cs="Times New Roman"/>
                <w:color w:val="auto"/>
                <w:kern w:val="2"/>
                <w:sz w:val="24"/>
                <w:szCs w:val="24"/>
                <w:highlight w:val="none"/>
                <w:lang w:val="en-US" w:eastAsia="zh-CN" w:bidi="ar-SA"/>
              </w:rPr>
              <w:t>不提供食宿，</w:t>
            </w:r>
            <w:r>
              <w:rPr>
                <w:rFonts w:hint="eastAsia" w:ascii="Times New Roman" w:hAnsi="Times New Roman" w:eastAsia="宋体" w:cs="Times New Roman"/>
                <w:color w:val="auto"/>
                <w:kern w:val="2"/>
                <w:sz w:val="24"/>
                <w:szCs w:val="24"/>
                <w:highlight w:val="none"/>
                <w:lang w:val="en-US" w:eastAsia="zh-CN" w:bidi="ar-SA"/>
              </w:rPr>
              <w:t>根据</w:t>
            </w:r>
            <w:r>
              <w:rPr>
                <w:rFonts w:ascii="Times New Roman" w:hAnsi="Times New Roman" w:eastAsia="宋体" w:cs="Times New Roman"/>
                <w:color w:val="auto"/>
                <w:kern w:val="2"/>
                <w:sz w:val="24"/>
                <w:szCs w:val="24"/>
                <w:highlight w:val="none"/>
                <w:lang w:val="en-US" w:eastAsia="zh-CN" w:bidi="ar-SA"/>
              </w:rPr>
              <w:t>《安徽省行业用水定额》（DB34/T</w:t>
            </w:r>
            <w:r>
              <w:rPr>
                <w:rFonts w:hint="eastAsia" w:ascii="Times New Roman" w:hAnsi="Times New Roman" w:eastAsia="宋体" w:cs="Times New Roman"/>
                <w:color w:val="auto"/>
                <w:kern w:val="2"/>
                <w:sz w:val="24"/>
                <w:szCs w:val="24"/>
                <w:highlight w:val="none"/>
                <w:lang w:val="en-US" w:eastAsia="zh-CN" w:bidi="ar-SA"/>
              </w:rPr>
              <w:t xml:space="preserve"> 679-20</w:t>
            </w:r>
            <w:r>
              <w:rPr>
                <w:rFonts w:hint="eastAsia" w:cs="Times New Roman"/>
                <w:color w:val="auto"/>
                <w:kern w:val="2"/>
                <w:sz w:val="24"/>
                <w:szCs w:val="24"/>
                <w:highlight w:val="none"/>
                <w:lang w:val="en-US" w:eastAsia="zh-CN" w:bidi="ar-SA"/>
              </w:rPr>
              <w:t>25</w:t>
            </w:r>
            <w:r>
              <w:rPr>
                <w:rFonts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，本项目人均用水量按</w:t>
            </w:r>
            <w:r>
              <w:rPr>
                <w:rFonts w:hint="eastAsia" w:cs="Times New Roman"/>
                <w:color w:val="auto"/>
                <w:kern w:val="2"/>
                <w:sz w:val="24"/>
                <w:szCs w:val="24"/>
                <w:highlight w:val="none"/>
                <w:lang w:val="en-US" w:eastAsia="zh-CN" w:bidi="ar-SA"/>
              </w:rPr>
              <w:t>38m³/a</w:t>
            </w:r>
            <w:r>
              <w:rPr>
                <w:rFonts w:hint="eastAsia" w:ascii="Times New Roman" w:hAnsi="Times New Roman" w:eastAsia="宋体" w:cs="Times New Roman"/>
                <w:color w:val="auto"/>
                <w:kern w:val="2"/>
                <w:sz w:val="24"/>
                <w:szCs w:val="24"/>
                <w:highlight w:val="none"/>
                <w:lang w:val="en-US" w:eastAsia="zh-CN" w:bidi="ar-SA"/>
              </w:rPr>
              <w:t>计，则用水量为</w:t>
            </w:r>
            <w:r>
              <w:rPr>
                <w:rFonts w:hint="eastAsia" w:cs="Times New Roman"/>
                <w:color w:val="auto"/>
                <w:kern w:val="2"/>
                <w:sz w:val="24"/>
                <w:szCs w:val="24"/>
                <w:highlight w:val="none"/>
                <w:lang w:val="en-US" w:eastAsia="zh-CN" w:bidi="ar-SA"/>
              </w:rPr>
              <w:t>15.2m³</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4560m³</w:t>
            </w:r>
            <w:r>
              <w:rPr>
                <w:rFonts w:hint="eastAsia" w:ascii="Times New Roman" w:hAnsi="Times New Roman" w:eastAsia="宋体" w:cs="Times New Roman"/>
                <w:color w:val="auto"/>
                <w:kern w:val="2"/>
                <w:sz w:val="24"/>
                <w:szCs w:val="24"/>
                <w:highlight w:val="none"/>
                <w:lang w:val="en-US" w:eastAsia="zh-CN" w:bidi="ar-SA"/>
              </w:rPr>
              <w:t>/a），产污系数为0.8，则生活污水量为</w:t>
            </w:r>
            <w:r>
              <w:rPr>
                <w:rFonts w:hint="eastAsia" w:cs="Times New Roman"/>
                <w:color w:val="auto"/>
                <w:kern w:val="2"/>
                <w:sz w:val="24"/>
                <w:szCs w:val="24"/>
                <w:highlight w:val="none"/>
                <w:lang w:val="en-US" w:eastAsia="zh-CN" w:bidi="ar-SA"/>
              </w:rPr>
              <w:t>12.16m³</w:t>
            </w:r>
            <w:r>
              <w:rPr>
                <w:rFonts w:hint="eastAsia" w:ascii="Times New Roman" w:hAnsi="Times New Roman" w:eastAsia="宋体" w:cs="Times New Roman"/>
                <w:color w:val="auto"/>
                <w:kern w:val="2"/>
                <w:sz w:val="24"/>
                <w:szCs w:val="24"/>
                <w:highlight w:val="none"/>
                <w:lang w:val="en-US" w:eastAsia="zh-CN" w:bidi="ar-SA"/>
              </w:rPr>
              <w:t>/d（</w:t>
            </w:r>
            <w:r>
              <w:rPr>
                <w:rFonts w:hint="eastAsia" w:cs="Times New Roman"/>
                <w:color w:val="auto"/>
                <w:kern w:val="2"/>
                <w:sz w:val="24"/>
                <w:szCs w:val="24"/>
                <w:highlight w:val="none"/>
                <w:lang w:val="en-US" w:eastAsia="zh-CN" w:bidi="ar-SA"/>
              </w:rPr>
              <w:t>3648m³</w:t>
            </w:r>
            <w:r>
              <w:rPr>
                <w:rFonts w:hint="eastAsia" w:ascii="Times New Roman" w:hAnsi="Times New Roman" w:eastAsia="宋体" w:cs="Times New Roman"/>
                <w:color w:val="auto"/>
                <w:kern w:val="2"/>
                <w:sz w:val="24"/>
                <w:szCs w:val="24"/>
                <w:highlight w:val="none"/>
                <w:lang w:val="en-US" w:eastAsia="zh-CN" w:bidi="ar-SA"/>
              </w:rPr>
              <w:t>/a）。</w:t>
            </w:r>
          </w:p>
          <w:p w14:paraId="2841F47C">
            <w:pPr>
              <w:pStyle w:val="48"/>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（2）生产用水</w:t>
            </w:r>
          </w:p>
          <w:p w14:paraId="33756135">
            <w:pPr>
              <w:pStyle w:val="48"/>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①脱脂剂、无铬钝化剂稀释用水：根据建设单位提供，脱脂液稀释用水约2.5：100的配比进行配制，无铬钝化液稀释用水约1.5：1000的配比进行配制。项目年用脱脂剂10吨，无铬钝化剂年用5吨，则项目原料稀释用水约为12.447m³/d（3734m³/a）。</w:t>
            </w:r>
          </w:p>
          <w:p w14:paraId="705CD81F">
            <w:pPr>
              <w:pStyle w:val="48"/>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②脱脂用水：脱脂工序采用喷头喷淋的方式进行水洗、脱脂循环水池容积为4.68m³，有效容积以90%计，则有效贮液容积为4.3m³，损失量按照水量的5%计算，每天补充约0.215m³/d（64.5m³/a），脱脂补水由水洗用水和无铬钝化用水处理后的水进行补充，脂清洗用水循环使用，每6个月更换一次，排放水量为0.029m³/d（8.7m³/a），脱脂用水经自建污水处理站处理后回用于脱脂循环水池。</w:t>
            </w:r>
          </w:p>
          <w:p w14:paraId="2A65B7B0">
            <w:pPr>
              <w:pStyle w:val="48"/>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jc w:val="left"/>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③水洗用水（共两道）：项目脱脂后经过两道水洗，清水水洗采用喷头喷淋的</w:t>
            </w:r>
            <w:r>
              <w:rPr>
                <w:rFonts w:hint="eastAsia"/>
                <w:color w:val="auto"/>
                <w:highlight w:val="none"/>
                <w:lang w:val="en-US" w:eastAsia="zh-CN"/>
              </w:rPr>
              <w:t>方式</w:t>
            </w:r>
            <w:r>
              <w:rPr>
                <w:rFonts w:hint="eastAsia" w:cs="Times New Roman"/>
                <w:color w:val="auto"/>
                <w:kern w:val="2"/>
                <w:sz w:val="24"/>
                <w:szCs w:val="24"/>
                <w:highlight w:val="none"/>
                <w:lang w:val="en-US" w:eastAsia="zh-CN" w:bidi="ar-SA"/>
              </w:rPr>
              <w:t>进行水洗，项目设置两座清水池，水洗池总容积为4.68m³，有效容积以90%计，则有效贮液容积为4.3m³，损失量按照水量的5%计算，则每天补充约0.215m³/a（64.5m³/a）</w:t>
            </w:r>
            <w:r>
              <w:rPr>
                <w:rFonts w:hint="eastAsia"/>
                <w:lang w:eastAsia="zh-CN"/>
              </w:rPr>
              <w:t>，</w:t>
            </w:r>
            <w:r>
              <w:rPr>
                <w:rFonts w:hint="eastAsia" w:cs="Times New Roman"/>
                <w:color w:val="auto"/>
                <w:kern w:val="2"/>
                <w:sz w:val="24"/>
                <w:szCs w:val="24"/>
                <w:highlight w:val="none"/>
                <w:lang w:val="en-US" w:eastAsia="zh-CN" w:bidi="ar-SA"/>
              </w:rPr>
              <w:t>两座水洗池定期同时排放至自建污水处理站处理后，用于第一道脱脂用水，每30天排放一次，年排放次数约10次，排水量为0.143m³/d（43m³/a）。水洗用水经自建污水处理站处理后排入第一道工序脱脂用水中。</w:t>
            </w:r>
          </w:p>
          <w:p w14:paraId="5FC45426">
            <w:pPr>
              <w:pStyle w:val="48"/>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jc w:val="left"/>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④无铬钝化用水：钝化工序采用喷头喷淋的方式进行钝化水洗，设置一座4.68m³无铬钝化循环水池，有效容积以90%计，则无铬钝化循环水池用水量约为4.3m³/a，损失量按照水量的5%计算，每天补充约0.215m³/d（64.5m³/a），无铬钝化清洗用水循环使用，定期排入污水处理站处理后，用于第一道脱脂用水。无铬钝化废水约3个月更换一次，年更换约4次，定期补充水量为0.057m³/d，年排水量为17.1m³/a。</w:t>
            </w:r>
          </w:p>
          <w:p w14:paraId="6481592A">
            <w:pPr>
              <w:keepNext w:val="0"/>
              <w:keepLines w:val="0"/>
              <w:pageBreakBefore w:val="0"/>
              <w:widowControl/>
              <w:kinsoku/>
              <w:wordWrap/>
              <w:overflowPunct/>
              <w:topLinePunct w:val="0"/>
              <w:autoSpaceDE w:val="0"/>
              <w:autoSpaceDN w:val="0"/>
              <w:bidi w:val="0"/>
              <w:adjustRightInd/>
              <w:snapToGrid/>
              <w:spacing w:line="360" w:lineRule="auto"/>
              <w:ind w:left="105" w:leftChars="50" w:right="105" w:rightChars="50"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（3）本项目废水源强类别同类型项目并参照《排放源统计调查产排污核算方法和系数手册》(生态不境部 公告2021年第24号)中《33-37.431-434 机械行业系数手册》预处理前后源强分析如下：</w:t>
            </w:r>
          </w:p>
          <w:p w14:paraId="19E7DF98">
            <w:pPr>
              <w:pStyle w:val="40"/>
              <w:bidi w:val="0"/>
              <w:rPr>
                <w:rFonts w:hint="eastAsia"/>
                <w:sz w:val="24"/>
                <w:szCs w:val="32"/>
                <w:lang w:val="en-US" w:eastAsia="zh-CN"/>
              </w:rPr>
            </w:pPr>
            <w:r>
              <w:rPr>
                <w:rFonts w:hint="eastAsia"/>
                <w:sz w:val="24"/>
                <w:szCs w:val="32"/>
                <w:lang w:val="en-US" w:eastAsia="zh-CN"/>
              </w:rPr>
              <w:t>表4-7 项目各废水水质情况 单位mg/L</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1440"/>
              <w:gridCol w:w="2136"/>
              <w:gridCol w:w="2100"/>
              <w:gridCol w:w="1895"/>
            </w:tblGrid>
            <w:tr w14:paraId="76AC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Align w:val="center"/>
                </w:tcPr>
                <w:p w14:paraId="6BC0EE7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废水类别</w:t>
                  </w:r>
                </w:p>
              </w:tc>
              <w:tc>
                <w:tcPr>
                  <w:tcW w:w="1440" w:type="dxa"/>
                  <w:vAlign w:val="center"/>
                </w:tcPr>
                <w:p w14:paraId="7A40957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产生废水量（t/a）</w:t>
                  </w:r>
                </w:p>
              </w:tc>
              <w:tc>
                <w:tcPr>
                  <w:tcW w:w="2136" w:type="dxa"/>
                  <w:vAlign w:val="center"/>
                </w:tcPr>
                <w:p w14:paraId="649AA20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污染物</w:t>
                  </w:r>
                </w:p>
              </w:tc>
              <w:tc>
                <w:tcPr>
                  <w:tcW w:w="2100" w:type="dxa"/>
                  <w:vAlign w:val="center"/>
                </w:tcPr>
                <w:p w14:paraId="54E6936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产生浓度（mg/L）</w:t>
                  </w:r>
                </w:p>
              </w:tc>
              <w:tc>
                <w:tcPr>
                  <w:tcW w:w="1895" w:type="dxa"/>
                  <w:vAlign w:val="center"/>
                </w:tcPr>
                <w:p w14:paraId="0706049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产生量（t/a）</w:t>
                  </w:r>
                </w:p>
              </w:tc>
            </w:tr>
            <w:tr w14:paraId="092C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restart"/>
                  <w:vAlign w:val="center"/>
                </w:tcPr>
                <w:p w14:paraId="454A68D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脱脂废水</w:t>
                  </w:r>
                </w:p>
              </w:tc>
              <w:tc>
                <w:tcPr>
                  <w:tcW w:w="1440" w:type="dxa"/>
                  <w:vMerge w:val="restart"/>
                  <w:vAlign w:val="center"/>
                </w:tcPr>
                <w:p w14:paraId="32A1C84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8.7</w:t>
                  </w:r>
                </w:p>
              </w:tc>
              <w:tc>
                <w:tcPr>
                  <w:tcW w:w="2136" w:type="dxa"/>
                  <w:vAlign w:val="center"/>
                </w:tcPr>
                <w:p w14:paraId="1BFA83E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COD</w:t>
                  </w:r>
                </w:p>
              </w:tc>
              <w:tc>
                <w:tcPr>
                  <w:tcW w:w="2100" w:type="dxa"/>
                  <w:vAlign w:val="center"/>
                </w:tcPr>
                <w:p w14:paraId="20D2A32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1090</w:t>
                  </w:r>
                </w:p>
              </w:tc>
              <w:tc>
                <w:tcPr>
                  <w:tcW w:w="1895" w:type="dxa"/>
                  <w:vAlign w:val="center"/>
                </w:tcPr>
                <w:p w14:paraId="663CE8C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0.009</w:t>
                  </w:r>
                </w:p>
              </w:tc>
            </w:tr>
            <w:tr w14:paraId="11F7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0044B80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44D2285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204F913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氨氮</w:t>
                  </w:r>
                </w:p>
              </w:tc>
              <w:tc>
                <w:tcPr>
                  <w:tcW w:w="2100" w:type="dxa"/>
                  <w:vAlign w:val="center"/>
                </w:tcPr>
                <w:p w14:paraId="28CD18D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40</w:t>
                  </w:r>
                </w:p>
              </w:tc>
              <w:tc>
                <w:tcPr>
                  <w:tcW w:w="1895" w:type="dxa"/>
                  <w:vAlign w:val="center"/>
                </w:tcPr>
                <w:p w14:paraId="679E4C8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0.0003</w:t>
                  </w:r>
                </w:p>
              </w:tc>
            </w:tr>
            <w:tr w14:paraId="25EC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029ABCC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6E9EE55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p>
              </w:tc>
              <w:tc>
                <w:tcPr>
                  <w:tcW w:w="2136" w:type="dxa"/>
                  <w:vAlign w:val="center"/>
                </w:tcPr>
                <w:p w14:paraId="32A1D6A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BOD</w:t>
                  </w:r>
                  <w:r>
                    <w:rPr>
                      <w:rFonts w:hint="eastAsia" w:cs="Times New Roman"/>
                      <w:color w:val="auto"/>
                      <w:kern w:val="2"/>
                      <w:sz w:val="22"/>
                      <w:szCs w:val="22"/>
                      <w:highlight w:val="none"/>
                      <w:vertAlign w:val="subscript"/>
                      <w:lang w:val="en-US" w:eastAsia="zh-CN" w:bidi="ar-SA"/>
                    </w:rPr>
                    <w:t>5</w:t>
                  </w:r>
                </w:p>
              </w:tc>
              <w:tc>
                <w:tcPr>
                  <w:tcW w:w="2100" w:type="dxa"/>
                  <w:vAlign w:val="center"/>
                </w:tcPr>
                <w:p w14:paraId="71B3ECB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400</w:t>
                  </w:r>
                </w:p>
              </w:tc>
              <w:tc>
                <w:tcPr>
                  <w:tcW w:w="1895" w:type="dxa"/>
                  <w:vAlign w:val="center"/>
                </w:tcPr>
                <w:p w14:paraId="00B5B0E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0.003</w:t>
                  </w:r>
                </w:p>
              </w:tc>
            </w:tr>
            <w:tr w14:paraId="21AF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0F4C182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1B12C30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p>
              </w:tc>
              <w:tc>
                <w:tcPr>
                  <w:tcW w:w="2136" w:type="dxa"/>
                  <w:vAlign w:val="center"/>
                </w:tcPr>
                <w:p w14:paraId="36F21C6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SS</w:t>
                  </w:r>
                </w:p>
              </w:tc>
              <w:tc>
                <w:tcPr>
                  <w:tcW w:w="2100" w:type="dxa"/>
                  <w:vAlign w:val="center"/>
                </w:tcPr>
                <w:p w14:paraId="1A44A50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800</w:t>
                  </w:r>
                </w:p>
              </w:tc>
              <w:tc>
                <w:tcPr>
                  <w:tcW w:w="1895" w:type="dxa"/>
                  <w:vAlign w:val="center"/>
                </w:tcPr>
                <w:p w14:paraId="52F6B127">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0.006</w:t>
                  </w:r>
                </w:p>
              </w:tc>
            </w:tr>
            <w:tr w14:paraId="0263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4511AFD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6C771A5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p>
              </w:tc>
              <w:tc>
                <w:tcPr>
                  <w:tcW w:w="2136" w:type="dxa"/>
                  <w:vAlign w:val="center"/>
                </w:tcPr>
                <w:p w14:paraId="79FCE7B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石油类</w:t>
                  </w:r>
                </w:p>
              </w:tc>
              <w:tc>
                <w:tcPr>
                  <w:tcW w:w="2100" w:type="dxa"/>
                  <w:vAlign w:val="center"/>
                </w:tcPr>
                <w:p w14:paraId="7D6DC5A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600</w:t>
                  </w:r>
                </w:p>
              </w:tc>
              <w:tc>
                <w:tcPr>
                  <w:tcW w:w="1895" w:type="dxa"/>
                  <w:vAlign w:val="center"/>
                </w:tcPr>
                <w:p w14:paraId="4A16417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0.005</w:t>
                  </w:r>
                </w:p>
              </w:tc>
            </w:tr>
            <w:tr w14:paraId="3E36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restart"/>
                  <w:vAlign w:val="center"/>
                </w:tcPr>
                <w:p w14:paraId="515D0B9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脱脂后清废水</w:t>
                  </w:r>
                </w:p>
              </w:tc>
              <w:tc>
                <w:tcPr>
                  <w:tcW w:w="1440" w:type="dxa"/>
                  <w:vMerge w:val="restart"/>
                  <w:vAlign w:val="center"/>
                </w:tcPr>
                <w:p w14:paraId="429927D7">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43</w:t>
                  </w:r>
                </w:p>
              </w:tc>
              <w:tc>
                <w:tcPr>
                  <w:tcW w:w="2136" w:type="dxa"/>
                  <w:vAlign w:val="center"/>
                </w:tcPr>
                <w:p w14:paraId="0641AD9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COD</w:t>
                  </w:r>
                </w:p>
              </w:tc>
              <w:tc>
                <w:tcPr>
                  <w:tcW w:w="2100" w:type="dxa"/>
                  <w:vAlign w:val="center"/>
                </w:tcPr>
                <w:p w14:paraId="317B8CD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800</w:t>
                  </w:r>
                </w:p>
              </w:tc>
              <w:tc>
                <w:tcPr>
                  <w:tcW w:w="1895" w:type="dxa"/>
                  <w:vAlign w:val="center"/>
                </w:tcPr>
                <w:p w14:paraId="6D01205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0.034</w:t>
                  </w:r>
                </w:p>
              </w:tc>
            </w:tr>
            <w:tr w14:paraId="5FA9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5194E23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7294CEB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1D483AE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氨氮</w:t>
                  </w:r>
                </w:p>
              </w:tc>
              <w:tc>
                <w:tcPr>
                  <w:tcW w:w="2100" w:type="dxa"/>
                  <w:vAlign w:val="center"/>
                </w:tcPr>
                <w:p w14:paraId="5B496B5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30</w:t>
                  </w:r>
                </w:p>
              </w:tc>
              <w:tc>
                <w:tcPr>
                  <w:tcW w:w="1895" w:type="dxa"/>
                  <w:vAlign w:val="center"/>
                </w:tcPr>
                <w:p w14:paraId="59DD12F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0.001</w:t>
                  </w:r>
                </w:p>
              </w:tc>
            </w:tr>
            <w:tr w14:paraId="60F2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1554AC6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3E669BD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09FC9EE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BOD</w:t>
                  </w:r>
                  <w:r>
                    <w:rPr>
                      <w:rFonts w:hint="eastAsia" w:cs="Times New Roman"/>
                      <w:color w:val="auto"/>
                      <w:kern w:val="2"/>
                      <w:sz w:val="22"/>
                      <w:szCs w:val="22"/>
                      <w:highlight w:val="none"/>
                      <w:vertAlign w:val="subscript"/>
                      <w:lang w:val="en-US" w:eastAsia="zh-CN" w:bidi="ar-SA"/>
                    </w:rPr>
                    <w:t>5</w:t>
                  </w:r>
                </w:p>
              </w:tc>
              <w:tc>
                <w:tcPr>
                  <w:tcW w:w="2100" w:type="dxa"/>
                  <w:vAlign w:val="center"/>
                </w:tcPr>
                <w:p w14:paraId="3372E73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300</w:t>
                  </w:r>
                </w:p>
              </w:tc>
              <w:tc>
                <w:tcPr>
                  <w:tcW w:w="1895" w:type="dxa"/>
                  <w:vAlign w:val="center"/>
                </w:tcPr>
                <w:p w14:paraId="28C1FD47">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0.012</w:t>
                  </w:r>
                </w:p>
              </w:tc>
            </w:tr>
            <w:tr w14:paraId="1FD0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3D07A04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5BA830B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7EC1D72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SS</w:t>
                  </w:r>
                </w:p>
              </w:tc>
              <w:tc>
                <w:tcPr>
                  <w:tcW w:w="2100" w:type="dxa"/>
                  <w:vAlign w:val="center"/>
                </w:tcPr>
                <w:p w14:paraId="7512F27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400</w:t>
                  </w:r>
                </w:p>
              </w:tc>
              <w:tc>
                <w:tcPr>
                  <w:tcW w:w="1895" w:type="dxa"/>
                  <w:vAlign w:val="center"/>
                </w:tcPr>
                <w:p w14:paraId="6B0E3D6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0.017</w:t>
                  </w:r>
                </w:p>
              </w:tc>
            </w:tr>
            <w:tr w14:paraId="30BC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4C224BD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1E9B0E6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4204E58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石油类</w:t>
                  </w:r>
                </w:p>
              </w:tc>
              <w:tc>
                <w:tcPr>
                  <w:tcW w:w="2100" w:type="dxa"/>
                  <w:vAlign w:val="center"/>
                </w:tcPr>
                <w:p w14:paraId="7F0D64D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400</w:t>
                  </w:r>
                </w:p>
              </w:tc>
              <w:tc>
                <w:tcPr>
                  <w:tcW w:w="1895" w:type="dxa"/>
                  <w:vAlign w:val="center"/>
                </w:tcPr>
                <w:p w14:paraId="1A2A74C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0.017</w:t>
                  </w:r>
                </w:p>
              </w:tc>
            </w:tr>
            <w:tr w14:paraId="366F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restart"/>
                  <w:vAlign w:val="center"/>
                </w:tcPr>
                <w:p w14:paraId="1685CC9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无铬钝化废水</w:t>
                  </w:r>
                </w:p>
              </w:tc>
              <w:tc>
                <w:tcPr>
                  <w:tcW w:w="1440" w:type="dxa"/>
                  <w:vMerge w:val="restart"/>
                  <w:vAlign w:val="center"/>
                </w:tcPr>
                <w:p w14:paraId="73EFC7C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17.1</w:t>
                  </w:r>
                </w:p>
              </w:tc>
              <w:tc>
                <w:tcPr>
                  <w:tcW w:w="2136" w:type="dxa"/>
                  <w:vAlign w:val="center"/>
                </w:tcPr>
                <w:p w14:paraId="6E728D4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COD</w:t>
                  </w:r>
                </w:p>
              </w:tc>
              <w:tc>
                <w:tcPr>
                  <w:tcW w:w="2100" w:type="dxa"/>
                  <w:vAlign w:val="center"/>
                </w:tcPr>
                <w:p w14:paraId="7E09F84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1500</w:t>
                  </w:r>
                </w:p>
              </w:tc>
              <w:tc>
                <w:tcPr>
                  <w:tcW w:w="1895" w:type="dxa"/>
                  <w:vAlign w:val="center"/>
                </w:tcPr>
                <w:p w14:paraId="6DCE557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0.025</w:t>
                  </w:r>
                </w:p>
              </w:tc>
            </w:tr>
            <w:tr w14:paraId="3E4D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7177833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2A0F47A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1E73B66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氨氮</w:t>
                  </w:r>
                </w:p>
              </w:tc>
              <w:tc>
                <w:tcPr>
                  <w:tcW w:w="2100" w:type="dxa"/>
                  <w:vAlign w:val="center"/>
                </w:tcPr>
                <w:p w14:paraId="317884F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50</w:t>
                  </w:r>
                </w:p>
              </w:tc>
              <w:tc>
                <w:tcPr>
                  <w:tcW w:w="1895" w:type="dxa"/>
                  <w:vAlign w:val="center"/>
                </w:tcPr>
                <w:p w14:paraId="487DFBC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0.0008</w:t>
                  </w:r>
                </w:p>
              </w:tc>
            </w:tr>
            <w:tr w14:paraId="53DD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05" w:type="dxa"/>
                  <w:vMerge w:val="continue"/>
                  <w:vAlign w:val="center"/>
                </w:tcPr>
                <w:p w14:paraId="33865BF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08F3BA7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5D69EEE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BOD</w:t>
                  </w:r>
                  <w:r>
                    <w:rPr>
                      <w:rFonts w:hint="eastAsia" w:cs="Times New Roman"/>
                      <w:color w:val="auto"/>
                      <w:kern w:val="2"/>
                      <w:sz w:val="22"/>
                      <w:szCs w:val="22"/>
                      <w:highlight w:val="none"/>
                      <w:vertAlign w:val="subscript"/>
                      <w:lang w:val="en-US" w:eastAsia="zh-CN" w:bidi="ar-SA"/>
                    </w:rPr>
                    <w:t>5</w:t>
                  </w:r>
                </w:p>
              </w:tc>
              <w:tc>
                <w:tcPr>
                  <w:tcW w:w="2100" w:type="dxa"/>
                  <w:vAlign w:val="center"/>
                </w:tcPr>
                <w:p w14:paraId="7514B79D">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500</w:t>
                  </w:r>
                </w:p>
              </w:tc>
              <w:tc>
                <w:tcPr>
                  <w:tcW w:w="1895" w:type="dxa"/>
                  <w:vAlign w:val="center"/>
                </w:tcPr>
                <w:p w14:paraId="66CE070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0.008</w:t>
                  </w:r>
                </w:p>
              </w:tc>
            </w:tr>
            <w:tr w14:paraId="13DE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6B48F6E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1BDAD96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0D1CEED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SS</w:t>
                  </w:r>
                </w:p>
              </w:tc>
              <w:tc>
                <w:tcPr>
                  <w:tcW w:w="2100" w:type="dxa"/>
                  <w:vAlign w:val="center"/>
                </w:tcPr>
                <w:p w14:paraId="33B2074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1000</w:t>
                  </w:r>
                </w:p>
              </w:tc>
              <w:tc>
                <w:tcPr>
                  <w:tcW w:w="1895" w:type="dxa"/>
                  <w:vAlign w:val="center"/>
                </w:tcPr>
                <w:p w14:paraId="2FE26419">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0.017</w:t>
                  </w:r>
                </w:p>
              </w:tc>
            </w:tr>
            <w:tr w14:paraId="697F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1152DE1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09BF6D1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725EF1E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石油类</w:t>
                  </w:r>
                </w:p>
              </w:tc>
              <w:tc>
                <w:tcPr>
                  <w:tcW w:w="2100" w:type="dxa"/>
                  <w:vAlign w:val="center"/>
                </w:tcPr>
                <w:p w14:paraId="4276A61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400</w:t>
                  </w:r>
                </w:p>
              </w:tc>
              <w:tc>
                <w:tcPr>
                  <w:tcW w:w="1895" w:type="dxa"/>
                  <w:vAlign w:val="center"/>
                </w:tcPr>
                <w:p w14:paraId="33AEFCE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0.006</w:t>
                  </w:r>
                </w:p>
              </w:tc>
            </w:tr>
            <w:tr w14:paraId="6809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restart"/>
                  <w:vAlign w:val="center"/>
                </w:tcPr>
                <w:p w14:paraId="0CF5459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综合废水</w:t>
                  </w:r>
                </w:p>
              </w:tc>
              <w:tc>
                <w:tcPr>
                  <w:tcW w:w="1440" w:type="dxa"/>
                  <w:vMerge w:val="restart"/>
                  <w:vAlign w:val="center"/>
                </w:tcPr>
                <w:p w14:paraId="51A7DFD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68.8</w:t>
                  </w:r>
                </w:p>
              </w:tc>
              <w:tc>
                <w:tcPr>
                  <w:tcW w:w="2136" w:type="dxa"/>
                  <w:vAlign w:val="center"/>
                </w:tcPr>
                <w:p w14:paraId="12F34CE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COD</w:t>
                  </w:r>
                </w:p>
              </w:tc>
              <w:tc>
                <w:tcPr>
                  <w:tcW w:w="2100" w:type="dxa"/>
                  <w:vAlign w:val="center"/>
                </w:tcPr>
                <w:p w14:paraId="0A8022D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987</w:t>
                  </w:r>
                </w:p>
              </w:tc>
              <w:tc>
                <w:tcPr>
                  <w:tcW w:w="1895" w:type="dxa"/>
                  <w:vAlign w:val="center"/>
                </w:tcPr>
                <w:p w14:paraId="0BCFF4A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0.067</w:t>
                  </w:r>
                </w:p>
              </w:tc>
            </w:tr>
            <w:tr w14:paraId="0996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10C433E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11C9B1E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2BF712D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氨氮</w:t>
                  </w:r>
                </w:p>
              </w:tc>
              <w:tc>
                <w:tcPr>
                  <w:tcW w:w="2100" w:type="dxa"/>
                  <w:vAlign w:val="center"/>
                </w:tcPr>
                <w:p w14:paraId="2856985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31</w:t>
                  </w:r>
                </w:p>
              </w:tc>
              <w:tc>
                <w:tcPr>
                  <w:tcW w:w="1895" w:type="dxa"/>
                  <w:vAlign w:val="center"/>
                </w:tcPr>
                <w:p w14:paraId="68B72E7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0.002</w:t>
                  </w:r>
                </w:p>
              </w:tc>
            </w:tr>
            <w:tr w14:paraId="04B1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4D3DBAC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760F5D2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23D7070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BOD</w:t>
                  </w:r>
                  <w:r>
                    <w:rPr>
                      <w:rFonts w:hint="eastAsia" w:cs="Times New Roman"/>
                      <w:color w:val="auto"/>
                      <w:kern w:val="2"/>
                      <w:sz w:val="22"/>
                      <w:szCs w:val="22"/>
                      <w:highlight w:val="none"/>
                      <w:vertAlign w:val="subscript"/>
                      <w:lang w:val="en-US" w:eastAsia="zh-CN" w:bidi="ar-SA"/>
                    </w:rPr>
                    <w:t>5</w:t>
                  </w:r>
                </w:p>
              </w:tc>
              <w:tc>
                <w:tcPr>
                  <w:tcW w:w="2100" w:type="dxa"/>
                  <w:vAlign w:val="center"/>
                </w:tcPr>
                <w:p w14:paraId="15AF3B8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335</w:t>
                  </w:r>
                </w:p>
              </w:tc>
              <w:tc>
                <w:tcPr>
                  <w:tcW w:w="1895" w:type="dxa"/>
                  <w:vAlign w:val="center"/>
                </w:tcPr>
                <w:p w14:paraId="3B0A021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0.023</w:t>
                  </w:r>
                </w:p>
              </w:tc>
            </w:tr>
            <w:tr w14:paraId="2C25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39D051D7">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184D8BC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40D9385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SS</w:t>
                  </w:r>
                </w:p>
              </w:tc>
              <w:tc>
                <w:tcPr>
                  <w:tcW w:w="2100" w:type="dxa"/>
                  <w:vAlign w:val="center"/>
                </w:tcPr>
                <w:p w14:paraId="6CCBD97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582</w:t>
                  </w:r>
                </w:p>
              </w:tc>
              <w:tc>
                <w:tcPr>
                  <w:tcW w:w="1895" w:type="dxa"/>
                  <w:vAlign w:val="center"/>
                </w:tcPr>
                <w:p w14:paraId="2732984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0.04</w:t>
                  </w:r>
                </w:p>
              </w:tc>
            </w:tr>
            <w:tr w14:paraId="2D3E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5" w:type="dxa"/>
                  <w:vMerge w:val="continue"/>
                  <w:vAlign w:val="center"/>
                </w:tcPr>
                <w:p w14:paraId="25B934C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1440" w:type="dxa"/>
                  <w:vMerge w:val="continue"/>
                  <w:vAlign w:val="center"/>
                </w:tcPr>
                <w:p w14:paraId="18E7C1B0">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p>
              </w:tc>
              <w:tc>
                <w:tcPr>
                  <w:tcW w:w="2136" w:type="dxa"/>
                  <w:vAlign w:val="center"/>
                </w:tcPr>
                <w:p w14:paraId="29A6F53C">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eastAsia"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石油类</w:t>
                  </w:r>
                </w:p>
              </w:tc>
              <w:tc>
                <w:tcPr>
                  <w:tcW w:w="2100" w:type="dxa"/>
                  <w:vAlign w:val="center"/>
                </w:tcPr>
                <w:p w14:paraId="6703743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407</w:t>
                  </w:r>
                </w:p>
              </w:tc>
              <w:tc>
                <w:tcPr>
                  <w:tcW w:w="1895" w:type="dxa"/>
                  <w:vAlign w:val="center"/>
                </w:tcPr>
                <w:p w14:paraId="02750E47">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kern w:val="2"/>
                      <w:sz w:val="22"/>
                      <w:szCs w:val="22"/>
                      <w:highlight w:val="none"/>
                      <w:vertAlign w:val="baseline"/>
                      <w:lang w:val="en-US" w:eastAsia="zh-CN" w:bidi="ar-SA"/>
                    </w:rPr>
                  </w:pPr>
                  <w:r>
                    <w:rPr>
                      <w:rFonts w:hint="eastAsia" w:cs="Times New Roman"/>
                      <w:color w:val="auto"/>
                      <w:kern w:val="2"/>
                      <w:sz w:val="22"/>
                      <w:szCs w:val="22"/>
                      <w:highlight w:val="none"/>
                      <w:vertAlign w:val="baseline"/>
                      <w:lang w:val="en-US" w:eastAsia="zh-CN" w:bidi="ar-SA"/>
                    </w:rPr>
                    <w:t>0.028</w:t>
                  </w:r>
                </w:p>
              </w:tc>
            </w:tr>
          </w:tbl>
          <w:p w14:paraId="1A58FD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eastAsia="zh-CN"/>
              </w:rPr>
            </w:pPr>
            <w:r>
              <w:rPr>
                <w:rFonts w:hint="eastAsia"/>
                <w:sz w:val="24"/>
                <w:szCs w:val="32"/>
                <w:lang w:eastAsia="zh-CN"/>
              </w:rPr>
              <w:t>（</w:t>
            </w:r>
            <w:r>
              <w:rPr>
                <w:rFonts w:hint="eastAsia"/>
                <w:sz w:val="24"/>
                <w:szCs w:val="32"/>
                <w:lang w:val="en-US" w:eastAsia="zh-CN"/>
              </w:rPr>
              <w:t>3</w:t>
            </w:r>
            <w:r>
              <w:rPr>
                <w:rFonts w:hint="eastAsia"/>
                <w:sz w:val="24"/>
                <w:szCs w:val="32"/>
                <w:lang w:eastAsia="zh-CN"/>
              </w:rPr>
              <w:t>）污水处理系统工艺、处理能力、处理效率及可行性分析</w:t>
            </w:r>
          </w:p>
          <w:p w14:paraId="4CB78BE5">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ascii="Times New Roman" w:hAnsi="Times New Roman" w:eastAsia="宋体" w:cs="Times New Roman"/>
                <w:b/>
                <w:bCs/>
                <w:color w:val="auto"/>
                <w:sz w:val="24"/>
                <w:highlight w:val="none"/>
                <w:lang w:eastAsia="zh-CN"/>
              </w:rPr>
            </w:pPr>
            <w:r>
              <w:rPr>
                <w:rFonts w:hint="eastAsia"/>
                <w:sz w:val="24"/>
                <w:szCs w:val="24"/>
                <w:lang w:val="en-US" w:eastAsia="zh-CN"/>
              </w:rPr>
              <w:t>本项目一次最大更换废水量为0.23t/次，因此本项目设置1t/d的污水处理站，可以满足厂区内污水更换处理的要求，废水主要污染物为油、悬浮物、偏碱性，本项目污水处理工艺为隔油+气浮+混凝沉淀+A/O+沉淀，处理技术参照</w:t>
            </w:r>
            <w:r>
              <w:rPr>
                <w:rFonts w:hint="eastAsia"/>
                <w:color w:val="auto"/>
                <w:sz w:val="24"/>
                <w:szCs w:val="24"/>
              </w:rPr>
              <w:t>《排污许可证申请与核发技术规范 铁路、船舶、航空航天和其他运输设备制造业》（HJ 1124-2020）</w:t>
            </w:r>
            <w:r>
              <w:rPr>
                <w:rFonts w:hint="eastAsia"/>
                <w:color w:val="auto"/>
                <w:sz w:val="24"/>
                <w:szCs w:val="24"/>
                <w:lang w:val="en-US" w:eastAsia="zh-CN"/>
              </w:rPr>
              <w:t>中推荐技术，</w:t>
            </w:r>
            <w:r>
              <w:rPr>
                <w:rFonts w:hint="eastAsia"/>
                <w:sz w:val="24"/>
                <w:szCs w:val="24"/>
                <w:lang w:val="en-US" w:eastAsia="zh-CN"/>
              </w:rPr>
              <w:t>因此本项目废水处理后回用于生产是可行的，本项目污水处理站具体处理工艺见下图：</w:t>
            </w:r>
          </w:p>
          <w:p w14:paraId="718E6956">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4"/>
                <w:highlight w:val="none"/>
                <w:lang w:eastAsia="zh-CN"/>
              </w:rPr>
            </w:pPr>
            <w:r>
              <w:rPr>
                <w:rFonts w:hint="default" w:ascii="Times New Roman" w:hAnsi="Times New Roman" w:eastAsia="宋体" w:cs="Times New Roman"/>
                <w:sz w:val="24"/>
                <w:lang w:eastAsia="zh-CN"/>
              </w:rPr>
              <w:drawing>
                <wp:inline distT="0" distB="0" distL="114300" distR="114300">
                  <wp:extent cx="5579745" cy="1613535"/>
                  <wp:effectExtent l="0" t="0" r="13335" b="1905"/>
                  <wp:docPr id="120" name="F360BE8B-6686-4F3D-AEAF-501FE73E4058-5" descr="C:/Users/Administrator/AppData/Local/Temp/绘图1(32).png绘图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360BE8B-6686-4F3D-AEAF-501FE73E4058-5" descr="C:/Users/Administrator/AppData/Local/Temp/绘图1(32).png绘图1(32)"/>
                          <pic:cNvPicPr>
                            <a:picLocks noChangeAspect="1"/>
                          </pic:cNvPicPr>
                        </pic:nvPicPr>
                        <pic:blipFill>
                          <a:blip r:embed="rId18"/>
                          <a:stretch>
                            <a:fillRect/>
                          </a:stretch>
                        </pic:blipFill>
                        <pic:spPr>
                          <a:xfrm>
                            <a:off x="0" y="0"/>
                            <a:ext cx="5579745" cy="1613535"/>
                          </a:xfrm>
                          <a:prstGeom prst="rect">
                            <a:avLst/>
                          </a:prstGeom>
                        </pic:spPr>
                      </pic:pic>
                    </a:graphicData>
                  </a:graphic>
                </wp:inline>
              </w:drawing>
            </w:r>
          </w:p>
          <w:p w14:paraId="5E1499B5">
            <w:pPr>
              <w:pStyle w:val="75"/>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b/>
                <w:bCs/>
                <w:color w:val="auto"/>
                <w:sz w:val="24"/>
                <w:highlight w:val="none"/>
                <w:lang w:eastAsia="zh-CN"/>
              </w:rPr>
            </w:pPr>
            <w:r>
              <w:rPr>
                <w:rFonts w:hint="eastAsia"/>
                <w:sz w:val="24"/>
                <w:szCs w:val="32"/>
                <w:lang w:eastAsia="zh-CN"/>
              </w:rPr>
              <w:t>图</w:t>
            </w:r>
            <w:r>
              <w:rPr>
                <w:rFonts w:hint="eastAsia"/>
                <w:sz w:val="24"/>
                <w:szCs w:val="32"/>
                <w:lang w:val="en-US" w:eastAsia="zh-CN"/>
              </w:rPr>
              <w:t>4-1 污水处理站处理工艺流程图</w:t>
            </w:r>
          </w:p>
          <w:p w14:paraId="4C328E6F">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sz w:val="24"/>
                <w:szCs w:val="24"/>
                <w:lang w:eastAsia="zh-CN"/>
              </w:rPr>
              <w:t>本项目污水处理工艺为</w:t>
            </w:r>
            <w:r>
              <w:rPr>
                <w:rFonts w:hint="default" w:ascii="Times New Roman" w:hAnsi="Times New Roman" w:cs="Times New Roman"/>
                <w:color w:val="auto"/>
                <w:sz w:val="24"/>
                <w:szCs w:val="24"/>
              </w:rPr>
              <w:t>《排污许可证申请与核发技术规范 铁路、船舶、航空航天和其他运输设备制造业》（HJ 1124-2020）</w:t>
            </w:r>
            <w:r>
              <w:rPr>
                <w:rFonts w:hint="default" w:ascii="Times New Roman" w:hAnsi="Times New Roman" w:cs="Times New Roman"/>
                <w:color w:val="auto"/>
                <w:sz w:val="24"/>
                <w:szCs w:val="24"/>
                <w:lang w:val="en-US" w:eastAsia="zh-CN"/>
              </w:rPr>
              <w:t>及</w:t>
            </w:r>
            <w:r>
              <w:rPr>
                <w:rFonts w:hint="default" w:ascii="Times New Roman" w:hAnsi="Times New Roman" w:cs="Times New Roman"/>
                <w:sz w:val="24"/>
                <w:szCs w:val="24"/>
                <w:lang w:val="en-US" w:eastAsia="zh-CN"/>
              </w:rPr>
              <w:t>《排放源统计调查产排污核算方法和系数手册》“33-37，431-434机械行业系数手册”</w:t>
            </w:r>
            <w:r>
              <w:rPr>
                <w:rFonts w:hint="default" w:ascii="Times New Roman" w:hAnsi="Times New Roman" w:cs="Times New Roman"/>
                <w:color w:val="auto"/>
                <w:sz w:val="24"/>
                <w:szCs w:val="24"/>
              </w:rPr>
              <w:t>中</w:t>
            </w:r>
            <w:r>
              <w:rPr>
                <w:rFonts w:hint="default" w:ascii="Times New Roman" w:hAnsi="Times New Roman" w:cs="Times New Roman"/>
                <w:color w:val="auto"/>
                <w:sz w:val="24"/>
                <w:szCs w:val="24"/>
                <w:lang w:eastAsia="zh-CN"/>
              </w:rPr>
              <w:t>推荐可行技术。</w:t>
            </w:r>
          </w:p>
          <w:p w14:paraId="6AC3494A">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sz w:val="24"/>
                <w:highlight w:val="none"/>
                <w:lang w:eastAsia="zh-CN"/>
              </w:rPr>
              <w:t>表4-</w:t>
            </w:r>
            <w:r>
              <w:rPr>
                <w:rFonts w:hint="eastAsia" w:cs="Times New Roman"/>
                <w:b/>
                <w:bCs/>
                <w:color w:val="auto"/>
                <w:sz w:val="24"/>
                <w:highlight w:val="none"/>
                <w:lang w:val="en-US" w:eastAsia="zh-CN"/>
              </w:rPr>
              <w:t>8</w:t>
            </w:r>
            <w:r>
              <w:rPr>
                <w:rFonts w:ascii="Times New Roman" w:hAnsi="Times New Roman" w:eastAsia="宋体" w:cs="Times New Roman"/>
                <w:b/>
                <w:bCs/>
                <w:color w:val="auto"/>
                <w:sz w:val="24"/>
                <w:highlight w:val="none"/>
                <w:lang w:eastAsia="zh-CN"/>
              </w:rPr>
              <w:t xml:space="preserve"> 废水类别、污染物种类、排放方式及污染治理设施一览表</w:t>
            </w:r>
          </w:p>
          <w:tbl>
            <w:tblPr>
              <w:tblStyle w:val="25"/>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511"/>
              <w:gridCol w:w="1107"/>
              <w:gridCol w:w="1112"/>
              <w:gridCol w:w="1827"/>
              <w:gridCol w:w="774"/>
              <w:gridCol w:w="1085"/>
              <w:gridCol w:w="921"/>
            </w:tblGrid>
            <w:tr w14:paraId="0B88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54" w:type="dxa"/>
                  <w:vMerge w:val="restart"/>
                  <w:vAlign w:val="center"/>
                </w:tcPr>
                <w:p w14:paraId="06BF1686">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废水类别</w:t>
                  </w:r>
                </w:p>
              </w:tc>
              <w:tc>
                <w:tcPr>
                  <w:tcW w:w="1511" w:type="dxa"/>
                  <w:vMerge w:val="restart"/>
                  <w:vAlign w:val="center"/>
                </w:tcPr>
                <w:p w14:paraId="061BC2C9">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污染物种类</w:t>
                  </w:r>
                </w:p>
              </w:tc>
              <w:tc>
                <w:tcPr>
                  <w:tcW w:w="2219" w:type="dxa"/>
                  <w:gridSpan w:val="2"/>
                  <w:vAlign w:val="center"/>
                </w:tcPr>
                <w:p w14:paraId="16F89B5C">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污染治理工艺</w:t>
                  </w:r>
                </w:p>
              </w:tc>
              <w:tc>
                <w:tcPr>
                  <w:tcW w:w="1827" w:type="dxa"/>
                  <w:vMerge w:val="restart"/>
                  <w:vAlign w:val="center"/>
                </w:tcPr>
                <w:p w14:paraId="0D8BA49B">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排放去向</w:t>
                  </w:r>
                </w:p>
              </w:tc>
              <w:tc>
                <w:tcPr>
                  <w:tcW w:w="774" w:type="dxa"/>
                  <w:vMerge w:val="restart"/>
                  <w:vAlign w:val="center"/>
                </w:tcPr>
                <w:p w14:paraId="7F8A133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排放方式</w:t>
                  </w:r>
                </w:p>
              </w:tc>
              <w:tc>
                <w:tcPr>
                  <w:tcW w:w="1085" w:type="dxa"/>
                  <w:vMerge w:val="restart"/>
                  <w:vAlign w:val="center"/>
                </w:tcPr>
                <w:p w14:paraId="1063C07D">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排放口编号</w:t>
                  </w:r>
                </w:p>
              </w:tc>
              <w:tc>
                <w:tcPr>
                  <w:tcW w:w="921" w:type="dxa"/>
                  <w:vMerge w:val="restart"/>
                  <w:vAlign w:val="center"/>
                </w:tcPr>
                <w:p w14:paraId="3FD8F7AE">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排放口类型</w:t>
                  </w:r>
                </w:p>
              </w:tc>
            </w:tr>
            <w:tr w14:paraId="39BD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54" w:type="dxa"/>
                  <w:vMerge w:val="continue"/>
                  <w:vAlign w:val="center"/>
                </w:tcPr>
                <w:p w14:paraId="754F0A8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p>
              </w:tc>
              <w:tc>
                <w:tcPr>
                  <w:tcW w:w="1511" w:type="dxa"/>
                  <w:vMerge w:val="continue"/>
                  <w:vAlign w:val="center"/>
                </w:tcPr>
                <w:p w14:paraId="5AED6863">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p>
              </w:tc>
              <w:tc>
                <w:tcPr>
                  <w:tcW w:w="1107" w:type="dxa"/>
                  <w:vAlign w:val="center"/>
                </w:tcPr>
                <w:p w14:paraId="37BF456A">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治理工艺</w:t>
                  </w:r>
                </w:p>
              </w:tc>
              <w:tc>
                <w:tcPr>
                  <w:tcW w:w="1112" w:type="dxa"/>
                  <w:vAlign w:val="center"/>
                </w:tcPr>
                <w:p w14:paraId="4631052B">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是否可行</w:t>
                  </w:r>
                </w:p>
              </w:tc>
              <w:tc>
                <w:tcPr>
                  <w:tcW w:w="1827" w:type="dxa"/>
                  <w:vMerge w:val="continue"/>
                  <w:vAlign w:val="center"/>
                </w:tcPr>
                <w:p w14:paraId="6EE3058A">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p>
              </w:tc>
              <w:tc>
                <w:tcPr>
                  <w:tcW w:w="774" w:type="dxa"/>
                  <w:vMerge w:val="continue"/>
                  <w:vAlign w:val="center"/>
                </w:tcPr>
                <w:p w14:paraId="49F548DA">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p>
              </w:tc>
              <w:tc>
                <w:tcPr>
                  <w:tcW w:w="1085" w:type="dxa"/>
                  <w:vMerge w:val="continue"/>
                  <w:vAlign w:val="center"/>
                </w:tcPr>
                <w:p w14:paraId="12048890">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p>
              </w:tc>
              <w:tc>
                <w:tcPr>
                  <w:tcW w:w="921" w:type="dxa"/>
                  <w:vMerge w:val="continue"/>
                  <w:vAlign w:val="center"/>
                </w:tcPr>
                <w:p w14:paraId="29A4731C">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p>
              </w:tc>
            </w:tr>
            <w:tr w14:paraId="56EA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54" w:type="dxa"/>
                  <w:vAlign w:val="center"/>
                </w:tcPr>
                <w:p w14:paraId="5A7B4D15">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生活污水</w:t>
                  </w:r>
                </w:p>
              </w:tc>
              <w:tc>
                <w:tcPr>
                  <w:tcW w:w="1511" w:type="dxa"/>
                  <w:vAlign w:val="center"/>
                </w:tcPr>
                <w:p w14:paraId="4270B44B">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pH、COD、BOD</w:t>
                  </w:r>
                  <w:r>
                    <w:rPr>
                      <w:rFonts w:ascii="Times New Roman" w:hAnsi="Times New Roman" w:eastAsia="宋体" w:cs="Times New Roman"/>
                      <w:color w:val="auto"/>
                      <w:highlight w:val="none"/>
                      <w:vertAlign w:val="subscript"/>
                    </w:rPr>
                    <w:t>5</w:t>
                  </w:r>
                  <w:r>
                    <w:rPr>
                      <w:rFonts w:ascii="Times New Roman" w:hAnsi="Times New Roman" w:eastAsia="宋体" w:cs="Times New Roman"/>
                      <w:color w:val="auto"/>
                      <w:highlight w:val="none"/>
                    </w:rPr>
                    <w:t>、SS、NH</w:t>
                  </w:r>
                  <w:r>
                    <w:rPr>
                      <w:rFonts w:ascii="Times New Roman" w:hAnsi="Times New Roman" w:eastAsia="宋体" w:cs="Times New Roman"/>
                      <w:color w:val="auto"/>
                      <w:highlight w:val="none"/>
                      <w:vertAlign w:val="subscript"/>
                    </w:rPr>
                    <w:t>3</w:t>
                  </w:r>
                  <w:r>
                    <w:rPr>
                      <w:rFonts w:ascii="Times New Roman" w:hAnsi="Times New Roman" w:eastAsia="宋体" w:cs="Times New Roman"/>
                      <w:color w:val="auto"/>
                      <w:highlight w:val="none"/>
                    </w:rPr>
                    <w:t>-N</w:t>
                  </w:r>
                </w:p>
              </w:tc>
              <w:tc>
                <w:tcPr>
                  <w:tcW w:w="1107" w:type="dxa"/>
                  <w:vAlign w:val="center"/>
                </w:tcPr>
                <w:p w14:paraId="3E50F01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化粪池</w:t>
                  </w:r>
                </w:p>
              </w:tc>
              <w:tc>
                <w:tcPr>
                  <w:tcW w:w="1112" w:type="dxa"/>
                  <w:vAlign w:val="center"/>
                </w:tcPr>
                <w:p w14:paraId="03F6D8FB">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是</w:t>
                  </w:r>
                </w:p>
              </w:tc>
              <w:tc>
                <w:tcPr>
                  <w:tcW w:w="1827" w:type="dxa"/>
                  <w:vAlign w:val="center"/>
                </w:tcPr>
                <w:p w14:paraId="6D39A4A4">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安徽淮相科技发展有限公司第二污水处理厂</w:t>
                  </w:r>
                </w:p>
              </w:tc>
              <w:tc>
                <w:tcPr>
                  <w:tcW w:w="774" w:type="dxa"/>
                  <w:vAlign w:val="center"/>
                </w:tcPr>
                <w:p w14:paraId="36114F82">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间接排放</w:t>
                  </w:r>
                </w:p>
              </w:tc>
              <w:tc>
                <w:tcPr>
                  <w:tcW w:w="1085" w:type="dxa"/>
                  <w:vAlign w:val="center"/>
                </w:tcPr>
                <w:p w14:paraId="060D640E">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lang w:eastAsia="zh-CN"/>
                    </w:rPr>
                    <w:t>DW001</w:t>
                  </w:r>
                </w:p>
              </w:tc>
              <w:tc>
                <w:tcPr>
                  <w:tcW w:w="921" w:type="dxa"/>
                  <w:vAlign w:val="center"/>
                </w:tcPr>
                <w:p w14:paraId="2BF69F67">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lang w:eastAsia="zh-CN"/>
                    </w:rPr>
                    <w:t>一般排放口</w:t>
                  </w:r>
                </w:p>
              </w:tc>
            </w:tr>
          </w:tbl>
          <w:p w14:paraId="5B852D26">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highlight w:val="none"/>
                <w:lang w:eastAsia="zh-CN"/>
              </w:rPr>
              <w:t>表4-</w:t>
            </w:r>
            <w:r>
              <w:rPr>
                <w:rFonts w:hint="eastAsia" w:cs="Times New Roman"/>
                <w:b/>
                <w:bCs/>
                <w:color w:val="auto"/>
                <w:sz w:val="24"/>
                <w:highlight w:val="none"/>
                <w:lang w:val="en-US" w:eastAsia="zh-CN"/>
              </w:rPr>
              <w:t>9</w:t>
            </w:r>
            <w:r>
              <w:rPr>
                <w:rFonts w:ascii="Times New Roman" w:hAnsi="Times New Roman" w:eastAsia="宋体" w:cs="Times New Roman"/>
                <w:b/>
                <w:bCs/>
                <w:color w:val="auto"/>
                <w:sz w:val="24"/>
                <w:highlight w:val="none"/>
                <w:lang w:eastAsia="zh-CN"/>
              </w:rPr>
              <w:t xml:space="preserve"> 项目</w:t>
            </w:r>
            <w:r>
              <w:rPr>
                <w:rFonts w:hint="eastAsia" w:cs="Times New Roman"/>
                <w:b/>
                <w:bCs/>
                <w:color w:val="auto"/>
                <w:sz w:val="24"/>
                <w:highlight w:val="none"/>
                <w:lang w:val="en-US" w:eastAsia="zh-CN"/>
              </w:rPr>
              <w:t>生活</w:t>
            </w:r>
            <w:r>
              <w:rPr>
                <w:rFonts w:ascii="Times New Roman" w:hAnsi="Times New Roman" w:eastAsia="宋体" w:cs="Times New Roman"/>
                <w:b/>
                <w:bCs/>
                <w:color w:val="auto"/>
                <w:sz w:val="24"/>
                <w:highlight w:val="none"/>
                <w:lang w:eastAsia="zh-CN"/>
              </w:rPr>
              <w:t>用水及排水情况一览表</w:t>
            </w:r>
            <w:r>
              <w:rPr>
                <w:rFonts w:hint="eastAsia" w:cs="Times New Roman"/>
                <w:b/>
                <w:bCs/>
                <w:color w:val="auto"/>
                <w:sz w:val="24"/>
                <w:highlight w:val="none"/>
                <w:lang w:val="en-US" w:eastAsia="zh-CN"/>
              </w:rPr>
              <w:t xml:space="preserve">  </w:t>
            </w:r>
            <w:r>
              <w:rPr>
                <w:rFonts w:ascii="Times New Roman" w:hAnsi="Times New Roman" w:eastAsia="宋体" w:cs="Times New Roman"/>
                <w:b/>
                <w:bCs/>
                <w:color w:val="auto"/>
                <w:sz w:val="24"/>
                <w:highlight w:val="none"/>
                <w:lang w:eastAsia="zh-CN"/>
              </w:rPr>
              <w:t>单位：t/a</w:t>
            </w:r>
          </w:p>
          <w:tbl>
            <w:tblPr>
              <w:tblStyle w:val="25"/>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041"/>
              <w:gridCol w:w="893"/>
              <w:gridCol w:w="1073"/>
              <w:gridCol w:w="913"/>
              <w:gridCol w:w="958"/>
              <w:gridCol w:w="1083"/>
              <w:gridCol w:w="897"/>
              <w:gridCol w:w="1501"/>
            </w:tblGrid>
            <w:tr w14:paraId="7227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4" w:type="pct"/>
                  <w:vAlign w:val="center"/>
                </w:tcPr>
                <w:p w14:paraId="2CB976EC">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p>
              </w:tc>
              <w:tc>
                <w:tcPr>
                  <w:tcW w:w="577" w:type="pct"/>
                  <w:vAlign w:val="center"/>
                </w:tcPr>
                <w:p w14:paraId="706FE480">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废水量(m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/a)</w:t>
                  </w:r>
                </w:p>
              </w:tc>
              <w:tc>
                <w:tcPr>
                  <w:tcW w:w="495" w:type="pct"/>
                  <w:vAlign w:val="center"/>
                </w:tcPr>
                <w:p w14:paraId="42776A7C">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w:t>
                  </w:r>
                </w:p>
              </w:tc>
              <w:tc>
                <w:tcPr>
                  <w:tcW w:w="595" w:type="pct"/>
                  <w:vAlign w:val="center"/>
                </w:tcPr>
                <w:p w14:paraId="5492E351">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处理前浓度mg/L</w:t>
                  </w:r>
                </w:p>
              </w:tc>
              <w:tc>
                <w:tcPr>
                  <w:tcW w:w="506" w:type="pct"/>
                  <w:vAlign w:val="center"/>
                </w:tcPr>
                <w:p w14:paraId="34D33838">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产生量t/a</w:t>
                  </w:r>
                </w:p>
              </w:tc>
              <w:tc>
                <w:tcPr>
                  <w:tcW w:w="531" w:type="pct"/>
                  <w:vAlign w:val="center"/>
                </w:tcPr>
                <w:p w14:paraId="7F885DED">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治理措施</w:t>
                  </w:r>
                </w:p>
              </w:tc>
              <w:tc>
                <w:tcPr>
                  <w:tcW w:w="600" w:type="pct"/>
                  <w:vAlign w:val="center"/>
                </w:tcPr>
                <w:p w14:paraId="4BDE33E7">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排放浓度mg/L</w:t>
                  </w:r>
                </w:p>
              </w:tc>
              <w:tc>
                <w:tcPr>
                  <w:tcW w:w="497" w:type="pct"/>
                  <w:vAlign w:val="center"/>
                </w:tcPr>
                <w:p w14:paraId="14884428">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排放量t/a</w:t>
                  </w:r>
                </w:p>
              </w:tc>
              <w:tc>
                <w:tcPr>
                  <w:tcW w:w="832" w:type="pct"/>
                  <w:vAlign w:val="center"/>
                </w:tcPr>
                <w:p w14:paraId="594829E1">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去向</w:t>
                  </w:r>
                </w:p>
              </w:tc>
            </w:tr>
            <w:tr w14:paraId="44E5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4" w:type="pct"/>
                  <w:vMerge w:val="restart"/>
                  <w:vAlign w:val="center"/>
                </w:tcPr>
                <w:p w14:paraId="14C292F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生活污水</w:t>
                  </w:r>
                </w:p>
              </w:tc>
              <w:tc>
                <w:tcPr>
                  <w:tcW w:w="577" w:type="pct"/>
                  <w:vMerge w:val="restart"/>
                  <w:vAlign w:val="center"/>
                </w:tcPr>
                <w:p w14:paraId="1FCDB58A">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kern w:val="2"/>
                      <w:sz w:val="21"/>
                      <w:szCs w:val="21"/>
                      <w:highlight w:val="none"/>
                      <w:lang w:val="en-US" w:eastAsia="zh-CN" w:bidi="ar-SA"/>
                    </w:rPr>
                    <w:t>3648</w:t>
                  </w:r>
                </w:p>
              </w:tc>
              <w:tc>
                <w:tcPr>
                  <w:tcW w:w="495" w:type="pct"/>
                  <w:vAlign w:val="center"/>
                </w:tcPr>
                <w:p w14:paraId="7E4B41F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COD</w:t>
                  </w:r>
                </w:p>
              </w:tc>
              <w:tc>
                <w:tcPr>
                  <w:tcW w:w="595" w:type="pct"/>
                  <w:vAlign w:val="center"/>
                </w:tcPr>
                <w:p w14:paraId="55ED9B74">
                  <w:pPr>
                    <w:keepNext w:val="0"/>
                    <w:keepLines w:val="0"/>
                    <w:pageBreakBefore w:val="0"/>
                    <w:wordWrap/>
                    <w:overflowPunct/>
                    <w:topLinePunct w:val="0"/>
                    <w:bidi w:val="0"/>
                    <w:adjustRightInd/>
                    <w:snapToGrid/>
                    <w:jc w:val="center"/>
                    <w:rPr>
                      <w:rFonts w:hint="default" w:ascii="Times New Roman" w:hAnsi="Times New Roman" w:eastAsia="宋体" w:cs="Times New Roman"/>
                      <w:color w:val="auto"/>
                      <w:highlight w:val="none"/>
                    </w:rPr>
                  </w:pPr>
                  <w:r>
                    <w:rPr>
                      <w:rFonts w:hint="default" w:ascii="Times New Roman" w:hAnsi="Times New Roman" w:cs="Times New Roman"/>
                      <w:color w:val="auto"/>
                      <w:szCs w:val="21"/>
                      <w:highlight w:val="none"/>
                    </w:rPr>
                    <w:t>350</w:t>
                  </w:r>
                </w:p>
              </w:tc>
              <w:tc>
                <w:tcPr>
                  <w:tcW w:w="506" w:type="pct"/>
                  <w:vAlign w:val="center"/>
                </w:tcPr>
                <w:p w14:paraId="23038CE5">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1.276</w:t>
                  </w:r>
                </w:p>
              </w:tc>
              <w:tc>
                <w:tcPr>
                  <w:tcW w:w="531" w:type="pct"/>
                  <w:vMerge w:val="restart"/>
                  <w:vAlign w:val="center"/>
                </w:tcPr>
                <w:p w14:paraId="2C6F8446">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化粪池</w:t>
                  </w:r>
                </w:p>
              </w:tc>
              <w:tc>
                <w:tcPr>
                  <w:tcW w:w="600" w:type="pct"/>
                  <w:vAlign w:val="center"/>
                </w:tcPr>
                <w:p w14:paraId="5857198C">
                  <w:pPr>
                    <w:keepNext w:val="0"/>
                    <w:keepLines w:val="0"/>
                    <w:pageBreakBefore w:val="0"/>
                    <w:wordWrap/>
                    <w:overflowPunct/>
                    <w:topLinePunct w:val="0"/>
                    <w:bidi w:val="0"/>
                    <w:adjustRightInd/>
                    <w:snapToGrid/>
                    <w:jc w:val="center"/>
                    <w:rPr>
                      <w:rFonts w:hint="default" w:ascii="Times New Roman" w:hAnsi="Times New Roman" w:eastAsia="宋体" w:cs="Times New Roman"/>
                      <w:color w:val="auto"/>
                      <w:highlight w:val="none"/>
                    </w:rPr>
                  </w:pPr>
                  <w:r>
                    <w:rPr>
                      <w:rFonts w:hint="default" w:ascii="Times New Roman" w:hAnsi="Times New Roman" w:cs="Times New Roman"/>
                      <w:color w:val="auto"/>
                      <w:szCs w:val="21"/>
                      <w:highlight w:val="none"/>
                      <w:lang w:val="en-US" w:eastAsia="zh-CN"/>
                    </w:rPr>
                    <w:t>300</w:t>
                  </w:r>
                </w:p>
              </w:tc>
              <w:tc>
                <w:tcPr>
                  <w:tcW w:w="497" w:type="pct"/>
                  <w:vAlign w:val="center"/>
                </w:tcPr>
                <w:p w14:paraId="10D07D62">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1.094</w:t>
                  </w:r>
                </w:p>
              </w:tc>
              <w:tc>
                <w:tcPr>
                  <w:tcW w:w="832" w:type="pct"/>
                  <w:vMerge w:val="restart"/>
                  <w:vAlign w:val="center"/>
                </w:tcPr>
                <w:p w14:paraId="1CAD8772">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安徽淮相科技发展有限公司第二污水处理厂</w:t>
                  </w:r>
                </w:p>
              </w:tc>
            </w:tr>
            <w:tr w14:paraId="678C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4" w:type="pct"/>
                  <w:vMerge w:val="continue"/>
                  <w:vAlign w:val="center"/>
                </w:tcPr>
                <w:p w14:paraId="7DC11D0A">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577" w:type="pct"/>
                  <w:vMerge w:val="continue"/>
                  <w:vAlign w:val="center"/>
                </w:tcPr>
                <w:p w14:paraId="7368B107">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95" w:type="pct"/>
                  <w:vAlign w:val="center"/>
                </w:tcPr>
                <w:p w14:paraId="67302CA7">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BOD</w:t>
                  </w:r>
                  <w:r>
                    <w:rPr>
                      <w:rFonts w:ascii="Times New Roman" w:hAnsi="Times New Roman" w:eastAsia="宋体" w:cs="Times New Roman"/>
                      <w:color w:val="auto"/>
                      <w:highlight w:val="none"/>
                      <w:vertAlign w:val="subscript"/>
                      <w:lang w:eastAsia="zh-CN"/>
                    </w:rPr>
                    <w:t>5</w:t>
                  </w:r>
                </w:p>
              </w:tc>
              <w:tc>
                <w:tcPr>
                  <w:tcW w:w="595" w:type="pct"/>
                  <w:vAlign w:val="center"/>
                </w:tcPr>
                <w:p w14:paraId="406BF9CB">
                  <w:pPr>
                    <w:keepNext w:val="0"/>
                    <w:keepLines w:val="0"/>
                    <w:pageBreakBefore w:val="0"/>
                    <w:wordWrap/>
                    <w:overflowPunct/>
                    <w:topLinePunct w:val="0"/>
                    <w:bidi w:val="0"/>
                    <w:adjustRightInd/>
                    <w:snapToGrid/>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rPr>
                    <w:t>2</w:t>
                  </w:r>
                  <w:r>
                    <w:rPr>
                      <w:rFonts w:hint="default" w:ascii="Times New Roman" w:hAnsi="Times New Roman" w:cs="Times New Roman"/>
                      <w:color w:val="auto"/>
                      <w:szCs w:val="21"/>
                      <w:highlight w:val="none"/>
                      <w:lang w:val="en-US" w:eastAsia="zh-CN"/>
                    </w:rPr>
                    <w:t>00</w:t>
                  </w:r>
                </w:p>
              </w:tc>
              <w:tc>
                <w:tcPr>
                  <w:tcW w:w="506" w:type="pct"/>
                  <w:vAlign w:val="center"/>
                </w:tcPr>
                <w:p w14:paraId="2D2EEBFB">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0.729</w:t>
                  </w:r>
                </w:p>
              </w:tc>
              <w:tc>
                <w:tcPr>
                  <w:tcW w:w="531" w:type="pct"/>
                  <w:vMerge w:val="continue"/>
                  <w:vAlign w:val="center"/>
                </w:tcPr>
                <w:p w14:paraId="46FDC735">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600" w:type="pct"/>
                  <w:vAlign w:val="center"/>
                </w:tcPr>
                <w:p w14:paraId="5466D424">
                  <w:pPr>
                    <w:keepNext w:val="0"/>
                    <w:keepLines w:val="0"/>
                    <w:pageBreakBefore w:val="0"/>
                    <w:wordWrap/>
                    <w:overflowPunct/>
                    <w:topLinePunct w:val="0"/>
                    <w:bidi w:val="0"/>
                    <w:adjustRightInd/>
                    <w:snapToGrid/>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lang w:val="en-US" w:eastAsia="zh-CN"/>
                    </w:rPr>
                    <w:t>170</w:t>
                  </w:r>
                </w:p>
              </w:tc>
              <w:tc>
                <w:tcPr>
                  <w:tcW w:w="497" w:type="pct"/>
                  <w:vAlign w:val="center"/>
                </w:tcPr>
                <w:p w14:paraId="11B24AF4">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0.62</w:t>
                  </w:r>
                </w:p>
              </w:tc>
              <w:tc>
                <w:tcPr>
                  <w:tcW w:w="832" w:type="pct"/>
                  <w:vMerge w:val="continue"/>
                  <w:vAlign w:val="center"/>
                </w:tcPr>
                <w:p w14:paraId="0A8303B1">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r>
            <w:tr w14:paraId="151E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4" w:type="pct"/>
                  <w:vMerge w:val="continue"/>
                  <w:vAlign w:val="center"/>
                </w:tcPr>
                <w:p w14:paraId="4F791003">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577" w:type="pct"/>
                  <w:vMerge w:val="continue"/>
                  <w:vAlign w:val="center"/>
                </w:tcPr>
                <w:p w14:paraId="6F3E23F2">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95" w:type="pct"/>
                  <w:vAlign w:val="center"/>
                </w:tcPr>
                <w:p w14:paraId="657C2DEA">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SS</w:t>
                  </w:r>
                </w:p>
              </w:tc>
              <w:tc>
                <w:tcPr>
                  <w:tcW w:w="595" w:type="pct"/>
                  <w:vAlign w:val="center"/>
                </w:tcPr>
                <w:p w14:paraId="3AFC967B">
                  <w:pPr>
                    <w:keepNext w:val="0"/>
                    <w:keepLines w:val="0"/>
                    <w:pageBreakBefore w:val="0"/>
                    <w:wordWrap/>
                    <w:overflowPunct/>
                    <w:topLinePunct w:val="0"/>
                    <w:bidi w:val="0"/>
                    <w:adjustRightInd/>
                    <w:snapToGrid/>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rPr>
                    <w:t>250</w:t>
                  </w:r>
                </w:p>
              </w:tc>
              <w:tc>
                <w:tcPr>
                  <w:tcW w:w="506" w:type="pct"/>
                  <w:vAlign w:val="center"/>
                </w:tcPr>
                <w:p w14:paraId="3500FA01">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0.912</w:t>
                  </w:r>
                </w:p>
              </w:tc>
              <w:tc>
                <w:tcPr>
                  <w:tcW w:w="531" w:type="pct"/>
                  <w:vMerge w:val="continue"/>
                  <w:vAlign w:val="center"/>
                </w:tcPr>
                <w:p w14:paraId="0DE4B4D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600" w:type="pct"/>
                  <w:vAlign w:val="center"/>
                </w:tcPr>
                <w:p w14:paraId="5A3DFF1C">
                  <w:pPr>
                    <w:keepNext w:val="0"/>
                    <w:keepLines w:val="0"/>
                    <w:pageBreakBefore w:val="0"/>
                    <w:wordWrap/>
                    <w:overflowPunct/>
                    <w:topLinePunct w:val="0"/>
                    <w:bidi w:val="0"/>
                    <w:adjustRightInd/>
                    <w:snapToGrid/>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lang w:val="en-US" w:eastAsia="zh-CN"/>
                    </w:rPr>
                    <w:t>200</w:t>
                  </w:r>
                </w:p>
              </w:tc>
              <w:tc>
                <w:tcPr>
                  <w:tcW w:w="497" w:type="pct"/>
                  <w:vAlign w:val="center"/>
                </w:tcPr>
                <w:p w14:paraId="21449183">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0.729</w:t>
                  </w:r>
                </w:p>
              </w:tc>
              <w:tc>
                <w:tcPr>
                  <w:tcW w:w="832" w:type="pct"/>
                  <w:vMerge w:val="continue"/>
                  <w:vAlign w:val="center"/>
                </w:tcPr>
                <w:p w14:paraId="6023B4F6">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r>
            <w:tr w14:paraId="3E9F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4" w:type="pct"/>
                  <w:vMerge w:val="continue"/>
                  <w:vAlign w:val="center"/>
                </w:tcPr>
                <w:p w14:paraId="0EFC9884">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577" w:type="pct"/>
                  <w:vMerge w:val="continue"/>
                  <w:vAlign w:val="center"/>
                </w:tcPr>
                <w:p w14:paraId="791BEACE">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95" w:type="pct"/>
                  <w:vAlign w:val="center"/>
                </w:tcPr>
                <w:p w14:paraId="6BA63582">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氨氮</w:t>
                  </w:r>
                </w:p>
              </w:tc>
              <w:tc>
                <w:tcPr>
                  <w:tcW w:w="595" w:type="pct"/>
                  <w:vAlign w:val="center"/>
                </w:tcPr>
                <w:p w14:paraId="3D1E33BA">
                  <w:pPr>
                    <w:keepNext w:val="0"/>
                    <w:keepLines w:val="0"/>
                    <w:pageBreakBefore w:val="0"/>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Cs w:val="21"/>
                      <w:highlight w:val="none"/>
                      <w:lang w:val="en-US" w:eastAsia="zh-CN"/>
                    </w:rPr>
                    <w:t>25</w:t>
                  </w:r>
                </w:p>
              </w:tc>
              <w:tc>
                <w:tcPr>
                  <w:tcW w:w="506" w:type="pct"/>
                  <w:vAlign w:val="center"/>
                </w:tcPr>
                <w:p w14:paraId="27B631FB">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0.091</w:t>
                  </w:r>
                </w:p>
              </w:tc>
              <w:tc>
                <w:tcPr>
                  <w:tcW w:w="531" w:type="pct"/>
                  <w:vMerge w:val="continue"/>
                  <w:vAlign w:val="center"/>
                </w:tcPr>
                <w:p w14:paraId="099F62D1">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600" w:type="pct"/>
                  <w:vAlign w:val="center"/>
                </w:tcPr>
                <w:p w14:paraId="6B5C681E">
                  <w:pPr>
                    <w:keepNext w:val="0"/>
                    <w:keepLines w:val="0"/>
                    <w:pageBreakBefore w:val="0"/>
                    <w:wordWrap/>
                    <w:overflowPunct/>
                    <w:topLinePunct w:val="0"/>
                    <w:bidi w:val="0"/>
                    <w:adjustRightInd/>
                    <w:snapToGrid/>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rPr>
                    <w:t>25</w:t>
                  </w:r>
                </w:p>
              </w:tc>
              <w:tc>
                <w:tcPr>
                  <w:tcW w:w="497" w:type="pct"/>
                  <w:vAlign w:val="center"/>
                </w:tcPr>
                <w:p w14:paraId="51C3CF00">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0.091</w:t>
                  </w:r>
                </w:p>
              </w:tc>
              <w:tc>
                <w:tcPr>
                  <w:tcW w:w="832" w:type="pct"/>
                  <w:vMerge w:val="continue"/>
                  <w:vAlign w:val="center"/>
                </w:tcPr>
                <w:p w14:paraId="228081F1">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r>
          </w:tbl>
          <w:p w14:paraId="3A637FB5">
            <w:pPr>
              <w:keepNext w:val="0"/>
              <w:keepLines w:val="0"/>
              <w:pageBreakBefore w:val="0"/>
              <w:widowControl/>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4-</w:t>
            </w:r>
            <w:r>
              <w:rPr>
                <w:rFonts w:hint="eastAsia" w:cs="Times New Roman"/>
                <w:b/>
                <w:bCs/>
                <w:color w:val="auto"/>
                <w:sz w:val="24"/>
                <w:highlight w:val="none"/>
                <w:lang w:val="en-US" w:eastAsia="zh-CN"/>
              </w:rPr>
              <w:t>10</w:t>
            </w:r>
            <w:r>
              <w:rPr>
                <w:rFonts w:hint="eastAsia" w:ascii="Times New Roman" w:hAnsi="Times New Roman" w:eastAsia="宋体" w:cs="Times New Roman"/>
                <w:b/>
                <w:bCs/>
                <w:color w:val="auto"/>
                <w:sz w:val="24"/>
                <w:highlight w:val="none"/>
                <w:lang w:val="en-US" w:eastAsia="zh-CN"/>
              </w:rPr>
              <w:t xml:space="preserve">  项目生产用水及回用情况一览表  单位：t/a</w:t>
            </w:r>
          </w:p>
          <w:tbl>
            <w:tblPr>
              <w:tblStyle w:val="25"/>
              <w:tblW w:w="49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851"/>
              <w:gridCol w:w="846"/>
              <w:gridCol w:w="1002"/>
              <w:gridCol w:w="799"/>
              <w:gridCol w:w="1304"/>
              <w:gridCol w:w="1034"/>
              <w:gridCol w:w="1034"/>
              <w:gridCol w:w="1506"/>
            </w:tblGrid>
            <w:tr w14:paraId="744B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339" w:type="pct"/>
                  <w:vAlign w:val="center"/>
                </w:tcPr>
                <w:p w14:paraId="4D0DAE98">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p>
              </w:tc>
              <w:tc>
                <w:tcPr>
                  <w:tcW w:w="473" w:type="pct"/>
                  <w:vAlign w:val="center"/>
                </w:tcPr>
                <w:p w14:paraId="3CC846F8">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废水量(m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/a)</w:t>
                  </w:r>
                </w:p>
              </w:tc>
              <w:tc>
                <w:tcPr>
                  <w:tcW w:w="470" w:type="pct"/>
                  <w:vAlign w:val="center"/>
                </w:tcPr>
                <w:p w14:paraId="2012BF3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w:t>
                  </w:r>
                </w:p>
              </w:tc>
              <w:tc>
                <w:tcPr>
                  <w:tcW w:w="557" w:type="pct"/>
                  <w:vAlign w:val="center"/>
                </w:tcPr>
                <w:p w14:paraId="68C02E31">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处理前浓度mg/L</w:t>
                  </w:r>
                </w:p>
              </w:tc>
              <w:tc>
                <w:tcPr>
                  <w:tcW w:w="444" w:type="pct"/>
                  <w:vAlign w:val="center"/>
                </w:tcPr>
                <w:p w14:paraId="7DF0EE41">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产生量t/a</w:t>
                  </w:r>
                </w:p>
              </w:tc>
              <w:tc>
                <w:tcPr>
                  <w:tcW w:w="725" w:type="pct"/>
                  <w:vAlign w:val="center"/>
                </w:tcPr>
                <w:p w14:paraId="7C38F9A2">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治理措施</w:t>
                  </w:r>
                </w:p>
              </w:tc>
              <w:tc>
                <w:tcPr>
                  <w:tcW w:w="575" w:type="pct"/>
                  <w:vAlign w:val="center"/>
                </w:tcPr>
                <w:p w14:paraId="2FC70ADB">
                  <w:pPr>
                    <w:keepNext w:val="0"/>
                    <w:keepLines w:val="0"/>
                    <w:pageBreakBefore w:val="0"/>
                    <w:kinsoku/>
                    <w:wordWrap/>
                    <w:overflowPunct/>
                    <w:topLinePunct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去除率</w:t>
                  </w:r>
                </w:p>
              </w:tc>
              <w:tc>
                <w:tcPr>
                  <w:tcW w:w="575" w:type="pct"/>
                  <w:vAlign w:val="center"/>
                </w:tcPr>
                <w:p w14:paraId="041A093B">
                  <w:pPr>
                    <w:keepNext w:val="0"/>
                    <w:keepLines w:val="0"/>
                    <w:pageBreakBefore w:val="0"/>
                    <w:kinsoku/>
                    <w:wordWrap/>
                    <w:overflowPunct/>
                    <w:topLinePunct w:val="0"/>
                    <w:bidi w:val="0"/>
                    <w:adjustRightInd/>
                    <w:snapToGrid/>
                    <w:jc w:val="center"/>
                    <w:rPr>
                      <w:rFonts w:hint="default" w:cs="Times New Roman"/>
                      <w:color w:val="auto"/>
                      <w:highlight w:val="none"/>
                      <w:lang w:val="en-US" w:eastAsia="zh-CN"/>
                    </w:rPr>
                  </w:pPr>
                  <w:r>
                    <w:rPr>
                      <w:rFonts w:hint="eastAsia" w:cs="Times New Roman"/>
                      <w:color w:val="auto"/>
                      <w:highlight w:val="none"/>
                      <w:lang w:val="en-US" w:eastAsia="zh-CN"/>
                    </w:rPr>
                    <w:t>处理后浓度</w:t>
                  </w:r>
                </w:p>
              </w:tc>
              <w:tc>
                <w:tcPr>
                  <w:tcW w:w="837" w:type="pct"/>
                  <w:vAlign w:val="center"/>
                </w:tcPr>
                <w:p w14:paraId="7F43DB6C">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去向</w:t>
                  </w:r>
                </w:p>
              </w:tc>
            </w:tr>
            <w:tr w14:paraId="24CA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39" w:type="pct"/>
                  <w:vMerge w:val="restart"/>
                  <w:vAlign w:val="center"/>
                </w:tcPr>
                <w:p w14:paraId="3E65F3BD">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综合废水</w:t>
                  </w:r>
                </w:p>
              </w:tc>
              <w:tc>
                <w:tcPr>
                  <w:tcW w:w="473" w:type="pct"/>
                  <w:vMerge w:val="restart"/>
                  <w:vAlign w:val="center"/>
                </w:tcPr>
                <w:p w14:paraId="5590A0E7">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68.8</w:t>
                  </w:r>
                </w:p>
              </w:tc>
              <w:tc>
                <w:tcPr>
                  <w:tcW w:w="470" w:type="pct"/>
                  <w:vAlign w:val="center"/>
                </w:tcPr>
                <w:p w14:paraId="433AD19E">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color w:val="auto"/>
                      <w:highlight w:val="none"/>
                      <w:lang w:eastAsia="zh-CN"/>
                    </w:rPr>
                  </w:pPr>
                  <w:r>
                    <w:rPr>
                      <w:rFonts w:hint="eastAsia" w:cs="Times New Roman"/>
                      <w:color w:val="auto"/>
                      <w:kern w:val="2"/>
                      <w:sz w:val="22"/>
                      <w:szCs w:val="22"/>
                      <w:highlight w:val="none"/>
                      <w:vertAlign w:val="baseline"/>
                      <w:lang w:val="en-US" w:eastAsia="zh-CN" w:bidi="ar-SA"/>
                    </w:rPr>
                    <w:t>COD</w:t>
                  </w:r>
                </w:p>
              </w:tc>
              <w:tc>
                <w:tcPr>
                  <w:tcW w:w="557" w:type="pct"/>
                  <w:vAlign w:val="center"/>
                </w:tcPr>
                <w:p w14:paraId="7A142F5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cs="Times New Roman"/>
                      <w:color w:val="auto"/>
                      <w:szCs w:val="21"/>
                      <w:highlight w:val="none"/>
                      <w:lang w:val="en-US" w:eastAsia="zh-CN"/>
                    </w:rPr>
                  </w:pPr>
                  <w:r>
                    <w:rPr>
                      <w:rFonts w:hint="eastAsia" w:cs="Times New Roman"/>
                      <w:color w:val="auto"/>
                      <w:kern w:val="2"/>
                      <w:sz w:val="22"/>
                      <w:szCs w:val="22"/>
                      <w:highlight w:val="none"/>
                      <w:vertAlign w:val="baseline"/>
                      <w:lang w:val="en-US" w:eastAsia="zh-CN" w:bidi="ar-SA"/>
                    </w:rPr>
                    <w:t>987</w:t>
                  </w:r>
                </w:p>
              </w:tc>
              <w:tc>
                <w:tcPr>
                  <w:tcW w:w="444" w:type="pct"/>
                  <w:vAlign w:val="center"/>
                </w:tcPr>
                <w:p w14:paraId="294E8F7F">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highlight w:val="none"/>
                      <w:lang w:val="en-US" w:eastAsia="zh-CN"/>
                    </w:rPr>
                  </w:pPr>
                  <w:r>
                    <w:rPr>
                      <w:rFonts w:hint="eastAsia" w:cs="Times New Roman"/>
                      <w:color w:val="auto"/>
                      <w:kern w:val="2"/>
                      <w:sz w:val="22"/>
                      <w:szCs w:val="22"/>
                      <w:highlight w:val="none"/>
                      <w:vertAlign w:val="baseline"/>
                      <w:lang w:val="en-US" w:eastAsia="zh-CN" w:bidi="ar-SA"/>
                    </w:rPr>
                    <w:t>0.067</w:t>
                  </w:r>
                </w:p>
              </w:tc>
              <w:tc>
                <w:tcPr>
                  <w:tcW w:w="725" w:type="pct"/>
                  <w:vMerge w:val="restart"/>
                  <w:vAlign w:val="center"/>
                </w:tcPr>
                <w:p w14:paraId="5BFB402C">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sz w:val="22"/>
                      <w:szCs w:val="22"/>
                      <w:lang w:val="en-US" w:eastAsia="zh-CN"/>
                    </w:rPr>
                    <w:t>隔油+气浮+混凝沉淀+A/O+沉淀</w:t>
                  </w:r>
                </w:p>
              </w:tc>
              <w:tc>
                <w:tcPr>
                  <w:tcW w:w="575" w:type="pct"/>
                  <w:vAlign w:val="center"/>
                </w:tcPr>
                <w:p w14:paraId="18055AA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90%</w:t>
                  </w:r>
                </w:p>
              </w:tc>
              <w:tc>
                <w:tcPr>
                  <w:tcW w:w="575" w:type="pct"/>
                  <w:vAlign w:val="center"/>
                </w:tcPr>
                <w:p w14:paraId="74333BF8">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98.7</w:t>
                  </w:r>
                </w:p>
              </w:tc>
              <w:tc>
                <w:tcPr>
                  <w:tcW w:w="837" w:type="pct"/>
                  <w:vMerge w:val="restart"/>
                  <w:vAlign w:val="center"/>
                </w:tcPr>
                <w:p w14:paraId="41D8AEE9">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经自建污水处理后，回用于生产</w:t>
                  </w:r>
                </w:p>
              </w:tc>
            </w:tr>
            <w:tr w14:paraId="7EFB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39" w:type="pct"/>
                  <w:vMerge w:val="continue"/>
                  <w:vAlign w:val="center"/>
                </w:tcPr>
                <w:p w14:paraId="4456059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73" w:type="pct"/>
                  <w:vMerge w:val="continue"/>
                  <w:vAlign w:val="center"/>
                </w:tcPr>
                <w:p w14:paraId="477F0A33">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70" w:type="pct"/>
                  <w:vAlign w:val="center"/>
                </w:tcPr>
                <w:p w14:paraId="0010763B">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color w:val="auto"/>
                      <w:highlight w:val="none"/>
                      <w:lang w:eastAsia="zh-CN"/>
                    </w:rPr>
                  </w:pPr>
                  <w:r>
                    <w:rPr>
                      <w:rFonts w:hint="eastAsia" w:cs="Times New Roman"/>
                      <w:color w:val="auto"/>
                      <w:kern w:val="2"/>
                      <w:sz w:val="22"/>
                      <w:szCs w:val="22"/>
                      <w:highlight w:val="none"/>
                      <w:vertAlign w:val="baseline"/>
                      <w:lang w:val="en-US" w:eastAsia="zh-CN" w:bidi="ar-SA"/>
                    </w:rPr>
                    <w:t>氨氮</w:t>
                  </w:r>
                </w:p>
              </w:tc>
              <w:tc>
                <w:tcPr>
                  <w:tcW w:w="557" w:type="pct"/>
                  <w:vAlign w:val="center"/>
                </w:tcPr>
                <w:p w14:paraId="257B035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cs="Times New Roman"/>
                      <w:color w:val="auto"/>
                      <w:szCs w:val="21"/>
                      <w:highlight w:val="none"/>
                      <w:lang w:val="en-US" w:eastAsia="zh-CN"/>
                    </w:rPr>
                  </w:pPr>
                  <w:r>
                    <w:rPr>
                      <w:rFonts w:hint="eastAsia" w:cs="Times New Roman"/>
                      <w:color w:val="auto"/>
                      <w:kern w:val="2"/>
                      <w:sz w:val="22"/>
                      <w:szCs w:val="22"/>
                      <w:highlight w:val="none"/>
                      <w:vertAlign w:val="baseline"/>
                      <w:lang w:val="en-US" w:eastAsia="zh-CN" w:bidi="ar-SA"/>
                    </w:rPr>
                    <w:t>31</w:t>
                  </w:r>
                </w:p>
              </w:tc>
              <w:tc>
                <w:tcPr>
                  <w:tcW w:w="444" w:type="pct"/>
                  <w:vAlign w:val="center"/>
                </w:tcPr>
                <w:p w14:paraId="58741AC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highlight w:val="none"/>
                      <w:lang w:val="en-US" w:eastAsia="zh-CN"/>
                    </w:rPr>
                  </w:pPr>
                  <w:r>
                    <w:rPr>
                      <w:rFonts w:hint="eastAsia" w:cs="Times New Roman"/>
                      <w:color w:val="auto"/>
                      <w:kern w:val="2"/>
                      <w:sz w:val="22"/>
                      <w:szCs w:val="22"/>
                      <w:highlight w:val="none"/>
                      <w:vertAlign w:val="baseline"/>
                      <w:lang w:val="en-US" w:eastAsia="zh-CN" w:bidi="ar-SA"/>
                    </w:rPr>
                    <w:t>0.002</w:t>
                  </w:r>
                </w:p>
              </w:tc>
              <w:tc>
                <w:tcPr>
                  <w:tcW w:w="725" w:type="pct"/>
                  <w:vMerge w:val="continue"/>
                  <w:vAlign w:val="center"/>
                </w:tcPr>
                <w:p w14:paraId="79E3A998">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575" w:type="pct"/>
                  <w:vAlign w:val="center"/>
                </w:tcPr>
                <w:p w14:paraId="47D506F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sz w:val="21"/>
                      <w:szCs w:val="21"/>
                      <w:lang w:val="en-US" w:eastAsia="zh-CN"/>
                    </w:rPr>
                    <w:t>80</w:t>
                  </w:r>
                  <w:r>
                    <w:rPr>
                      <w:rFonts w:hint="default" w:ascii="Times New Roman" w:hAnsi="Times New Roman" w:cs="Times New Roman"/>
                      <w:sz w:val="21"/>
                      <w:szCs w:val="21"/>
                      <w:lang w:val="en-US" w:eastAsia="zh-CN"/>
                    </w:rPr>
                    <w:t>%</w:t>
                  </w:r>
                </w:p>
              </w:tc>
              <w:tc>
                <w:tcPr>
                  <w:tcW w:w="575" w:type="pct"/>
                  <w:vAlign w:val="center"/>
                </w:tcPr>
                <w:p w14:paraId="4DE171D8">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6.2</w:t>
                  </w:r>
                </w:p>
              </w:tc>
              <w:tc>
                <w:tcPr>
                  <w:tcW w:w="837" w:type="pct"/>
                  <w:vMerge w:val="continue"/>
                  <w:vAlign w:val="center"/>
                </w:tcPr>
                <w:p w14:paraId="3FCFEB29">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r>
            <w:tr w14:paraId="05D9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9" w:type="pct"/>
                  <w:vMerge w:val="continue"/>
                  <w:vAlign w:val="center"/>
                </w:tcPr>
                <w:p w14:paraId="7058C828">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73" w:type="pct"/>
                  <w:vMerge w:val="continue"/>
                  <w:vAlign w:val="center"/>
                </w:tcPr>
                <w:p w14:paraId="32C9AAC5">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70" w:type="pct"/>
                  <w:vAlign w:val="center"/>
                </w:tcPr>
                <w:p w14:paraId="629B307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color w:val="auto"/>
                      <w:highlight w:val="none"/>
                      <w:lang w:eastAsia="zh-CN"/>
                    </w:rPr>
                  </w:pPr>
                  <w:r>
                    <w:rPr>
                      <w:rFonts w:hint="eastAsia" w:cs="Times New Roman"/>
                      <w:color w:val="auto"/>
                      <w:kern w:val="2"/>
                      <w:sz w:val="22"/>
                      <w:szCs w:val="22"/>
                      <w:highlight w:val="none"/>
                      <w:vertAlign w:val="baseline"/>
                      <w:lang w:val="en-US" w:eastAsia="zh-CN" w:bidi="ar-SA"/>
                    </w:rPr>
                    <w:t>BOD</w:t>
                  </w:r>
                  <w:r>
                    <w:rPr>
                      <w:rFonts w:hint="eastAsia" w:cs="Times New Roman"/>
                      <w:color w:val="auto"/>
                      <w:kern w:val="2"/>
                      <w:sz w:val="22"/>
                      <w:szCs w:val="22"/>
                      <w:highlight w:val="none"/>
                      <w:vertAlign w:val="subscript"/>
                      <w:lang w:val="en-US" w:eastAsia="zh-CN" w:bidi="ar-SA"/>
                    </w:rPr>
                    <w:t>5</w:t>
                  </w:r>
                </w:p>
              </w:tc>
              <w:tc>
                <w:tcPr>
                  <w:tcW w:w="557" w:type="pct"/>
                  <w:vAlign w:val="center"/>
                </w:tcPr>
                <w:p w14:paraId="632A1A11">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cs="Times New Roman"/>
                      <w:color w:val="auto"/>
                      <w:szCs w:val="21"/>
                      <w:highlight w:val="none"/>
                      <w:lang w:val="en-US" w:eastAsia="zh-CN"/>
                    </w:rPr>
                  </w:pPr>
                  <w:r>
                    <w:rPr>
                      <w:rFonts w:hint="eastAsia" w:cs="Times New Roman"/>
                      <w:color w:val="auto"/>
                      <w:kern w:val="2"/>
                      <w:sz w:val="22"/>
                      <w:szCs w:val="22"/>
                      <w:highlight w:val="none"/>
                      <w:vertAlign w:val="baseline"/>
                      <w:lang w:val="en-US" w:eastAsia="zh-CN" w:bidi="ar-SA"/>
                    </w:rPr>
                    <w:t>335</w:t>
                  </w:r>
                </w:p>
              </w:tc>
              <w:tc>
                <w:tcPr>
                  <w:tcW w:w="444" w:type="pct"/>
                  <w:vAlign w:val="center"/>
                </w:tcPr>
                <w:p w14:paraId="4221A4C4">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highlight w:val="none"/>
                      <w:lang w:val="en-US" w:eastAsia="zh-CN"/>
                    </w:rPr>
                  </w:pPr>
                  <w:r>
                    <w:rPr>
                      <w:rFonts w:hint="eastAsia" w:cs="Times New Roman"/>
                      <w:color w:val="auto"/>
                      <w:kern w:val="2"/>
                      <w:sz w:val="22"/>
                      <w:szCs w:val="22"/>
                      <w:highlight w:val="none"/>
                      <w:vertAlign w:val="baseline"/>
                      <w:lang w:val="en-US" w:eastAsia="zh-CN" w:bidi="ar-SA"/>
                    </w:rPr>
                    <w:t>0.023</w:t>
                  </w:r>
                </w:p>
              </w:tc>
              <w:tc>
                <w:tcPr>
                  <w:tcW w:w="725" w:type="pct"/>
                  <w:vMerge w:val="continue"/>
                  <w:vAlign w:val="center"/>
                </w:tcPr>
                <w:p w14:paraId="7A94CB91">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575" w:type="pct"/>
                  <w:vAlign w:val="center"/>
                </w:tcPr>
                <w:p w14:paraId="6BF3F090">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sz w:val="21"/>
                      <w:szCs w:val="21"/>
                      <w:lang w:val="en-US" w:eastAsia="zh-CN"/>
                    </w:rPr>
                    <w:t>9</w:t>
                  </w:r>
                  <w:r>
                    <w:rPr>
                      <w:rFonts w:hint="eastAsia" w:ascii="Times New Roman" w:cs="Times New Roman"/>
                      <w:sz w:val="21"/>
                      <w:szCs w:val="21"/>
                      <w:lang w:val="en-US" w:eastAsia="zh-CN"/>
                    </w:rPr>
                    <w:t>0</w:t>
                  </w:r>
                  <w:r>
                    <w:rPr>
                      <w:rFonts w:hint="default" w:ascii="Times New Roman" w:hAnsi="Times New Roman" w:cs="Times New Roman"/>
                      <w:sz w:val="21"/>
                      <w:szCs w:val="21"/>
                      <w:lang w:val="en-US" w:eastAsia="zh-CN"/>
                    </w:rPr>
                    <w:t>%</w:t>
                  </w:r>
                </w:p>
              </w:tc>
              <w:tc>
                <w:tcPr>
                  <w:tcW w:w="575" w:type="pct"/>
                  <w:vAlign w:val="center"/>
                </w:tcPr>
                <w:p w14:paraId="2159E79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33.5</w:t>
                  </w:r>
                </w:p>
              </w:tc>
              <w:tc>
                <w:tcPr>
                  <w:tcW w:w="837" w:type="pct"/>
                  <w:vMerge w:val="continue"/>
                  <w:vAlign w:val="center"/>
                </w:tcPr>
                <w:p w14:paraId="01ACF17B">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r>
            <w:tr w14:paraId="10FC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39" w:type="pct"/>
                  <w:vMerge w:val="continue"/>
                  <w:vAlign w:val="center"/>
                </w:tcPr>
                <w:p w14:paraId="7D4ADEBD">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73" w:type="pct"/>
                  <w:vMerge w:val="continue"/>
                  <w:vAlign w:val="center"/>
                </w:tcPr>
                <w:p w14:paraId="7DED7CAF">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70" w:type="pct"/>
                  <w:vAlign w:val="center"/>
                </w:tcPr>
                <w:p w14:paraId="3BFFA34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color w:val="auto"/>
                      <w:highlight w:val="none"/>
                      <w:lang w:eastAsia="zh-CN"/>
                    </w:rPr>
                  </w:pPr>
                  <w:r>
                    <w:rPr>
                      <w:rFonts w:hint="eastAsia" w:cs="Times New Roman"/>
                      <w:color w:val="auto"/>
                      <w:kern w:val="2"/>
                      <w:sz w:val="22"/>
                      <w:szCs w:val="22"/>
                      <w:highlight w:val="none"/>
                      <w:vertAlign w:val="baseline"/>
                      <w:lang w:val="en-US" w:eastAsia="zh-CN" w:bidi="ar-SA"/>
                    </w:rPr>
                    <w:t>SS</w:t>
                  </w:r>
                </w:p>
              </w:tc>
              <w:tc>
                <w:tcPr>
                  <w:tcW w:w="557" w:type="pct"/>
                  <w:vAlign w:val="center"/>
                </w:tcPr>
                <w:p w14:paraId="568E782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cs="Times New Roman"/>
                      <w:color w:val="auto"/>
                      <w:szCs w:val="21"/>
                      <w:highlight w:val="none"/>
                      <w:lang w:val="en-US" w:eastAsia="zh-CN"/>
                    </w:rPr>
                  </w:pPr>
                  <w:r>
                    <w:rPr>
                      <w:rFonts w:hint="eastAsia" w:cs="Times New Roman"/>
                      <w:color w:val="auto"/>
                      <w:kern w:val="2"/>
                      <w:sz w:val="22"/>
                      <w:szCs w:val="22"/>
                      <w:highlight w:val="none"/>
                      <w:vertAlign w:val="baseline"/>
                      <w:lang w:val="en-US" w:eastAsia="zh-CN" w:bidi="ar-SA"/>
                    </w:rPr>
                    <w:t>582</w:t>
                  </w:r>
                </w:p>
              </w:tc>
              <w:tc>
                <w:tcPr>
                  <w:tcW w:w="444" w:type="pct"/>
                  <w:vAlign w:val="center"/>
                </w:tcPr>
                <w:p w14:paraId="5A8B6818">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highlight w:val="none"/>
                      <w:lang w:val="en-US" w:eastAsia="zh-CN"/>
                    </w:rPr>
                  </w:pPr>
                  <w:r>
                    <w:rPr>
                      <w:rFonts w:hint="eastAsia" w:cs="Times New Roman"/>
                      <w:color w:val="auto"/>
                      <w:kern w:val="2"/>
                      <w:sz w:val="22"/>
                      <w:szCs w:val="22"/>
                      <w:highlight w:val="none"/>
                      <w:vertAlign w:val="baseline"/>
                      <w:lang w:val="en-US" w:eastAsia="zh-CN" w:bidi="ar-SA"/>
                    </w:rPr>
                    <w:t>0.04</w:t>
                  </w:r>
                </w:p>
              </w:tc>
              <w:tc>
                <w:tcPr>
                  <w:tcW w:w="725" w:type="pct"/>
                  <w:vMerge w:val="continue"/>
                  <w:vAlign w:val="center"/>
                </w:tcPr>
                <w:p w14:paraId="25365154">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575" w:type="pct"/>
                  <w:vAlign w:val="center"/>
                </w:tcPr>
                <w:p w14:paraId="6C15BEEC">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sz w:val="21"/>
                      <w:szCs w:val="21"/>
                      <w:lang w:val="en-US" w:eastAsia="zh-CN"/>
                    </w:rPr>
                    <w:t>90</w:t>
                  </w:r>
                  <w:r>
                    <w:rPr>
                      <w:rFonts w:hint="default" w:ascii="Times New Roman" w:hAnsi="Times New Roman" w:cs="Times New Roman"/>
                      <w:sz w:val="21"/>
                      <w:szCs w:val="21"/>
                      <w:lang w:val="en-US" w:eastAsia="zh-CN"/>
                    </w:rPr>
                    <w:t>%</w:t>
                  </w:r>
                </w:p>
              </w:tc>
              <w:tc>
                <w:tcPr>
                  <w:tcW w:w="575" w:type="pct"/>
                  <w:vAlign w:val="center"/>
                </w:tcPr>
                <w:p w14:paraId="59E8B4BD">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58.2</w:t>
                  </w:r>
                </w:p>
              </w:tc>
              <w:tc>
                <w:tcPr>
                  <w:tcW w:w="837" w:type="pct"/>
                  <w:vMerge w:val="continue"/>
                  <w:vAlign w:val="center"/>
                </w:tcPr>
                <w:p w14:paraId="7D863252">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r>
            <w:tr w14:paraId="104A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39" w:type="pct"/>
                  <w:vMerge w:val="continue"/>
                  <w:vAlign w:val="center"/>
                </w:tcPr>
                <w:p w14:paraId="43C9F054">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73" w:type="pct"/>
                  <w:vMerge w:val="continue"/>
                  <w:vAlign w:val="center"/>
                </w:tcPr>
                <w:p w14:paraId="58276810">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470" w:type="pct"/>
                  <w:vAlign w:val="center"/>
                </w:tcPr>
                <w:p w14:paraId="3F3920CA">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auto"/>
                      <w:highlight w:val="none"/>
                      <w:lang w:val="en-US" w:eastAsia="zh-CN"/>
                    </w:rPr>
                  </w:pPr>
                  <w:r>
                    <w:rPr>
                      <w:rFonts w:hint="eastAsia" w:cs="Times New Roman"/>
                      <w:color w:val="auto"/>
                      <w:kern w:val="2"/>
                      <w:sz w:val="22"/>
                      <w:szCs w:val="22"/>
                      <w:highlight w:val="none"/>
                      <w:vertAlign w:val="baseline"/>
                      <w:lang w:val="en-US" w:eastAsia="zh-CN" w:bidi="ar-SA"/>
                    </w:rPr>
                    <w:t>石油类</w:t>
                  </w:r>
                </w:p>
              </w:tc>
              <w:tc>
                <w:tcPr>
                  <w:tcW w:w="557" w:type="pct"/>
                  <w:vAlign w:val="center"/>
                </w:tcPr>
                <w:p w14:paraId="2539C8E2">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407</w:t>
                  </w:r>
                </w:p>
              </w:tc>
              <w:tc>
                <w:tcPr>
                  <w:tcW w:w="444" w:type="pct"/>
                  <w:vAlign w:val="center"/>
                </w:tcPr>
                <w:p w14:paraId="7A0BB563">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cs="Times New Roman"/>
                      <w:color w:val="auto"/>
                      <w:highlight w:val="none"/>
                      <w:lang w:val="en-US" w:eastAsia="zh-CN"/>
                    </w:rPr>
                  </w:pPr>
                  <w:r>
                    <w:rPr>
                      <w:rFonts w:hint="eastAsia" w:cs="Times New Roman"/>
                      <w:color w:val="auto"/>
                      <w:kern w:val="2"/>
                      <w:sz w:val="22"/>
                      <w:szCs w:val="22"/>
                      <w:highlight w:val="none"/>
                      <w:vertAlign w:val="baseline"/>
                      <w:lang w:val="en-US" w:eastAsia="zh-CN" w:bidi="ar-SA"/>
                    </w:rPr>
                    <w:t>0.028</w:t>
                  </w:r>
                </w:p>
              </w:tc>
              <w:tc>
                <w:tcPr>
                  <w:tcW w:w="725" w:type="pct"/>
                  <w:vMerge w:val="continue"/>
                  <w:vAlign w:val="center"/>
                </w:tcPr>
                <w:p w14:paraId="423CF9C5">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c>
                <w:tcPr>
                  <w:tcW w:w="575" w:type="pct"/>
                  <w:vAlign w:val="center"/>
                </w:tcPr>
                <w:p w14:paraId="4C4A100A">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color w:val="auto"/>
                      <w:sz w:val="21"/>
                      <w:szCs w:val="21"/>
                      <w:highlight w:val="none"/>
                      <w:lang w:eastAsia="zh-CN"/>
                    </w:rPr>
                  </w:pPr>
                  <w:r>
                    <w:rPr>
                      <w:rFonts w:hint="eastAsia" w:ascii="Times New Roman" w:cs="Times New Roman"/>
                      <w:sz w:val="21"/>
                      <w:szCs w:val="21"/>
                      <w:lang w:val="en-US" w:eastAsia="zh-CN"/>
                    </w:rPr>
                    <w:t>98</w:t>
                  </w:r>
                  <w:r>
                    <w:rPr>
                      <w:rFonts w:hint="default" w:ascii="Times New Roman" w:hAnsi="Times New Roman" w:cs="Times New Roman"/>
                      <w:sz w:val="21"/>
                      <w:szCs w:val="21"/>
                      <w:lang w:val="en-US" w:eastAsia="zh-CN"/>
                    </w:rPr>
                    <w:t>%</w:t>
                  </w:r>
                </w:p>
              </w:tc>
              <w:tc>
                <w:tcPr>
                  <w:tcW w:w="575" w:type="pct"/>
                  <w:vAlign w:val="center"/>
                </w:tcPr>
                <w:p w14:paraId="12A2F4C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8.14</w:t>
                  </w:r>
                </w:p>
              </w:tc>
              <w:tc>
                <w:tcPr>
                  <w:tcW w:w="837" w:type="pct"/>
                  <w:vMerge w:val="continue"/>
                  <w:vAlign w:val="center"/>
                </w:tcPr>
                <w:p w14:paraId="5DF8D6F5">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highlight w:val="none"/>
                      <w:lang w:eastAsia="zh-CN"/>
                    </w:rPr>
                  </w:pPr>
                </w:p>
              </w:tc>
            </w:tr>
          </w:tbl>
          <w:p w14:paraId="7542D3BE">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left="105" w:leftChars="50" w:right="105" w:rightChars="50" w:firstLine="480" w:firstLineChars="200"/>
              <w:textAlignment w:val="baseline"/>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cs="Times New Roman"/>
                <w:sz w:val="24"/>
                <w:lang w:val="en-US" w:eastAsia="zh-CN"/>
              </w:rPr>
              <w:t>综上分析，</w:t>
            </w:r>
            <w:r>
              <w:rPr>
                <w:rFonts w:hint="eastAsia" w:ascii="Times New Roman" w:hAnsi="Times New Roman" w:eastAsia="宋体" w:cs="Times New Roman"/>
                <w:sz w:val="24"/>
                <w:lang w:val="en-US" w:eastAsia="zh-CN"/>
              </w:rPr>
              <w:t>项目废水产生量较小，且项</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目</w:t>
            </w:r>
            <w:r>
              <w:rPr>
                <w:rFonts w:hint="eastAsia" w:cs="Times New Roman"/>
                <w:b w:val="0"/>
                <w:bCs w:val="0"/>
                <w:color w:val="000000" w:themeColor="text1"/>
                <w:sz w:val="24"/>
                <w:szCs w:val="24"/>
                <w:lang w:val="en-US" w:eastAsia="zh-CN"/>
                <w14:textFill>
                  <w14:solidFill>
                    <w14:schemeClr w14:val="tx1"/>
                  </w14:solidFill>
                </w14:textFill>
              </w:rPr>
              <w:t>综合废水</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水污染种类主要为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COD</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BOD</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SS</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氨氮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、石油类水污染因子简单，无其他特征因子。</w:t>
            </w:r>
            <w:r>
              <w:rPr>
                <w:rFonts w:hint="eastAsia" w:cs="Times New Roman"/>
                <w:b w:val="0"/>
                <w:bCs w:val="0"/>
                <w:color w:val="000000" w:themeColor="text1"/>
                <w:sz w:val="24"/>
                <w:szCs w:val="24"/>
                <w:lang w:val="en-US" w:eastAsia="zh-CN"/>
                <w14:textFill>
                  <w14:solidFill>
                    <w14:schemeClr w14:val="tx1"/>
                  </w14:solidFill>
                </w14:textFill>
              </w:rPr>
              <w:t>本项目工件需要清洗主要是为了去除油类和锈迹，项目清洗产生的废水经自建污水处理站处理后回用于生产，不外排。</w:t>
            </w:r>
          </w:p>
          <w:p w14:paraId="7497EA87">
            <w:pPr>
              <w:keepNext w:val="0"/>
              <w:keepLines w:val="0"/>
              <w:pageBreakBefore w:val="0"/>
              <w:kinsoku/>
              <w:wordWrap/>
              <w:overflowPunct/>
              <w:topLinePunct w:val="0"/>
              <w:bidi w:val="0"/>
              <w:adjustRightInd/>
              <w:snapToGrid/>
              <w:spacing w:line="360" w:lineRule="auto"/>
              <w:ind w:left="105" w:leftChars="50" w:right="105" w:rightChars="50" w:firstLine="482" w:firstLineChars="200"/>
              <w:rPr>
                <w:rFonts w:ascii="Times New Roman" w:hAnsi="Times New Roman" w:eastAsia="宋体" w:cs="Times New Roman"/>
                <w:b/>
                <w:bCs/>
                <w:color w:val="auto"/>
                <w:sz w:val="24"/>
                <w:highlight w:val="none"/>
                <w:lang w:eastAsia="zh-CN"/>
              </w:rPr>
            </w:pPr>
            <w:r>
              <w:rPr>
                <w:rFonts w:ascii="Times New Roman" w:hAnsi="Times New Roman" w:eastAsia="宋体" w:cs="Times New Roman"/>
                <w:b/>
                <w:bCs/>
                <w:color w:val="auto"/>
                <w:sz w:val="24"/>
                <w:highlight w:val="none"/>
                <w:lang w:eastAsia="zh-CN"/>
              </w:rPr>
              <w:t>2、排放口设置及监测计划</w:t>
            </w:r>
          </w:p>
          <w:p w14:paraId="057B9D60">
            <w:pPr>
              <w:pStyle w:val="31"/>
              <w:keepNext w:val="0"/>
              <w:keepLines w:val="0"/>
              <w:pageBreakBefore w:val="0"/>
              <w:widowControl/>
              <w:numPr>
                <w:ilvl w:val="1"/>
                <w:numId w:val="0"/>
              </w:numPr>
              <w:kinsoku/>
              <w:wordWrap/>
              <w:overflowPunct/>
              <w:topLinePunct w:val="0"/>
              <w:autoSpaceDE w:val="0"/>
              <w:autoSpaceDN w:val="0"/>
              <w:bidi w:val="0"/>
              <w:adjustRightInd/>
              <w:snapToGrid/>
              <w:spacing w:line="360" w:lineRule="auto"/>
              <w:ind w:left="105" w:leftChars="50" w:right="105" w:rightChars="50" w:firstLine="480" w:firstLineChars="200"/>
              <w:textAlignment w:val="baseline"/>
              <w:rPr>
                <w:rFonts w:ascii="Times New Roman" w:hAnsi="Times New Roman" w:cs="Times New Roman"/>
                <w:b w:val="0"/>
                <w:color w:val="auto"/>
                <w:highlight w:val="none"/>
                <w:lang w:eastAsia="zh-CN"/>
              </w:rPr>
            </w:pPr>
            <w:r>
              <w:rPr>
                <w:rFonts w:hint="eastAsia" w:ascii="Times New Roman" w:hAnsi="Times New Roman" w:cs="Times New Roman"/>
                <w:b w:val="0"/>
                <w:color w:val="auto"/>
                <w:sz w:val="24"/>
                <w:szCs w:val="24"/>
                <w:highlight w:val="none"/>
                <w:lang w:val="en-US" w:eastAsia="zh-CN"/>
              </w:rPr>
              <w:t>根据</w:t>
            </w:r>
            <w:r>
              <w:rPr>
                <w:rFonts w:hint="default" w:ascii="Times New Roman" w:hAnsi="Times New Roman" w:eastAsia="宋体" w:cs="Times New Roman"/>
                <w:b w:val="0"/>
                <w:color w:val="auto"/>
                <w:sz w:val="24"/>
                <w:szCs w:val="24"/>
                <w:highlight w:val="none"/>
                <w:lang w:eastAsia="zh-CN"/>
              </w:rPr>
              <w:t>《固定污染源排污许可分类管理名录（2019年版）》，本项目监测计划根据</w:t>
            </w:r>
            <w:r>
              <w:rPr>
                <w:rFonts w:hint="default" w:ascii="Times New Roman" w:hAnsi="Times New Roman" w:eastAsia="宋体" w:cs="Times New Roman"/>
                <w:b w:val="0"/>
                <w:color w:val="auto"/>
                <w:sz w:val="24"/>
                <w:szCs w:val="24"/>
                <w:highlight w:val="none"/>
                <w:lang w:val="en-US" w:eastAsia="zh-CN"/>
              </w:rPr>
              <w:t>《排污单位自行检测技术指南 涂装》（HJ1086-2020）中相</w:t>
            </w:r>
            <w:r>
              <w:rPr>
                <w:rFonts w:hint="default" w:ascii="Times New Roman" w:hAnsi="Times New Roman" w:eastAsia="宋体" w:cs="Times New Roman"/>
                <w:b w:val="0"/>
                <w:color w:val="auto"/>
                <w:sz w:val="24"/>
                <w:szCs w:val="24"/>
                <w:highlight w:val="none"/>
                <w:lang w:eastAsia="zh-CN"/>
              </w:rPr>
              <w:t>关要求，</w:t>
            </w:r>
            <w:r>
              <w:rPr>
                <w:rFonts w:ascii="Times New Roman" w:hAnsi="Times New Roman" w:cs="Times New Roman"/>
                <w:b w:val="0"/>
                <w:color w:val="auto"/>
                <w:highlight w:val="none"/>
                <w:lang w:eastAsia="zh-CN"/>
              </w:rPr>
              <w:t>项目在投入运行后，</w:t>
            </w:r>
            <w:r>
              <w:rPr>
                <w:rFonts w:hint="eastAsia" w:ascii="Times New Roman" w:hAnsi="Times New Roman" w:cs="Times New Roman"/>
                <w:b w:val="0"/>
                <w:color w:val="auto"/>
                <w:highlight w:val="none"/>
                <w:lang w:eastAsia="zh-CN"/>
              </w:rPr>
              <w:t>仅产生少量生活废水且先由化粪池处理后排入污水处理厂，不直接排入外部水体中，</w:t>
            </w:r>
            <w:r>
              <w:rPr>
                <w:rFonts w:ascii="Times New Roman" w:hAnsi="Times New Roman" w:cs="Times New Roman"/>
                <w:b w:val="0"/>
                <w:color w:val="auto"/>
                <w:highlight w:val="none"/>
                <w:lang w:eastAsia="zh-CN"/>
              </w:rPr>
              <w:t>不需对项目污染源开展监测活动。</w:t>
            </w:r>
          </w:p>
          <w:p w14:paraId="52588C96">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2" w:firstLineChars="200"/>
              <w:textAlignment w:val="auto"/>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eastAsia="zh-CN"/>
              </w:rPr>
              <w:t>、</w:t>
            </w:r>
            <w:r>
              <w:rPr>
                <w:rFonts w:hint="eastAsia" w:cs="Times New Roman"/>
                <w:b/>
                <w:bCs/>
                <w:color w:val="auto"/>
                <w:sz w:val="24"/>
                <w:highlight w:val="none"/>
                <w:lang w:val="en-US" w:eastAsia="zh-CN"/>
              </w:rPr>
              <w:t>生活污水间接排放</w:t>
            </w:r>
            <w:r>
              <w:rPr>
                <w:rFonts w:hint="eastAsia" w:ascii="Times New Roman" w:hAnsi="Times New Roman" w:eastAsia="宋体" w:cs="Times New Roman"/>
                <w:b/>
                <w:bCs/>
                <w:color w:val="auto"/>
                <w:sz w:val="24"/>
                <w:highlight w:val="none"/>
                <w:lang w:eastAsia="zh-CN"/>
              </w:rPr>
              <w:t>可行性分析</w:t>
            </w:r>
          </w:p>
          <w:p w14:paraId="6B4AC464">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①依托污水处理厂可行性分析</w:t>
            </w:r>
          </w:p>
          <w:p w14:paraId="52FF62D2">
            <w:pPr>
              <w:keepNext w:val="0"/>
              <w:keepLines w:val="0"/>
              <w:pageBreakBefore w:val="0"/>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安徽淮相科技发展有限公司第二污水处理厂位于安徽淮北相山经济开发区、洪碱河西，污水处理规模为1万t/d。</w:t>
            </w:r>
            <w:r>
              <w:rPr>
                <w:rFonts w:ascii="Times New Roman" w:hAnsi="Times New Roman" w:eastAsia="宋体" w:cs="Times New Roman"/>
                <w:b w:val="0"/>
                <w:color w:val="auto"/>
                <w:kern w:val="2"/>
                <w:sz w:val="24"/>
                <w:szCs w:val="24"/>
                <w:highlight w:val="none"/>
                <w:lang w:val="en-US" w:eastAsia="zh-CN" w:bidi="ar-SA"/>
              </w:rPr>
              <w:t>服务范围：</w:t>
            </w:r>
            <w:r>
              <w:rPr>
                <w:rFonts w:hint="eastAsia" w:ascii="Times New Roman" w:hAnsi="Times New Roman" w:eastAsia="宋体" w:cs="Times New Roman"/>
                <w:b w:val="0"/>
                <w:color w:val="auto"/>
                <w:kern w:val="2"/>
                <w:sz w:val="24"/>
                <w:szCs w:val="24"/>
                <w:highlight w:val="none"/>
                <w:lang w:val="en-US" w:eastAsia="zh-CN" w:bidi="ar-SA"/>
              </w:rPr>
              <w:t>污水处理厂主要服务于相山经济开发区内食品工业园部分。尾水排放方式：污水处理厂尾水通过尾水管道排入老濉河。</w:t>
            </w:r>
            <w:r>
              <w:rPr>
                <w:rFonts w:ascii="Times New Roman" w:hAnsi="Times New Roman" w:eastAsia="宋体" w:cs="Times New Roman"/>
                <w:b w:val="0"/>
                <w:color w:val="auto"/>
                <w:kern w:val="2"/>
                <w:sz w:val="24"/>
                <w:szCs w:val="24"/>
                <w:highlight w:val="none"/>
                <w:lang w:val="en-US" w:eastAsia="zh-CN" w:bidi="ar-SA"/>
              </w:rPr>
              <w:t>污水处理厂尾水排放口</w:t>
            </w:r>
            <w:r>
              <w:rPr>
                <w:rFonts w:hint="eastAsia" w:ascii="Times New Roman" w:hAnsi="Times New Roman" w:eastAsia="宋体" w:cs="Times New Roman"/>
                <w:b w:val="0"/>
                <w:color w:val="auto"/>
                <w:kern w:val="2"/>
                <w:sz w:val="24"/>
                <w:szCs w:val="24"/>
                <w:highlight w:val="none"/>
                <w:lang w:val="en-US" w:eastAsia="zh-CN" w:bidi="ar-SA"/>
              </w:rPr>
              <w:t>利用</w:t>
            </w:r>
            <w:r>
              <w:rPr>
                <w:rFonts w:ascii="Times New Roman" w:hAnsi="Times New Roman" w:eastAsia="宋体" w:cs="Times New Roman"/>
                <w:b w:val="0"/>
                <w:color w:val="auto"/>
                <w:kern w:val="2"/>
                <w:sz w:val="24"/>
                <w:szCs w:val="24"/>
                <w:highlight w:val="none"/>
                <w:lang w:val="en-US" w:eastAsia="zh-CN" w:bidi="ar-SA"/>
              </w:rPr>
              <w:t>安徽淮北相山经济开发区凤凰新城污水处理厂入河排污口</w:t>
            </w:r>
            <w:r>
              <w:rPr>
                <w:rFonts w:hint="eastAsia" w:ascii="Times New Roman" w:hAnsi="Times New Roman" w:eastAsia="宋体" w:cs="Times New Roman"/>
                <w:b w:val="0"/>
                <w:color w:val="auto"/>
                <w:kern w:val="2"/>
                <w:sz w:val="24"/>
                <w:szCs w:val="24"/>
                <w:highlight w:val="none"/>
                <w:lang w:val="en-US" w:eastAsia="zh-CN" w:bidi="ar-SA"/>
              </w:rPr>
              <w:t>，</w:t>
            </w:r>
            <w:r>
              <w:rPr>
                <w:rFonts w:ascii="Times New Roman" w:hAnsi="Times New Roman" w:eastAsia="宋体" w:cs="Times New Roman"/>
                <w:b w:val="0"/>
                <w:color w:val="auto"/>
                <w:kern w:val="2"/>
                <w:sz w:val="24"/>
                <w:szCs w:val="24"/>
                <w:highlight w:val="none"/>
                <w:lang w:val="en-US" w:eastAsia="zh-CN" w:bidi="ar-SA"/>
              </w:rPr>
              <w:t>位于老濉河左岸，渠沟涵（又名阎王闸）下游100m，地理坐标为经度（东经116°45´23"）、纬度（北纬33°57´11"）。</w:t>
            </w:r>
            <w:r>
              <w:rPr>
                <w:rFonts w:hint="eastAsia" w:ascii="Times New Roman" w:hAnsi="Times New Roman" w:eastAsia="宋体" w:cs="Times New Roman"/>
                <w:b w:val="0"/>
                <w:color w:val="auto"/>
                <w:kern w:val="2"/>
                <w:sz w:val="24"/>
                <w:szCs w:val="24"/>
                <w:highlight w:val="none"/>
                <w:lang w:val="en-US" w:eastAsia="zh-CN" w:bidi="ar-SA"/>
              </w:rPr>
              <w:t>污水处理工艺：采用粗格栅及进水泵房+细格栅及曝气沉砂池+调节池+气浮池+水解</w:t>
            </w:r>
            <w:r>
              <w:rPr>
                <w:rFonts w:ascii="Times New Roman" w:hAnsi="Times New Roman" w:eastAsia="宋体" w:cs="Times New Roman"/>
                <w:b w:val="0"/>
                <w:color w:val="auto"/>
                <w:kern w:val="2"/>
                <w:sz w:val="24"/>
                <w:szCs w:val="24"/>
                <w:highlight w:val="none"/>
                <w:lang w:val="en-US" w:eastAsia="zh-CN" w:bidi="ar-SA"/>
              </w:rPr>
              <w:t>酸化池+多级A/O</w:t>
            </w:r>
            <w:r>
              <w:rPr>
                <w:rFonts w:hint="eastAsia" w:ascii="Times New Roman" w:hAnsi="Times New Roman" w:eastAsia="宋体" w:cs="Times New Roman"/>
                <w:b w:val="0"/>
                <w:color w:val="auto"/>
                <w:kern w:val="2"/>
                <w:sz w:val="24"/>
                <w:szCs w:val="24"/>
                <w:highlight w:val="none"/>
                <w:lang w:val="en-US" w:eastAsia="zh-CN" w:bidi="ar-SA"/>
              </w:rPr>
              <w:t>生化池</w:t>
            </w:r>
            <w:r>
              <w:rPr>
                <w:rFonts w:ascii="Times New Roman" w:hAnsi="Times New Roman" w:eastAsia="宋体" w:cs="Times New Roman"/>
                <w:b w:val="0"/>
                <w:color w:val="auto"/>
                <w:kern w:val="2"/>
                <w:sz w:val="24"/>
                <w:szCs w:val="24"/>
                <w:highlight w:val="none"/>
                <w:lang w:val="en-US" w:eastAsia="zh-CN" w:bidi="ar-SA"/>
              </w:rPr>
              <w:t>+</w:t>
            </w:r>
            <w:r>
              <w:rPr>
                <w:rFonts w:hint="eastAsia" w:ascii="Times New Roman" w:hAnsi="Times New Roman" w:eastAsia="宋体" w:cs="Times New Roman"/>
                <w:b w:val="0"/>
                <w:color w:val="auto"/>
                <w:kern w:val="2"/>
                <w:sz w:val="24"/>
                <w:szCs w:val="24"/>
                <w:highlight w:val="none"/>
                <w:lang w:val="en-US" w:eastAsia="zh-CN" w:bidi="ar-SA"/>
              </w:rPr>
              <w:t>二沉池+</w:t>
            </w:r>
            <w:r>
              <w:rPr>
                <w:rFonts w:ascii="Times New Roman" w:hAnsi="Times New Roman" w:eastAsia="宋体" w:cs="Times New Roman"/>
                <w:b w:val="0"/>
                <w:color w:val="auto"/>
                <w:kern w:val="2"/>
                <w:sz w:val="24"/>
                <w:szCs w:val="24"/>
                <w:highlight w:val="none"/>
                <w:lang w:val="en-US" w:eastAsia="zh-CN" w:bidi="ar-SA"/>
              </w:rPr>
              <w:t>高效沉淀池+曝气生物滤池+反硝化深床滤池+臭氧氧化+接触消毒。</w:t>
            </w:r>
          </w:p>
          <w:p w14:paraId="18F9CBC5">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② 接管水质可行性：本项目生活污水经化粪池处理后与经过污水处理站预处理的生产废水满足《污水综合排放标准》（GB8978-1996）中三级标准并满足安徽淮相科技发展有限公司第二污水处理厂接管标准，通过园区污水管网排入安徽淮相科技发展有限公司第二污水处理厂进一步处理。废水水质简单，不会对安徽淮相科技发展有限公司第二污水处理厂处理工艺造成影响，水质满足接管要求。</w:t>
            </w:r>
          </w:p>
          <w:p w14:paraId="61E5947F">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480" w:firstLineChars="200"/>
              <w:jc w:val="left"/>
              <w:textAlignment w:val="auto"/>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③接管水量可行性：项目完成后纳入市政污水管网水</w:t>
            </w:r>
            <w:r>
              <w:rPr>
                <w:rFonts w:hint="default" w:ascii="Times New Roman" w:hAnsi="Times New Roman" w:eastAsia="宋体" w:cs="Times New Roman"/>
                <w:b w:val="0"/>
                <w:color w:val="auto"/>
                <w:kern w:val="2"/>
                <w:sz w:val="24"/>
                <w:szCs w:val="24"/>
                <w:highlight w:val="none"/>
                <w:lang w:val="en-US" w:eastAsia="zh-CN" w:bidi="ar-SA"/>
              </w:rPr>
              <w:t>量为</w:t>
            </w:r>
            <w:r>
              <w:rPr>
                <w:rFonts w:hint="eastAsia" w:ascii="Times New Roman" w:hAnsi="Times New Roman" w:eastAsia="宋体" w:cs="Times New Roman"/>
                <w:b w:val="0"/>
                <w:color w:val="auto"/>
                <w:kern w:val="2"/>
                <w:sz w:val="24"/>
                <w:szCs w:val="24"/>
                <w:highlight w:val="none"/>
                <w:lang w:val="en-US" w:eastAsia="zh-CN" w:bidi="ar-SA"/>
              </w:rPr>
              <w:t>6.178</w:t>
            </w:r>
            <w:r>
              <w:rPr>
                <w:rFonts w:hint="default" w:ascii="Times New Roman" w:hAnsi="Times New Roman" w:eastAsia="宋体" w:cs="Times New Roman"/>
                <w:b w:val="0"/>
                <w:color w:val="auto"/>
                <w:kern w:val="2"/>
                <w:sz w:val="24"/>
                <w:szCs w:val="24"/>
                <w:highlight w:val="none"/>
                <w:lang w:val="en-US" w:eastAsia="zh-CN" w:bidi="ar-SA"/>
              </w:rPr>
              <w:t>m</w:t>
            </w:r>
            <w:r>
              <w:rPr>
                <w:rFonts w:hint="default" w:ascii="Times New Roman" w:hAnsi="Times New Roman" w:eastAsia="宋体" w:cs="Times New Roman"/>
                <w:b w:val="0"/>
                <w:color w:val="auto"/>
                <w:kern w:val="2"/>
                <w:sz w:val="24"/>
                <w:szCs w:val="24"/>
                <w:highlight w:val="none"/>
                <w:vertAlign w:val="superscript"/>
                <w:lang w:val="en-US" w:eastAsia="zh-CN" w:bidi="ar-SA"/>
              </w:rPr>
              <w:t>3</w:t>
            </w:r>
            <w:r>
              <w:rPr>
                <w:rFonts w:hint="default" w:ascii="Times New Roman" w:hAnsi="Times New Roman" w:eastAsia="宋体" w:cs="Times New Roman"/>
                <w:b w:val="0"/>
                <w:color w:val="auto"/>
                <w:kern w:val="2"/>
                <w:sz w:val="24"/>
                <w:szCs w:val="24"/>
                <w:highlight w:val="none"/>
                <w:lang w:val="en-US" w:eastAsia="zh-CN" w:bidi="ar-SA"/>
              </w:rPr>
              <w:t>/d</w:t>
            </w:r>
            <w:r>
              <w:rPr>
                <w:rFonts w:hint="eastAsia" w:ascii="Times New Roman" w:hAnsi="Times New Roman" w:eastAsia="宋体" w:cs="Times New Roman"/>
                <w:b w:val="0"/>
                <w:color w:val="auto"/>
                <w:kern w:val="2"/>
                <w:sz w:val="24"/>
                <w:szCs w:val="24"/>
                <w:highlight w:val="none"/>
                <w:lang w:val="en-US" w:eastAsia="zh-CN" w:bidi="ar-SA"/>
              </w:rPr>
              <w:t>，安徽淮相科技发展有限公司第二污水处理厂日设计污水处理规模为</w:t>
            </w:r>
            <w:r>
              <w:rPr>
                <w:rFonts w:hint="default" w:ascii="Times New Roman" w:hAnsi="Times New Roman" w:eastAsia="宋体" w:cs="Times New Roman"/>
                <w:b w:val="0"/>
                <w:color w:val="auto"/>
                <w:kern w:val="2"/>
                <w:sz w:val="24"/>
                <w:szCs w:val="24"/>
                <w:highlight w:val="none"/>
                <w:lang w:val="en-US" w:eastAsia="zh-CN" w:bidi="ar-SA"/>
              </w:rPr>
              <w:t>1</w:t>
            </w:r>
            <w:r>
              <w:rPr>
                <w:rFonts w:hint="eastAsia" w:ascii="Times New Roman" w:hAnsi="Times New Roman" w:eastAsia="宋体" w:cs="Times New Roman"/>
                <w:b w:val="0"/>
                <w:color w:val="auto"/>
                <w:kern w:val="2"/>
                <w:sz w:val="24"/>
                <w:szCs w:val="24"/>
                <w:highlight w:val="none"/>
                <w:lang w:val="en-US" w:eastAsia="zh-CN" w:bidi="ar-SA"/>
              </w:rPr>
              <w:t>万吨</w:t>
            </w:r>
            <w:r>
              <w:rPr>
                <w:rFonts w:hint="default" w:ascii="Times New Roman" w:hAnsi="Times New Roman" w:eastAsia="宋体" w:cs="Times New Roman"/>
                <w:b w:val="0"/>
                <w:color w:val="auto"/>
                <w:kern w:val="2"/>
                <w:sz w:val="24"/>
                <w:szCs w:val="24"/>
                <w:highlight w:val="none"/>
                <w:lang w:val="en-US" w:eastAsia="zh-CN" w:bidi="ar-SA"/>
              </w:rPr>
              <w:t>/</w:t>
            </w:r>
            <w:r>
              <w:rPr>
                <w:rFonts w:hint="eastAsia" w:ascii="Times New Roman" w:hAnsi="Times New Roman" w:eastAsia="宋体" w:cs="Times New Roman"/>
                <w:b w:val="0"/>
                <w:color w:val="auto"/>
                <w:kern w:val="2"/>
                <w:sz w:val="24"/>
                <w:szCs w:val="24"/>
                <w:highlight w:val="none"/>
                <w:lang w:val="en-US" w:eastAsia="zh-CN" w:bidi="ar-SA"/>
              </w:rPr>
              <w:t>天，现收水余量约为4710</w:t>
            </w:r>
            <w:r>
              <w:rPr>
                <w:rFonts w:hint="default" w:ascii="Times New Roman" w:hAnsi="Times New Roman" w:eastAsia="宋体" w:cs="Times New Roman"/>
                <w:b w:val="0"/>
                <w:color w:val="auto"/>
                <w:kern w:val="2"/>
                <w:sz w:val="24"/>
                <w:szCs w:val="24"/>
                <w:highlight w:val="none"/>
                <w:lang w:val="en-US" w:eastAsia="zh-CN" w:bidi="ar-SA"/>
              </w:rPr>
              <w:t>m</w:t>
            </w:r>
            <w:r>
              <w:rPr>
                <w:rFonts w:hint="default" w:ascii="Times New Roman" w:hAnsi="Times New Roman" w:eastAsia="宋体" w:cs="Times New Roman"/>
                <w:b w:val="0"/>
                <w:color w:val="auto"/>
                <w:kern w:val="2"/>
                <w:sz w:val="24"/>
                <w:szCs w:val="24"/>
                <w:highlight w:val="none"/>
                <w:vertAlign w:val="superscript"/>
                <w:lang w:val="en-US" w:eastAsia="zh-CN" w:bidi="ar-SA"/>
              </w:rPr>
              <w:t>3</w:t>
            </w:r>
            <w:r>
              <w:rPr>
                <w:rFonts w:hint="default" w:ascii="Times New Roman" w:hAnsi="Times New Roman" w:eastAsia="宋体" w:cs="Times New Roman"/>
                <w:b w:val="0"/>
                <w:color w:val="auto"/>
                <w:kern w:val="2"/>
                <w:sz w:val="24"/>
                <w:szCs w:val="24"/>
                <w:highlight w:val="none"/>
                <w:lang w:val="en-US" w:eastAsia="zh-CN" w:bidi="ar-SA"/>
              </w:rPr>
              <w:t>/d</w:t>
            </w:r>
            <w:r>
              <w:rPr>
                <w:rFonts w:hint="eastAsia" w:ascii="Times New Roman" w:hAnsi="Times New Roman" w:eastAsia="宋体" w:cs="Times New Roman"/>
                <w:b w:val="0"/>
                <w:color w:val="auto"/>
                <w:kern w:val="2"/>
                <w:sz w:val="24"/>
                <w:szCs w:val="24"/>
                <w:highlight w:val="none"/>
                <w:lang w:val="en-US" w:eastAsia="zh-CN" w:bidi="ar-SA"/>
              </w:rPr>
              <w:t>，本项目废水量占比较小，不会对其处理能力造成较大的冲击，因此接管水量是可行的。</w:t>
            </w:r>
          </w:p>
          <w:p w14:paraId="10A2F5E9">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420" w:firstLineChars="200"/>
              <w:jc w:val="center"/>
              <w:textAlignment w:val="auto"/>
              <w:rPr>
                <w:rFonts w:hint="eastAsia" w:ascii="Times New Roman" w:hAnsi="Times New Roman" w:eastAsia="宋体" w:cs="Times New Roman"/>
                <w:b/>
                <w:bCs/>
                <w:color w:val="auto"/>
                <w:highlight w:val="none"/>
                <w:lang w:val="en-US" w:eastAsia="zh-CN" w:bidi="ar"/>
              </w:rPr>
            </w:pPr>
            <w:r>
              <w:rPr>
                <w:color w:val="auto"/>
                <w:highlight w:val="none"/>
              </w:rPr>
              <w:drawing>
                <wp:inline distT="0" distB="0" distL="114300" distR="114300">
                  <wp:extent cx="4095750" cy="4748530"/>
                  <wp:effectExtent l="0" t="0" r="3810" b="63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9"/>
                          <a:srcRect t="2734"/>
                          <a:stretch>
                            <a:fillRect/>
                          </a:stretch>
                        </pic:blipFill>
                        <pic:spPr>
                          <a:xfrm>
                            <a:off x="0" y="0"/>
                            <a:ext cx="4095750" cy="4748530"/>
                          </a:xfrm>
                          <a:prstGeom prst="rect">
                            <a:avLst/>
                          </a:prstGeom>
                          <a:noFill/>
                          <a:ln>
                            <a:noFill/>
                          </a:ln>
                        </pic:spPr>
                      </pic:pic>
                    </a:graphicData>
                  </a:graphic>
                </wp:inline>
              </w:drawing>
            </w:r>
          </w:p>
          <w:p w14:paraId="4844EB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4"/>
                <w:szCs w:val="32"/>
                <w:highlight w:val="none"/>
                <w:lang w:val="en-US" w:eastAsia="zh-CN"/>
              </w:rPr>
            </w:pPr>
            <w:r>
              <w:rPr>
                <w:rFonts w:hint="eastAsia" w:ascii="Times New Roman" w:hAnsi="Times New Roman" w:eastAsia="宋体" w:cs="Times New Roman"/>
                <w:b/>
                <w:bCs/>
                <w:color w:val="auto"/>
                <w:sz w:val="24"/>
                <w:szCs w:val="32"/>
                <w:highlight w:val="none"/>
                <w:lang w:val="en-US" w:eastAsia="zh-CN" w:bidi="ar"/>
              </w:rPr>
              <w:t>图4-</w:t>
            </w:r>
            <w:r>
              <w:rPr>
                <w:rFonts w:hint="eastAsia" w:cs="Times New Roman"/>
                <w:b/>
                <w:bCs/>
                <w:color w:val="auto"/>
                <w:sz w:val="24"/>
                <w:szCs w:val="32"/>
                <w:highlight w:val="none"/>
                <w:lang w:val="en-US" w:eastAsia="zh-CN" w:bidi="ar"/>
              </w:rPr>
              <w:t>3</w:t>
            </w:r>
            <w:r>
              <w:rPr>
                <w:rFonts w:hint="eastAsia" w:ascii="Times New Roman" w:hAnsi="Times New Roman" w:eastAsia="宋体" w:cs="Times New Roman"/>
                <w:b/>
                <w:bCs/>
                <w:color w:val="auto"/>
                <w:sz w:val="24"/>
                <w:szCs w:val="32"/>
                <w:highlight w:val="none"/>
                <w:lang w:val="en-US" w:eastAsia="zh-CN" w:bidi="ar"/>
              </w:rPr>
              <w:t xml:space="preserve">  污水处理厂工艺流程图</w:t>
            </w:r>
          </w:p>
          <w:p w14:paraId="27D98F7E">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④管网铺设情况可行性：安徽淮相科技发展有限公司第二污水处理厂</w:t>
            </w:r>
            <w:r>
              <w:rPr>
                <w:rFonts w:hint="default" w:ascii="Times New Roman" w:hAnsi="Times New Roman" w:eastAsia="宋体" w:cs="Times New Roman"/>
                <w:b w:val="0"/>
                <w:color w:val="auto"/>
                <w:kern w:val="2"/>
                <w:sz w:val="24"/>
                <w:szCs w:val="24"/>
                <w:highlight w:val="none"/>
                <w:lang w:val="en-US" w:eastAsia="zh-CN" w:bidi="ar-SA"/>
              </w:rPr>
              <w:t>将开发区食品产业园</w:t>
            </w:r>
            <w:r>
              <w:rPr>
                <w:rFonts w:hint="eastAsia" w:ascii="Times New Roman" w:hAnsi="Times New Roman" w:eastAsia="宋体" w:cs="Times New Roman"/>
                <w:b w:val="0"/>
                <w:color w:val="auto"/>
                <w:kern w:val="2"/>
                <w:sz w:val="24"/>
                <w:szCs w:val="24"/>
                <w:highlight w:val="none"/>
                <w:lang w:val="en-US" w:eastAsia="zh-CN" w:bidi="ar-SA"/>
              </w:rPr>
              <w:t>及智能制造产业园</w:t>
            </w:r>
            <w:r>
              <w:rPr>
                <w:rFonts w:hint="default" w:ascii="Times New Roman" w:hAnsi="Times New Roman" w:eastAsia="宋体" w:cs="Times New Roman"/>
                <w:b w:val="0"/>
                <w:color w:val="auto"/>
                <w:kern w:val="2"/>
                <w:sz w:val="24"/>
                <w:szCs w:val="24"/>
                <w:highlight w:val="none"/>
                <w:lang w:val="en-US" w:eastAsia="zh-CN" w:bidi="ar-SA"/>
              </w:rPr>
              <w:t>管网敷设范围内的所有工业废水、生活污水有效收集后深度处理达标后排放</w:t>
            </w:r>
            <w:r>
              <w:rPr>
                <w:rFonts w:hint="eastAsia" w:ascii="Times New Roman" w:hAnsi="Times New Roman" w:eastAsia="宋体" w:cs="Times New Roman"/>
                <w:b w:val="0"/>
                <w:color w:val="auto"/>
                <w:kern w:val="2"/>
                <w:sz w:val="24"/>
                <w:szCs w:val="24"/>
                <w:highlight w:val="none"/>
                <w:lang w:val="en-US" w:eastAsia="zh-CN" w:bidi="ar-SA"/>
              </w:rPr>
              <w:t>。根据现场踏勘和收集相关资料，本项目所在地管网已铺设完毕，接管可行。</w:t>
            </w:r>
          </w:p>
          <w:p w14:paraId="48C97097">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综上，本项目位于</w:t>
            </w:r>
            <w:r>
              <w:rPr>
                <w:rFonts w:hint="eastAsia" w:cs="Times New Roman"/>
                <w:b w:val="0"/>
                <w:color w:val="auto"/>
                <w:kern w:val="2"/>
                <w:sz w:val="24"/>
                <w:szCs w:val="24"/>
                <w:highlight w:val="none"/>
                <w:lang w:val="en-US" w:eastAsia="zh-CN" w:bidi="ar-SA"/>
              </w:rPr>
              <w:t>相山经济开发区</w:t>
            </w:r>
            <w:r>
              <w:rPr>
                <w:rFonts w:hint="default" w:ascii="Times New Roman" w:hAnsi="Times New Roman" w:cs="Times New Roman"/>
                <w:color w:val="auto"/>
                <w:sz w:val="24"/>
                <w:szCs w:val="24"/>
                <w:highlight w:val="none"/>
              </w:rPr>
              <w:t>凤霞路9号</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项目所在地在</w:t>
            </w:r>
            <w:r>
              <w:rPr>
                <w:rFonts w:hint="eastAsia" w:ascii="Times New Roman" w:hAnsi="Times New Roman" w:eastAsia="宋体" w:cs="Times New Roman"/>
                <w:b w:val="0"/>
                <w:color w:val="auto"/>
                <w:kern w:val="2"/>
                <w:sz w:val="24"/>
                <w:szCs w:val="24"/>
                <w:highlight w:val="none"/>
                <w:lang w:val="en-US" w:eastAsia="zh-CN" w:bidi="ar-SA"/>
              </w:rPr>
              <w:t>安徽淮相科技发展有限公司第二污水处理厂收水范围内，项目所在地管网已铺设完毕，外排废水水质、水量均满足污水处理厂接管要求，排放量不会对污水处理厂造成冲击负荷。因此本项目污水进入安徽淮相科技发展有限公司第二污水处理厂处理是可行的。</w:t>
            </w:r>
          </w:p>
          <w:p w14:paraId="254F9E19">
            <w:pPr>
              <w:keepNext w:val="0"/>
              <w:keepLines w:val="0"/>
              <w:pageBreakBefore w:val="0"/>
              <w:widowControl/>
              <w:suppressLineNumbers w:val="0"/>
              <w:kinsoku/>
              <w:wordWrap/>
              <w:overflowPunct/>
              <w:topLinePunct w:val="0"/>
              <w:autoSpaceDE/>
              <w:autoSpaceDN/>
              <w:bidi w:val="0"/>
              <w:adjustRightInd/>
              <w:snapToGrid/>
              <w:spacing w:line="360" w:lineRule="auto"/>
              <w:ind w:right="105" w:rightChars="5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三、噪声污染</w:t>
            </w:r>
          </w:p>
          <w:p w14:paraId="784A5A25">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1、噪声源强</w:t>
            </w:r>
          </w:p>
          <w:p w14:paraId="4183D64A">
            <w:pPr>
              <w:keepNext w:val="0"/>
              <w:keepLines w:val="0"/>
              <w:pageBreakBefore w:val="0"/>
              <w:widowControl/>
              <w:suppressLineNumbers w:val="0"/>
              <w:kinsoku/>
              <w:wordWrap/>
              <w:overflowPunct/>
              <w:topLinePunct w:val="0"/>
              <w:autoSpaceDE/>
              <w:autoSpaceDN/>
              <w:bidi w:val="0"/>
              <w:adjustRightInd/>
              <w:snapToGrid/>
              <w:spacing w:line="360" w:lineRule="auto"/>
              <w:ind w:left="105" w:leftChars="50" w:right="105" w:rightChars="50" w:firstLine="480" w:firstLineChars="200"/>
              <w:jc w:val="both"/>
              <w:textAlignment w:val="auto"/>
              <w:rPr>
                <w:rFonts w:hint="eastAsia" w:cs="Times New Roman"/>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拟建项目主要噪声源的源强分布情况见表4-</w:t>
            </w:r>
            <w:r>
              <w:rPr>
                <w:rFonts w:hint="eastAsia" w:cs="Times New Roman"/>
                <w:b w:val="0"/>
                <w:color w:val="auto"/>
                <w:kern w:val="2"/>
                <w:sz w:val="24"/>
                <w:szCs w:val="24"/>
                <w:highlight w:val="none"/>
                <w:lang w:val="en-US" w:eastAsia="zh-CN" w:bidi="ar-SA"/>
              </w:rPr>
              <w:t>11</w:t>
            </w:r>
            <w:r>
              <w:rPr>
                <w:rFonts w:hint="default" w:ascii="Times New Roman" w:hAnsi="Times New Roman" w:eastAsia="宋体" w:cs="Times New Roman"/>
                <w:b w:val="0"/>
                <w:color w:val="auto"/>
                <w:kern w:val="2"/>
                <w:sz w:val="24"/>
                <w:szCs w:val="24"/>
                <w:highlight w:val="none"/>
                <w:lang w:val="en-US" w:eastAsia="zh-CN" w:bidi="ar-SA"/>
              </w:rPr>
              <w:t>、表4-</w:t>
            </w:r>
            <w:r>
              <w:rPr>
                <w:rFonts w:hint="eastAsia" w:cs="Times New Roman"/>
                <w:b w:val="0"/>
                <w:color w:val="auto"/>
                <w:kern w:val="2"/>
                <w:sz w:val="24"/>
                <w:szCs w:val="24"/>
                <w:highlight w:val="none"/>
                <w:lang w:val="en-US" w:eastAsia="zh-CN" w:bidi="ar-SA"/>
              </w:rPr>
              <w:t>12。</w:t>
            </w:r>
          </w:p>
        </w:tc>
      </w:tr>
    </w:tbl>
    <w:p w14:paraId="371A52CE">
      <w:pPr>
        <w:jc w:val="center"/>
        <w:rPr>
          <w:color w:val="auto"/>
          <w:highlight w:val="none"/>
        </w:rPr>
        <w:sectPr>
          <w:pgSz w:w="11906" w:h="16838"/>
          <w:pgMar w:top="1440" w:right="1080" w:bottom="1440" w:left="1080" w:header="851" w:footer="992" w:gutter="0"/>
          <w:pgNumType w:fmt="decimal"/>
          <w:cols w:space="425" w:num="1"/>
          <w:docGrid w:type="lines" w:linePitch="312" w:charSpace="0"/>
        </w:sectPr>
      </w:pPr>
    </w:p>
    <w:tbl>
      <w:tblPr>
        <w:tblStyle w:val="26"/>
        <w:tblW w:w="14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13723"/>
      </w:tblGrid>
      <w:tr w14:paraId="750C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3" w:hRule="atLeast"/>
          <w:jc w:val="center"/>
        </w:trPr>
        <w:tc>
          <w:tcPr>
            <w:tcW w:w="485" w:type="dxa"/>
          </w:tcPr>
          <w:p w14:paraId="518D9010">
            <w:pPr>
              <w:ind w:firstLine="600"/>
              <w:jc w:val="center"/>
              <w:rPr>
                <w:rFonts w:eastAsia="黑体"/>
                <w:snapToGrid w:val="0"/>
                <w:color w:val="auto"/>
                <w:sz w:val="30"/>
                <w:szCs w:val="30"/>
                <w:highlight w:val="none"/>
              </w:rPr>
            </w:pPr>
          </w:p>
        </w:tc>
        <w:tc>
          <w:tcPr>
            <w:tcW w:w="13723" w:type="dxa"/>
          </w:tcPr>
          <w:p w14:paraId="57528F56">
            <w:pPr>
              <w:pStyle w:val="24"/>
              <w:spacing w:after="0" w:line="240" w:lineRule="auto"/>
              <w:ind w:firstLine="0" w:firstLineChars="0"/>
              <w:jc w:val="center"/>
              <w:rPr>
                <w:color w:val="auto"/>
                <w:sz w:val="24"/>
                <w:szCs w:val="28"/>
                <w:highlight w:val="none"/>
              </w:rPr>
            </w:pPr>
            <w:r>
              <w:rPr>
                <w:rFonts w:eastAsiaTheme="minorEastAsia"/>
                <w:b/>
                <w:bCs/>
                <w:color w:val="auto"/>
                <w:sz w:val="24"/>
                <w:szCs w:val="28"/>
                <w:highlight w:val="none"/>
              </w:rPr>
              <w:t>表 4-</w:t>
            </w:r>
            <w:r>
              <w:rPr>
                <w:rFonts w:hint="eastAsia" w:eastAsiaTheme="minorEastAsia"/>
                <w:b/>
                <w:bCs/>
                <w:color w:val="auto"/>
                <w:sz w:val="24"/>
                <w:szCs w:val="28"/>
                <w:highlight w:val="none"/>
                <w:lang w:val="en-US" w:eastAsia="zh-CN"/>
              </w:rPr>
              <w:t>11</w:t>
            </w:r>
            <w:r>
              <w:rPr>
                <w:rFonts w:eastAsiaTheme="minorEastAsia"/>
                <w:b/>
                <w:bCs/>
                <w:color w:val="auto"/>
                <w:sz w:val="24"/>
                <w:szCs w:val="28"/>
                <w:highlight w:val="none"/>
              </w:rPr>
              <w:t xml:space="preserve">  工业企业噪声源强调查清单（室外声源）</w:t>
            </w:r>
            <w:bookmarkStart w:id="59" w:name="PT_5"/>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1213"/>
              <w:gridCol w:w="667"/>
              <w:gridCol w:w="705"/>
              <w:gridCol w:w="705"/>
              <w:gridCol w:w="519"/>
              <w:gridCol w:w="3790"/>
              <w:gridCol w:w="1734"/>
              <w:gridCol w:w="2091"/>
              <w:gridCol w:w="1256"/>
            </w:tblGrid>
            <w:tr w14:paraId="03F7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jc w:val="center"/>
              </w:trPr>
              <w:tc>
                <w:tcPr>
                  <w:tcW w:w="301" w:type="pct"/>
                  <w:vMerge w:val="restart"/>
                  <w:vAlign w:val="center"/>
                </w:tcPr>
                <w:p w14:paraId="542F83D1">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序号</w:t>
                  </w:r>
                </w:p>
              </w:tc>
              <w:tc>
                <w:tcPr>
                  <w:tcW w:w="449" w:type="pct"/>
                  <w:vMerge w:val="restart"/>
                  <w:vAlign w:val="center"/>
                </w:tcPr>
                <w:p w14:paraId="0207E82F">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声源名称</w:t>
                  </w:r>
                </w:p>
              </w:tc>
              <w:tc>
                <w:tcPr>
                  <w:tcW w:w="247" w:type="pct"/>
                  <w:vMerge w:val="restart"/>
                  <w:vAlign w:val="center"/>
                </w:tcPr>
                <w:p w14:paraId="6E87C564">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型号</w:t>
                  </w:r>
                </w:p>
              </w:tc>
              <w:tc>
                <w:tcPr>
                  <w:tcW w:w="714" w:type="pct"/>
                  <w:gridSpan w:val="3"/>
                  <w:vAlign w:val="center"/>
                </w:tcPr>
                <w:p w14:paraId="64A1CB47">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空间相对位置/m</w:t>
                  </w:r>
                </w:p>
              </w:tc>
              <w:tc>
                <w:tcPr>
                  <w:tcW w:w="2045" w:type="pct"/>
                  <w:gridSpan w:val="2"/>
                  <w:vAlign w:val="center"/>
                </w:tcPr>
                <w:p w14:paraId="15ADCF7B">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声源源强（任选一种）</w:t>
                  </w:r>
                </w:p>
              </w:tc>
              <w:tc>
                <w:tcPr>
                  <w:tcW w:w="774" w:type="pct"/>
                  <w:vMerge w:val="restart"/>
                  <w:vAlign w:val="center"/>
                </w:tcPr>
                <w:p w14:paraId="6A6A606C">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声源控制措施</w:t>
                  </w:r>
                </w:p>
              </w:tc>
              <w:tc>
                <w:tcPr>
                  <w:tcW w:w="465" w:type="pct"/>
                  <w:vMerge w:val="restart"/>
                  <w:vAlign w:val="center"/>
                </w:tcPr>
                <w:p w14:paraId="34FC8ECC">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运行时段</w:t>
                  </w:r>
                </w:p>
              </w:tc>
            </w:tr>
            <w:tr w14:paraId="1112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01" w:type="pct"/>
                  <w:vMerge w:val="continue"/>
                  <w:shd w:val="clear" w:color="auto" w:fill="FFFFFF"/>
                  <w:vAlign w:val="center"/>
                </w:tcPr>
                <w:p w14:paraId="2FE6733A">
                  <w:pPr>
                    <w:spacing w:line="240" w:lineRule="auto"/>
                    <w:ind w:firstLine="0" w:firstLineChars="0"/>
                    <w:jc w:val="center"/>
                    <w:rPr>
                      <w:rFonts w:eastAsiaTheme="minorEastAsia"/>
                      <w:b w:val="0"/>
                      <w:bCs/>
                      <w:color w:val="auto"/>
                      <w:sz w:val="21"/>
                      <w:szCs w:val="21"/>
                      <w:highlight w:val="none"/>
                    </w:rPr>
                  </w:pPr>
                </w:p>
              </w:tc>
              <w:tc>
                <w:tcPr>
                  <w:tcW w:w="449" w:type="pct"/>
                  <w:vMerge w:val="continue"/>
                  <w:shd w:val="clear" w:color="auto" w:fill="FFFFFF"/>
                  <w:vAlign w:val="center"/>
                </w:tcPr>
                <w:p w14:paraId="4ABF799F">
                  <w:pPr>
                    <w:spacing w:line="240" w:lineRule="auto"/>
                    <w:ind w:firstLine="0" w:firstLineChars="0"/>
                    <w:jc w:val="center"/>
                    <w:rPr>
                      <w:rFonts w:eastAsiaTheme="minorEastAsia"/>
                      <w:b w:val="0"/>
                      <w:bCs/>
                      <w:color w:val="auto"/>
                      <w:sz w:val="21"/>
                      <w:szCs w:val="21"/>
                      <w:highlight w:val="none"/>
                    </w:rPr>
                  </w:pPr>
                </w:p>
              </w:tc>
              <w:tc>
                <w:tcPr>
                  <w:tcW w:w="247" w:type="pct"/>
                  <w:vMerge w:val="continue"/>
                  <w:shd w:val="clear" w:color="auto" w:fill="FFFFFF"/>
                  <w:vAlign w:val="center"/>
                </w:tcPr>
                <w:p w14:paraId="34E082E9">
                  <w:pPr>
                    <w:spacing w:line="240" w:lineRule="auto"/>
                    <w:ind w:firstLine="0" w:firstLineChars="0"/>
                    <w:rPr>
                      <w:rFonts w:eastAsiaTheme="minorEastAsia"/>
                      <w:b w:val="0"/>
                      <w:bCs/>
                      <w:color w:val="auto"/>
                      <w:sz w:val="21"/>
                      <w:szCs w:val="21"/>
                      <w:highlight w:val="none"/>
                    </w:rPr>
                  </w:pPr>
                </w:p>
              </w:tc>
              <w:tc>
                <w:tcPr>
                  <w:tcW w:w="261" w:type="pct"/>
                  <w:shd w:val="clear" w:color="auto" w:fill="FFFFFF"/>
                  <w:vAlign w:val="center"/>
                </w:tcPr>
                <w:p w14:paraId="6E0A4BB8">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X</w:t>
                  </w:r>
                </w:p>
              </w:tc>
              <w:tc>
                <w:tcPr>
                  <w:tcW w:w="261" w:type="pct"/>
                  <w:shd w:val="clear" w:color="auto" w:fill="FFFFFF"/>
                  <w:vAlign w:val="center"/>
                </w:tcPr>
                <w:p w14:paraId="122B4D82">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Y</w:t>
                  </w:r>
                </w:p>
              </w:tc>
              <w:tc>
                <w:tcPr>
                  <w:tcW w:w="192" w:type="pct"/>
                  <w:shd w:val="clear" w:color="auto" w:fill="FFFFFF"/>
                  <w:vAlign w:val="center"/>
                </w:tcPr>
                <w:p w14:paraId="5E4CB534">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Z</w:t>
                  </w:r>
                </w:p>
              </w:tc>
              <w:tc>
                <w:tcPr>
                  <w:tcW w:w="1403" w:type="pct"/>
                  <w:shd w:val="clear" w:color="auto" w:fill="FFFFFF"/>
                  <w:vAlign w:val="center"/>
                </w:tcPr>
                <w:p w14:paraId="7C8EFB2E">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（声压级/距声源距离）/（dB(A)/m）</w:t>
                  </w:r>
                </w:p>
              </w:tc>
              <w:tc>
                <w:tcPr>
                  <w:tcW w:w="641" w:type="pct"/>
                  <w:shd w:val="clear" w:color="auto" w:fill="FFFFFF"/>
                  <w:vAlign w:val="center"/>
                </w:tcPr>
                <w:p w14:paraId="6398C407">
                  <w:pPr>
                    <w:spacing w:line="240" w:lineRule="auto"/>
                    <w:ind w:firstLine="0" w:firstLineChars="0"/>
                    <w:jc w:val="center"/>
                    <w:rPr>
                      <w:rFonts w:eastAsiaTheme="minorEastAsia"/>
                      <w:b w:val="0"/>
                      <w:bCs/>
                      <w:color w:val="auto"/>
                      <w:sz w:val="21"/>
                      <w:szCs w:val="21"/>
                      <w:highlight w:val="none"/>
                    </w:rPr>
                  </w:pPr>
                  <w:r>
                    <w:rPr>
                      <w:rFonts w:eastAsiaTheme="minorEastAsia"/>
                      <w:b w:val="0"/>
                      <w:bCs/>
                      <w:color w:val="auto"/>
                      <w:sz w:val="21"/>
                      <w:szCs w:val="21"/>
                      <w:highlight w:val="none"/>
                    </w:rPr>
                    <w:t>声功率级/dB(A)</w:t>
                  </w:r>
                </w:p>
              </w:tc>
              <w:tc>
                <w:tcPr>
                  <w:tcW w:w="774" w:type="pct"/>
                  <w:vMerge w:val="continue"/>
                  <w:shd w:val="clear" w:color="auto" w:fill="FFFFFF"/>
                  <w:vAlign w:val="center"/>
                </w:tcPr>
                <w:p w14:paraId="565DAD29">
                  <w:pPr>
                    <w:spacing w:line="240" w:lineRule="auto"/>
                    <w:ind w:firstLine="0" w:firstLineChars="0"/>
                    <w:jc w:val="center"/>
                    <w:rPr>
                      <w:rFonts w:eastAsiaTheme="minorEastAsia"/>
                      <w:b w:val="0"/>
                      <w:bCs/>
                      <w:color w:val="auto"/>
                      <w:sz w:val="21"/>
                      <w:szCs w:val="21"/>
                      <w:highlight w:val="none"/>
                    </w:rPr>
                  </w:pPr>
                </w:p>
                <w:bookmarkEnd w:id="59"/>
              </w:tc>
              <w:tc>
                <w:tcPr>
                  <w:tcW w:w="465" w:type="pct"/>
                  <w:vMerge w:val="continue"/>
                  <w:shd w:val="clear" w:color="auto" w:fill="FFFFFF"/>
                  <w:vAlign w:val="center"/>
                </w:tcPr>
                <w:p w14:paraId="50F7AFC8">
                  <w:pPr>
                    <w:spacing w:line="240" w:lineRule="auto"/>
                    <w:ind w:firstLine="0" w:firstLineChars="0"/>
                    <w:jc w:val="center"/>
                    <w:rPr>
                      <w:rFonts w:eastAsiaTheme="minorEastAsia"/>
                      <w:b w:val="0"/>
                      <w:bCs/>
                      <w:color w:val="auto"/>
                      <w:sz w:val="21"/>
                      <w:szCs w:val="21"/>
                      <w:highlight w:val="none"/>
                    </w:rPr>
                  </w:pPr>
                </w:p>
              </w:tc>
            </w:tr>
            <w:tr w14:paraId="3A15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00" w:hRule="exact"/>
                <w:jc w:val="center"/>
              </w:trPr>
              <w:tc>
                <w:tcPr>
                  <w:tcW w:w="301" w:type="pct"/>
                  <w:shd w:val="clear" w:color="auto" w:fill="FFFFFF"/>
                  <w:vAlign w:val="center"/>
                </w:tcPr>
                <w:p w14:paraId="57E12767">
                  <w:pPr>
                    <w:spacing w:line="240" w:lineRule="auto"/>
                    <w:ind w:firstLine="0" w:firstLineChars="0"/>
                    <w:jc w:val="center"/>
                    <w:rPr>
                      <w:b w:val="0"/>
                      <w:bCs/>
                      <w:color w:val="auto"/>
                      <w:sz w:val="21"/>
                      <w:szCs w:val="21"/>
                      <w:highlight w:val="none"/>
                    </w:rPr>
                  </w:pPr>
                  <w:r>
                    <w:rPr>
                      <w:rFonts w:eastAsia="Arial"/>
                      <w:b w:val="0"/>
                      <w:bCs/>
                      <w:color w:val="auto"/>
                      <w:sz w:val="21"/>
                      <w:szCs w:val="21"/>
                      <w:highlight w:val="none"/>
                    </w:rPr>
                    <w:t>1</w:t>
                  </w:r>
                </w:p>
              </w:tc>
              <w:tc>
                <w:tcPr>
                  <w:tcW w:w="449" w:type="pct"/>
                  <w:shd w:val="clear" w:color="auto" w:fill="FFFFFF"/>
                  <w:vAlign w:val="center"/>
                </w:tcPr>
                <w:p w14:paraId="56478B09">
                  <w:pPr>
                    <w:spacing w:line="240" w:lineRule="auto"/>
                    <w:ind w:firstLine="0" w:firstLineChars="0"/>
                    <w:jc w:val="center"/>
                    <w:rPr>
                      <w:b w:val="0"/>
                      <w:bCs/>
                      <w:color w:val="auto"/>
                      <w:sz w:val="21"/>
                      <w:szCs w:val="21"/>
                      <w:highlight w:val="none"/>
                    </w:rPr>
                  </w:pPr>
                  <w:r>
                    <w:rPr>
                      <w:rFonts w:eastAsia="Arial"/>
                      <w:b w:val="0"/>
                      <w:bCs/>
                      <w:color w:val="auto"/>
                      <w:sz w:val="21"/>
                      <w:szCs w:val="21"/>
                      <w:highlight w:val="none"/>
                    </w:rPr>
                    <w:t>风机</w:t>
                  </w:r>
                </w:p>
              </w:tc>
              <w:tc>
                <w:tcPr>
                  <w:tcW w:w="247" w:type="pct"/>
                  <w:shd w:val="clear" w:color="auto" w:fill="FFFFFF"/>
                  <w:vAlign w:val="center"/>
                </w:tcPr>
                <w:p w14:paraId="25308F00">
                  <w:pPr>
                    <w:spacing w:line="240" w:lineRule="auto"/>
                    <w:ind w:firstLine="0" w:firstLineChars="0"/>
                    <w:rPr>
                      <w:b w:val="0"/>
                      <w:bCs/>
                      <w:color w:val="auto"/>
                      <w:sz w:val="21"/>
                      <w:szCs w:val="21"/>
                      <w:highlight w:val="none"/>
                    </w:rPr>
                  </w:pPr>
                </w:p>
              </w:tc>
              <w:tc>
                <w:tcPr>
                  <w:tcW w:w="261" w:type="pct"/>
                  <w:shd w:val="clear" w:color="auto" w:fill="FFFFFF"/>
                  <w:vAlign w:val="center"/>
                </w:tcPr>
                <w:p w14:paraId="537F6035">
                  <w:pPr>
                    <w:spacing w:line="240" w:lineRule="auto"/>
                    <w:ind w:firstLine="0" w:firstLineChars="0"/>
                    <w:jc w:val="center"/>
                    <w:rPr>
                      <w:rFonts w:hint="default"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22.7</w:t>
                  </w:r>
                </w:p>
              </w:tc>
              <w:tc>
                <w:tcPr>
                  <w:tcW w:w="261" w:type="pct"/>
                  <w:shd w:val="clear" w:color="auto" w:fill="FFFFFF"/>
                  <w:vAlign w:val="center"/>
                </w:tcPr>
                <w:p w14:paraId="4CF27D9A">
                  <w:pPr>
                    <w:spacing w:line="240" w:lineRule="auto"/>
                    <w:ind w:firstLine="0" w:firstLineChars="0"/>
                    <w:jc w:val="center"/>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38.4</w:t>
                  </w:r>
                </w:p>
              </w:tc>
              <w:tc>
                <w:tcPr>
                  <w:tcW w:w="192" w:type="pct"/>
                  <w:shd w:val="clear" w:color="auto" w:fill="FFFFFF"/>
                  <w:vAlign w:val="center"/>
                </w:tcPr>
                <w:p w14:paraId="3DA1065A">
                  <w:pPr>
                    <w:spacing w:line="240" w:lineRule="auto"/>
                    <w:ind w:firstLine="0" w:firstLineChars="0"/>
                    <w:jc w:val="center"/>
                    <w:rPr>
                      <w:b w:val="0"/>
                      <w:bCs/>
                      <w:color w:val="auto"/>
                      <w:sz w:val="21"/>
                      <w:szCs w:val="21"/>
                      <w:highlight w:val="none"/>
                    </w:rPr>
                  </w:pPr>
                  <w:r>
                    <w:rPr>
                      <w:rFonts w:eastAsia="Arial"/>
                      <w:b w:val="0"/>
                      <w:bCs/>
                      <w:color w:val="auto"/>
                      <w:sz w:val="21"/>
                      <w:szCs w:val="21"/>
                      <w:highlight w:val="none"/>
                    </w:rPr>
                    <w:t>1.2</w:t>
                  </w:r>
                </w:p>
              </w:tc>
              <w:tc>
                <w:tcPr>
                  <w:tcW w:w="1403" w:type="pct"/>
                  <w:shd w:val="clear" w:color="auto" w:fill="FFFFFF"/>
                  <w:vAlign w:val="center"/>
                </w:tcPr>
                <w:p w14:paraId="517475CE">
                  <w:pPr>
                    <w:spacing w:line="240" w:lineRule="auto"/>
                    <w:ind w:firstLine="0" w:firstLineChars="0"/>
                    <w:jc w:val="center"/>
                    <w:rPr>
                      <w:b w:val="0"/>
                      <w:bCs/>
                      <w:color w:val="auto"/>
                      <w:sz w:val="21"/>
                      <w:szCs w:val="21"/>
                      <w:highlight w:val="none"/>
                    </w:rPr>
                  </w:pPr>
                  <w:r>
                    <w:rPr>
                      <w:rFonts w:hint="eastAsia"/>
                      <w:b w:val="0"/>
                      <w:bCs/>
                      <w:color w:val="auto"/>
                      <w:sz w:val="21"/>
                      <w:szCs w:val="21"/>
                      <w:highlight w:val="none"/>
                    </w:rPr>
                    <w:t>/</w:t>
                  </w:r>
                </w:p>
              </w:tc>
              <w:tc>
                <w:tcPr>
                  <w:tcW w:w="641" w:type="pct"/>
                  <w:shd w:val="clear" w:color="auto" w:fill="FFFFFF"/>
                  <w:vAlign w:val="center"/>
                </w:tcPr>
                <w:p w14:paraId="2F2E0831">
                  <w:pPr>
                    <w:spacing w:line="240" w:lineRule="auto"/>
                    <w:ind w:firstLine="0" w:firstLineChars="0"/>
                    <w:jc w:val="center"/>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85</w:t>
                  </w:r>
                </w:p>
              </w:tc>
              <w:tc>
                <w:tcPr>
                  <w:tcW w:w="774" w:type="pct"/>
                  <w:shd w:val="clear" w:color="auto" w:fill="FFFFFF"/>
                  <w:vAlign w:val="center"/>
                </w:tcPr>
                <w:p w14:paraId="23AF5C2D">
                  <w:pPr>
                    <w:spacing w:line="240" w:lineRule="auto"/>
                    <w:ind w:firstLine="0" w:firstLineChars="0"/>
                    <w:jc w:val="center"/>
                    <w:rPr>
                      <w:b w:val="0"/>
                      <w:bCs/>
                      <w:color w:val="auto"/>
                      <w:sz w:val="21"/>
                      <w:szCs w:val="21"/>
                      <w:highlight w:val="none"/>
                    </w:rPr>
                  </w:pPr>
                  <w:r>
                    <w:rPr>
                      <w:b w:val="0"/>
                      <w:bCs/>
                      <w:snapToGrid w:val="0"/>
                      <w:color w:val="auto"/>
                      <w:sz w:val="21"/>
                      <w:szCs w:val="21"/>
                      <w:highlight w:val="none"/>
                    </w:rPr>
                    <w:t>低噪声设备</w:t>
                  </w:r>
                  <w:r>
                    <w:rPr>
                      <w:b w:val="0"/>
                      <w:bCs/>
                      <w:color w:val="auto"/>
                      <w:sz w:val="21"/>
                      <w:szCs w:val="21"/>
                      <w:highlight w:val="none"/>
                    </w:rPr>
                    <w:t>，隔声罩，出口消声</w:t>
                  </w:r>
                </w:p>
              </w:tc>
              <w:tc>
                <w:tcPr>
                  <w:tcW w:w="465" w:type="pct"/>
                  <w:shd w:val="clear" w:color="auto" w:fill="FFFFFF"/>
                  <w:vAlign w:val="center"/>
                </w:tcPr>
                <w:p w14:paraId="73470520">
                  <w:pPr>
                    <w:autoSpaceDE w:val="0"/>
                    <w:autoSpaceDN w:val="0"/>
                    <w:spacing w:line="240" w:lineRule="auto"/>
                    <w:ind w:firstLine="0" w:firstLineChars="0"/>
                    <w:jc w:val="center"/>
                    <w:rPr>
                      <w:rFonts w:hint="eastAsia" w:eastAsia="宋体"/>
                      <w:b w:val="0"/>
                      <w:bCs/>
                      <w:color w:val="auto"/>
                      <w:sz w:val="21"/>
                      <w:szCs w:val="21"/>
                      <w:highlight w:val="none"/>
                      <w:lang w:eastAsia="zh-CN"/>
                    </w:rPr>
                  </w:pPr>
                  <w:r>
                    <w:rPr>
                      <w:rFonts w:hint="eastAsia"/>
                      <w:b w:val="0"/>
                      <w:bCs/>
                      <w:color w:val="auto"/>
                      <w:sz w:val="21"/>
                      <w:szCs w:val="21"/>
                      <w:highlight w:val="none"/>
                      <w:lang w:val="en-US" w:eastAsia="zh-CN"/>
                    </w:rPr>
                    <w:t>昼间</w:t>
                  </w:r>
                </w:p>
              </w:tc>
            </w:tr>
          </w:tbl>
          <w:p w14:paraId="0E9B1506">
            <w:pPr>
              <w:spacing w:line="240" w:lineRule="auto"/>
              <w:ind w:firstLine="0" w:firstLineChars="0"/>
              <w:jc w:val="center"/>
              <w:rPr>
                <w:color w:val="auto"/>
                <w:sz w:val="24"/>
                <w:szCs w:val="32"/>
                <w:highlight w:val="none"/>
              </w:rPr>
            </w:pPr>
            <w:r>
              <w:rPr>
                <w:rFonts w:hint="eastAsia" w:cs="宋体"/>
                <w:b/>
                <w:bCs/>
                <w:color w:val="auto"/>
                <w:sz w:val="24"/>
                <w:szCs w:val="40"/>
                <w:highlight w:val="none"/>
              </w:rPr>
              <w:t>表4-1</w:t>
            </w:r>
            <w:r>
              <w:rPr>
                <w:rFonts w:hint="eastAsia" w:cs="宋体"/>
                <w:b/>
                <w:bCs/>
                <w:color w:val="auto"/>
                <w:sz w:val="24"/>
                <w:szCs w:val="40"/>
                <w:highlight w:val="none"/>
                <w:lang w:val="en-US" w:eastAsia="zh-CN"/>
              </w:rPr>
              <w:t>2</w:t>
            </w:r>
            <w:r>
              <w:rPr>
                <w:rFonts w:hint="eastAsia" w:cs="宋体"/>
                <w:b/>
                <w:bCs/>
                <w:color w:val="auto"/>
                <w:sz w:val="24"/>
                <w:szCs w:val="40"/>
                <w:highlight w:val="none"/>
              </w:rPr>
              <w:t xml:space="preserve">  项目噪声源强调查清单（室内声源）</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927"/>
              <w:gridCol w:w="1172"/>
              <w:gridCol w:w="1016"/>
              <w:gridCol w:w="481"/>
              <w:gridCol w:w="481"/>
              <w:gridCol w:w="475"/>
              <w:gridCol w:w="505"/>
              <w:gridCol w:w="505"/>
              <w:gridCol w:w="505"/>
              <w:gridCol w:w="559"/>
              <w:gridCol w:w="505"/>
              <w:gridCol w:w="505"/>
              <w:gridCol w:w="505"/>
              <w:gridCol w:w="565"/>
              <w:gridCol w:w="505"/>
              <w:gridCol w:w="505"/>
              <w:gridCol w:w="505"/>
              <w:gridCol w:w="565"/>
              <w:gridCol w:w="505"/>
              <w:gridCol w:w="505"/>
              <w:gridCol w:w="505"/>
              <w:gridCol w:w="583"/>
            </w:tblGrid>
            <w:tr w14:paraId="30A4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exact"/>
              </w:trPr>
              <w:tc>
                <w:tcPr>
                  <w:tcW w:w="225" w:type="pct"/>
                  <w:vMerge w:val="restart"/>
                  <w:vAlign w:val="center"/>
                </w:tcPr>
                <w:p w14:paraId="5512B5C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bookmarkStart w:id="60" w:name="PT_6"/>
                  <w:r>
                    <w:rPr>
                      <w:rFonts w:hint="default" w:ascii="Times New Roman" w:hAnsi="Times New Roman" w:eastAsia="宋体" w:cs="Times New Roman"/>
                      <w:color w:val="auto"/>
                      <w:sz w:val="21"/>
                      <w:szCs w:val="21"/>
                      <w:highlight w:val="none"/>
                    </w:rPr>
                    <w:t>序号</w:t>
                  </w:r>
                </w:p>
              </w:tc>
              <w:tc>
                <w:tcPr>
                  <w:tcW w:w="343" w:type="pct"/>
                  <w:vMerge w:val="restart"/>
                  <w:vAlign w:val="center"/>
                </w:tcPr>
                <w:p w14:paraId="72FA43E5">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建筑物名称</w:t>
                  </w:r>
                </w:p>
              </w:tc>
              <w:tc>
                <w:tcPr>
                  <w:tcW w:w="434" w:type="pct"/>
                  <w:vMerge w:val="restart"/>
                  <w:vAlign w:val="center"/>
                </w:tcPr>
                <w:p w14:paraId="53771EFD">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声源名称</w:t>
                  </w:r>
                </w:p>
              </w:tc>
              <w:tc>
                <w:tcPr>
                  <w:tcW w:w="376" w:type="pct"/>
                  <w:vAlign w:val="center"/>
                </w:tcPr>
                <w:p w14:paraId="0D921592">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声源源强</w:t>
                  </w:r>
                </w:p>
              </w:tc>
              <w:tc>
                <w:tcPr>
                  <w:tcW w:w="532" w:type="pct"/>
                  <w:gridSpan w:val="3"/>
                  <w:vAlign w:val="center"/>
                </w:tcPr>
                <w:p w14:paraId="43DB16B7">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空间相对位置/m</w:t>
                  </w:r>
                </w:p>
              </w:tc>
              <w:tc>
                <w:tcPr>
                  <w:tcW w:w="768" w:type="pct"/>
                  <w:gridSpan w:val="4"/>
                  <w:vAlign w:val="center"/>
                </w:tcPr>
                <w:p w14:paraId="4C7A17D0">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距室内边界距离/m</w:t>
                  </w:r>
                </w:p>
              </w:tc>
              <w:tc>
                <w:tcPr>
                  <w:tcW w:w="770" w:type="pct"/>
                  <w:gridSpan w:val="4"/>
                  <w:vAlign w:val="center"/>
                </w:tcPr>
                <w:p w14:paraId="53F0CE5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室内边界声级/dB(A)</w:t>
                  </w:r>
                </w:p>
              </w:tc>
              <w:tc>
                <w:tcPr>
                  <w:tcW w:w="770" w:type="pct"/>
                  <w:gridSpan w:val="4"/>
                  <w:vAlign w:val="center"/>
                </w:tcPr>
                <w:p w14:paraId="59CC1AEA">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建筑物插入损失 / dB(A)</w:t>
                  </w:r>
                  <w:bookmarkStart w:id="61" w:name="PT_10"/>
                  <w:bookmarkEnd w:id="61"/>
                </w:p>
              </w:tc>
              <w:tc>
                <w:tcPr>
                  <w:tcW w:w="777" w:type="pct"/>
                  <w:gridSpan w:val="4"/>
                  <w:vAlign w:val="center"/>
                </w:tcPr>
                <w:p w14:paraId="3AB5120A">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建筑物外噪声声压级/dB(A)</w:t>
                  </w:r>
                </w:p>
              </w:tc>
            </w:tr>
            <w:tr w14:paraId="1E5B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vMerge w:val="continue"/>
                  <w:shd w:val="clear" w:color="auto" w:fill="FFFFFF"/>
                  <w:tcMar>
                    <w:top w:w="0" w:type="dxa"/>
                    <w:left w:w="0" w:type="dxa"/>
                    <w:bottom w:w="0" w:type="dxa"/>
                    <w:right w:w="0" w:type="dxa"/>
                  </w:tcMar>
                  <w:vAlign w:val="center"/>
                </w:tcPr>
                <w:p w14:paraId="77CCD1D3">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343" w:type="pct"/>
                  <w:vMerge w:val="continue"/>
                  <w:shd w:val="clear" w:color="auto" w:fill="FFFFFF"/>
                  <w:tcMar>
                    <w:top w:w="0" w:type="dxa"/>
                    <w:left w:w="0" w:type="dxa"/>
                    <w:bottom w:w="0" w:type="dxa"/>
                    <w:right w:w="0" w:type="dxa"/>
                  </w:tcMar>
                  <w:vAlign w:val="center"/>
                </w:tcPr>
                <w:p w14:paraId="30F14DA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vMerge w:val="continue"/>
                  <w:shd w:val="clear" w:color="auto" w:fill="FFFFFF"/>
                  <w:tcMar>
                    <w:top w:w="0" w:type="dxa"/>
                    <w:left w:w="0" w:type="dxa"/>
                    <w:bottom w:w="0" w:type="dxa"/>
                    <w:right w:w="0" w:type="dxa"/>
                  </w:tcMar>
                  <w:vAlign w:val="center"/>
                </w:tcPr>
                <w:p w14:paraId="38FC1270">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376" w:type="pct"/>
                  <w:shd w:val="clear" w:color="auto" w:fill="FFFFFF"/>
                  <w:tcMar>
                    <w:top w:w="0" w:type="dxa"/>
                    <w:left w:w="0" w:type="dxa"/>
                    <w:bottom w:w="0" w:type="dxa"/>
                    <w:right w:w="0" w:type="dxa"/>
                  </w:tcMar>
                  <w:vAlign w:val="center"/>
                </w:tcPr>
                <w:p w14:paraId="6AABEDD5">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声功率级/dB(A)</w:t>
                  </w:r>
                </w:p>
              </w:tc>
              <w:tc>
                <w:tcPr>
                  <w:tcW w:w="178" w:type="pct"/>
                  <w:shd w:val="clear" w:color="auto" w:fill="FFFFFF"/>
                  <w:tcMar>
                    <w:top w:w="0" w:type="dxa"/>
                    <w:left w:w="0" w:type="dxa"/>
                    <w:bottom w:w="0" w:type="dxa"/>
                    <w:right w:w="0" w:type="dxa"/>
                  </w:tcMar>
                  <w:vAlign w:val="center"/>
                </w:tcPr>
                <w:p w14:paraId="48D5292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178" w:type="pct"/>
                  <w:shd w:val="clear" w:color="auto" w:fill="FFFFFF"/>
                  <w:tcMar>
                    <w:top w:w="0" w:type="dxa"/>
                    <w:left w:w="0" w:type="dxa"/>
                    <w:bottom w:w="0" w:type="dxa"/>
                    <w:right w:w="0" w:type="dxa"/>
                  </w:tcMar>
                  <w:vAlign w:val="center"/>
                </w:tcPr>
                <w:p w14:paraId="563F3277">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176" w:type="pct"/>
                  <w:shd w:val="clear" w:color="auto" w:fill="FFFFFF"/>
                  <w:tcMar>
                    <w:top w:w="0" w:type="dxa"/>
                    <w:left w:w="0" w:type="dxa"/>
                    <w:bottom w:w="0" w:type="dxa"/>
                    <w:right w:w="0" w:type="dxa"/>
                  </w:tcMar>
                  <w:vAlign w:val="center"/>
                </w:tcPr>
                <w:p w14:paraId="47486910">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187" w:type="pct"/>
                  <w:shd w:val="clear" w:color="auto" w:fill="FFFFFF"/>
                  <w:tcMar>
                    <w:top w:w="0" w:type="dxa"/>
                    <w:left w:w="0" w:type="dxa"/>
                    <w:bottom w:w="0" w:type="dxa"/>
                    <w:right w:w="0" w:type="dxa"/>
                  </w:tcMar>
                  <w:vAlign w:val="center"/>
                </w:tcPr>
                <w:p w14:paraId="3AED160B">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187" w:type="pct"/>
                  <w:shd w:val="clear" w:color="auto" w:fill="FFFFFF"/>
                  <w:tcMar>
                    <w:top w:w="0" w:type="dxa"/>
                    <w:left w:w="0" w:type="dxa"/>
                    <w:bottom w:w="0" w:type="dxa"/>
                    <w:right w:w="0" w:type="dxa"/>
                  </w:tcMar>
                  <w:vAlign w:val="center"/>
                </w:tcPr>
                <w:p w14:paraId="0BF4071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187" w:type="pct"/>
                  <w:shd w:val="clear" w:color="auto" w:fill="FFFFFF"/>
                  <w:tcMar>
                    <w:top w:w="0" w:type="dxa"/>
                    <w:left w:w="0" w:type="dxa"/>
                    <w:bottom w:w="0" w:type="dxa"/>
                    <w:right w:w="0" w:type="dxa"/>
                  </w:tcMar>
                  <w:vAlign w:val="center"/>
                </w:tcPr>
                <w:p w14:paraId="7D1F6A7D">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207" w:type="pct"/>
                  <w:shd w:val="clear" w:color="auto" w:fill="FFFFFF"/>
                  <w:tcMar>
                    <w:top w:w="0" w:type="dxa"/>
                    <w:left w:w="0" w:type="dxa"/>
                    <w:bottom w:w="0" w:type="dxa"/>
                    <w:right w:w="0" w:type="dxa"/>
                  </w:tcMar>
                  <w:vAlign w:val="center"/>
                </w:tcPr>
                <w:p w14:paraId="4707A427">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187" w:type="pct"/>
                  <w:shd w:val="clear" w:color="auto" w:fill="FFFFFF"/>
                  <w:tcMar>
                    <w:top w:w="0" w:type="dxa"/>
                    <w:left w:w="0" w:type="dxa"/>
                    <w:bottom w:w="0" w:type="dxa"/>
                    <w:right w:w="0" w:type="dxa"/>
                  </w:tcMar>
                  <w:vAlign w:val="center"/>
                </w:tcPr>
                <w:p w14:paraId="5FE849CC">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187" w:type="pct"/>
                  <w:shd w:val="clear" w:color="auto" w:fill="FFFFFF"/>
                  <w:tcMar>
                    <w:top w:w="0" w:type="dxa"/>
                    <w:left w:w="0" w:type="dxa"/>
                    <w:bottom w:w="0" w:type="dxa"/>
                    <w:right w:w="0" w:type="dxa"/>
                  </w:tcMar>
                  <w:vAlign w:val="center"/>
                </w:tcPr>
                <w:p w14:paraId="6F040A1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187" w:type="pct"/>
                  <w:shd w:val="clear" w:color="auto" w:fill="FFFFFF"/>
                  <w:tcMar>
                    <w:top w:w="0" w:type="dxa"/>
                    <w:left w:w="0" w:type="dxa"/>
                    <w:bottom w:w="0" w:type="dxa"/>
                    <w:right w:w="0" w:type="dxa"/>
                  </w:tcMar>
                  <w:vAlign w:val="center"/>
                </w:tcPr>
                <w:p w14:paraId="606B1D2E">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209" w:type="pct"/>
                  <w:shd w:val="clear" w:color="auto" w:fill="FFFFFF"/>
                  <w:tcMar>
                    <w:top w:w="0" w:type="dxa"/>
                    <w:left w:w="0" w:type="dxa"/>
                    <w:bottom w:w="0" w:type="dxa"/>
                    <w:right w:w="0" w:type="dxa"/>
                  </w:tcMar>
                  <w:vAlign w:val="center"/>
                </w:tcPr>
                <w:p w14:paraId="31CD62F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187" w:type="pct"/>
                  <w:shd w:val="clear" w:color="auto" w:fill="FFFFFF"/>
                  <w:tcMar>
                    <w:top w:w="0" w:type="dxa"/>
                    <w:left w:w="0" w:type="dxa"/>
                    <w:bottom w:w="0" w:type="dxa"/>
                    <w:right w:w="0" w:type="dxa"/>
                  </w:tcMar>
                  <w:vAlign w:val="center"/>
                </w:tcPr>
                <w:p w14:paraId="77FEBE5C">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187" w:type="pct"/>
                  <w:shd w:val="clear" w:color="auto" w:fill="FFFFFF"/>
                  <w:tcMar>
                    <w:top w:w="0" w:type="dxa"/>
                    <w:left w:w="0" w:type="dxa"/>
                    <w:bottom w:w="0" w:type="dxa"/>
                    <w:right w:w="0" w:type="dxa"/>
                  </w:tcMar>
                  <w:vAlign w:val="center"/>
                </w:tcPr>
                <w:p w14:paraId="04EC64AB">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187" w:type="pct"/>
                  <w:shd w:val="clear" w:color="auto" w:fill="FFFFFF"/>
                  <w:tcMar>
                    <w:top w:w="0" w:type="dxa"/>
                    <w:left w:w="0" w:type="dxa"/>
                    <w:bottom w:w="0" w:type="dxa"/>
                    <w:right w:w="0" w:type="dxa"/>
                  </w:tcMar>
                  <w:vAlign w:val="center"/>
                </w:tcPr>
                <w:p w14:paraId="7456DD0E">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209" w:type="pct"/>
                  <w:shd w:val="clear" w:color="auto" w:fill="FFFFFF"/>
                  <w:tcMar>
                    <w:top w:w="0" w:type="dxa"/>
                    <w:left w:w="0" w:type="dxa"/>
                    <w:bottom w:w="0" w:type="dxa"/>
                    <w:right w:w="0" w:type="dxa"/>
                  </w:tcMar>
                  <w:vAlign w:val="center"/>
                </w:tcPr>
                <w:p w14:paraId="561B2BCD">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187" w:type="pct"/>
                  <w:shd w:val="clear" w:color="auto" w:fill="FFFFFF"/>
                  <w:tcMar>
                    <w:top w:w="0" w:type="dxa"/>
                    <w:left w:w="0" w:type="dxa"/>
                    <w:bottom w:w="0" w:type="dxa"/>
                    <w:right w:w="0" w:type="dxa"/>
                  </w:tcMar>
                  <w:vAlign w:val="center"/>
                </w:tcPr>
                <w:p w14:paraId="67E61D0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187" w:type="pct"/>
                  <w:shd w:val="clear" w:color="auto" w:fill="FFFFFF"/>
                  <w:tcMar>
                    <w:top w:w="0" w:type="dxa"/>
                    <w:left w:w="0" w:type="dxa"/>
                    <w:bottom w:w="0" w:type="dxa"/>
                    <w:right w:w="0" w:type="dxa"/>
                  </w:tcMar>
                  <w:vAlign w:val="center"/>
                </w:tcPr>
                <w:p w14:paraId="50F6E60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187" w:type="pct"/>
                  <w:shd w:val="clear" w:color="auto" w:fill="FFFFFF"/>
                  <w:tcMar>
                    <w:top w:w="0" w:type="dxa"/>
                    <w:left w:w="0" w:type="dxa"/>
                    <w:bottom w:w="0" w:type="dxa"/>
                    <w:right w:w="0" w:type="dxa"/>
                  </w:tcMar>
                  <w:vAlign w:val="center"/>
                </w:tcPr>
                <w:p w14:paraId="43D5273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216" w:type="pct"/>
                  <w:shd w:val="clear" w:color="auto" w:fill="FFFFFF"/>
                  <w:tcMar>
                    <w:top w:w="0" w:type="dxa"/>
                    <w:left w:w="0" w:type="dxa"/>
                    <w:bottom w:w="0" w:type="dxa"/>
                    <w:right w:w="0" w:type="dxa"/>
                  </w:tcMar>
                  <w:vAlign w:val="center"/>
                </w:tcPr>
                <w:p w14:paraId="26C3F75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r>
            <w:tr w14:paraId="4123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0B860DD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43" w:type="pct"/>
                  <w:vMerge w:val="restart"/>
                  <w:shd w:val="clear" w:color="auto" w:fill="FFFFFF"/>
                  <w:tcMar>
                    <w:top w:w="0" w:type="dxa"/>
                    <w:left w:w="0" w:type="dxa"/>
                    <w:bottom w:w="0" w:type="dxa"/>
                    <w:right w:w="0" w:type="dxa"/>
                  </w:tcMar>
                  <w:vAlign w:val="center"/>
                </w:tcPr>
                <w:p w14:paraId="4182B3AC">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生产车间</w:t>
                  </w:r>
                </w:p>
              </w:tc>
              <w:tc>
                <w:tcPr>
                  <w:tcW w:w="434" w:type="pct"/>
                  <w:shd w:val="clear" w:color="auto" w:fill="FFFFFF"/>
                  <w:tcMar>
                    <w:top w:w="0" w:type="dxa"/>
                    <w:left w:w="0" w:type="dxa"/>
                    <w:bottom w:w="0" w:type="dxa"/>
                    <w:right w:w="0" w:type="dxa"/>
                  </w:tcMar>
                  <w:vAlign w:val="center"/>
                </w:tcPr>
                <w:p w14:paraId="56FA3B7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激光下料机</w:t>
                  </w:r>
                </w:p>
              </w:tc>
              <w:tc>
                <w:tcPr>
                  <w:tcW w:w="376" w:type="pct"/>
                  <w:shd w:val="clear" w:color="auto" w:fill="FFFFFF"/>
                  <w:tcMar>
                    <w:top w:w="0" w:type="dxa"/>
                    <w:left w:w="0" w:type="dxa"/>
                    <w:bottom w:w="0" w:type="dxa"/>
                    <w:right w:w="0" w:type="dxa"/>
                  </w:tcMar>
                  <w:vAlign w:val="center"/>
                </w:tcPr>
                <w:p w14:paraId="6EDDA03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78" w:type="pct"/>
                  <w:shd w:val="clear" w:color="auto" w:fill="FFFFFF"/>
                  <w:tcMar>
                    <w:top w:w="0" w:type="dxa"/>
                    <w:left w:w="0" w:type="dxa"/>
                    <w:bottom w:w="0" w:type="dxa"/>
                    <w:right w:w="0" w:type="dxa"/>
                  </w:tcMar>
                  <w:vAlign w:val="center"/>
                </w:tcPr>
                <w:p w14:paraId="7682F35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-14.7</w:t>
                  </w:r>
                </w:p>
              </w:tc>
              <w:tc>
                <w:tcPr>
                  <w:tcW w:w="178" w:type="pct"/>
                  <w:shd w:val="clear" w:color="auto" w:fill="FFFFFF"/>
                  <w:tcMar>
                    <w:top w:w="0" w:type="dxa"/>
                    <w:left w:w="0" w:type="dxa"/>
                    <w:bottom w:w="0" w:type="dxa"/>
                    <w:right w:w="0" w:type="dxa"/>
                  </w:tcMar>
                  <w:vAlign w:val="center"/>
                </w:tcPr>
                <w:p w14:paraId="750CFFE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18.1</w:t>
                  </w:r>
                </w:p>
              </w:tc>
              <w:tc>
                <w:tcPr>
                  <w:tcW w:w="176" w:type="pct"/>
                  <w:shd w:val="clear" w:color="auto" w:fill="FFFFFF"/>
                  <w:tcMar>
                    <w:top w:w="0" w:type="dxa"/>
                    <w:left w:w="0" w:type="dxa"/>
                    <w:bottom w:w="0" w:type="dxa"/>
                    <w:right w:w="0" w:type="dxa"/>
                  </w:tcMar>
                  <w:vAlign w:val="center"/>
                </w:tcPr>
                <w:p w14:paraId="273B85D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307BD38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36.5</w:t>
                  </w:r>
                </w:p>
              </w:tc>
              <w:tc>
                <w:tcPr>
                  <w:tcW w:w="187" w:type="pct"/>
                  <w:shd w:val="clear" w:color="auto" w:fill="FFFFFF"/>
                  <w:tcMar>
                    <w:top w:w="0" w:type="dxa"/>
                    <w:left w:w="0" w:type="dxa"/>
                    <w:bottom w:w="0" w:type="dxa"/>
                    <w:right w:w="0" w:type="dxa"/>
                  </w:tcMar>
                  <w:vAlign w:val="center"/>
                </w:tcPr>
                <w:p w14:paraId="3DF1E6FF">
                  <w:pPr>
                    <w:keepNext w:val="0"/>
                    <w:keepLines w:val="0"/>
                    <w:pageBreakBefore w:val="0"/>
                    <w:widowControl/>
                    <w:kinsoku w:val="0"/>
                    <w:wordWrap/>
                    <w:overflowPunct/>
                    <w:topLinePunct w:val="0"/>
                    <w:autoSpaceDE w:val="0"/>
                    <w:autoSpaceDN w:val="0"/>
                    <w:bidi w:val="0"/>
                    <w:adjustRightInd/>
                    <w:snapToGrid/>
                    <w:jc w:val="center"/>
                    <w:textAlignment w:val="baseline"/>
                    <w:rPr>
                      <w:color w:val="auto"/>
                      <w:highlight w:val="none"/>
                    </w:rPr>
                  </w:pPr>
                  <w:r>
                    <w:rPr>
                      <w:rFonts w:hint="default" w:ascii="Times New Roman" w:hAnsi="Times New Roman" w:eastAsia="宋体" w:cs="Times New Roman"/>
                      <w:color w:val="auto"/>
                      <w:sz w:val="21"/>
                      <w:szCs w:val="21"/>
                      <w:highlight w:val="none"/>
                    </w:rPr>
                    <w:t>22.3</w:t>
                  </w:r>
                </w:p>
              </w:tc>
              <w:tc>
                <w:tcPr>
                  <w:tcW w:w="187" w:type="pct"/>
                  <w:shd w:val="clear" w:color="auto" w:fill="FFFFFF"/>
                  <w:tcMar>
                    <w:top w:w="0" w:type="dxa"/>
                    <w:left w:w="0" w:type="dxa"/>
                    <w:bottom w:w="0" w:type="dxa"/>
                    <w:right w:w="0" w:type="dxa"/>
                  </w:tcMar>
                  <w:vAlign w:val="center"/>
                </w:tcPr>
                <w:p w14:paraId="384CD03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47.5</w:t>
                  </w:r>
                </w:p>
              </w:tc>
              <w:tc>
                <w:tcPr>
                  <w:tcW w:w="207" w:type="pct"/>
                  <w:shd w:val="clear" w:color="auto" w:fill="FFFFFF"/>
                  <w:tcMar>
                    <w:top w:w="0" w:type="dxa"/>
                    <w:left w:w="0" w:type="dxa"/>
                    <w:bottom w:w="0" w:type="dxa"/>
                    <w:right w:w="0" w:type="dxa"/>
                  </w:tcMar>
                  <w:vAlign w:val="center"/>
                </w:tcPr>
                <w:p w14:paraId="33FBF24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69.7</w:t>
                  </w:r>
                </w:p>
              </w:tc>
              <w:tc>
                <w:tcPr>
                  <w:tcW w:w="187" w:type="pct"/>
                  <w:shd w:val="clear" w:color="auto" w:fill="FFFFFF"/>
                  <w:tcMar>
                    <w:top w:w="0" w:type="dxa"/>
                    <w:left w:w="0" w:type="dxa"/>
                    <w:bottom w:w="0" w:type="dxa"/>
                    <w:right w:w="0" w:type="dxa"/>
                  </w:tcMar>
                  <w:vAlign w:val="center"/>
                </w:tcPr>
                <w:p w14:paraId="60235C1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2B1C045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2AA6A36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60.1</w:t>
                  </w:r>
                </w:p>
              </w:tc>
              <w:tc>
                <w:tcPr>
                  <w:tcW w:w="209" w:type="pct"/>
                  <w:shd w:val="clear" w:color="auto" w:fill="FFFFFF"/>
                  <w:tcMar>
                    <w:top w:w="0" w:type="dxa"/>
                    <w:left w:w="0" w:type="dxa"/>
                    <w:bottom w:w="0" w:type="dxa"/>
                    <w:right w:w="0" w:type="dxa"/>
                  </w:tcMar>
                  <w:vAlign w:val="center"/>
                </w:tcPr>
                <w:p w14:paraId="6A2C33C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60.4</w:t>
                  </w:r>
                </w:p>
              </w:tc>
              <w:tc>
                <w:tcPr>
                  <w:tcW w:w="187" w:type="pct"/>
                  <w:shd w:val="clear" w:color="auto" w:fill="FFFFFF"/>
                  <w:tcMar>
                    <w:top w:w="0" w:type="dxa"/>
                    <w:left w:w="0" w:type="dxa"/>
                    <w:bottom w:w="0" w:type="dxa"/>
                    <w:right w:w="0" w:type="dxa"/>
                  </w:tcMar>
                  <w:vAlign w:val="center"/>
                </w:tcPr>
                <w:p w14:paraId="60B4CC4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080AD337">
                  <w:pPr>
                    <w:keepNext w:val="0"/>
                    <w:keepLines w:val="0"/>
                    <w:pageBreakBefore w:val="0"/>
                    <w:widowControl/>
                    <w:kinsoku w:val="0"/>
                    <w:wordWrap/>
                    <w:overflowPunct/>
                    <w:topLinePunct w:val="0"/>
                    <w:autoSpaceDE w:val="0"/>
                    <w:autoSpaceDN w:val="0"/>
                    <w:bidi w:val="0"/>
                    <w:adjustRightInd/>
                    <w:snapToGrid/>
                    <w:jc w:val="both"/>
                    <w:textAlignment w:val="baseline"/>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51F357D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64AAC44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79A0DD0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38522E3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63713CA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.1</w:t>
                  </w:r>
                </w:p>
              </w:tc>
              <w:tc>
                <w:tcPr>
                  <w:tcW w:w="216" w:type="pct"/>
                  <w:shd w:val="clear" w:color="auto" w:fill="FFFFFF"/>
                  <w:tcMar>
                    <w:top w:w="0" w:type="dxa"/>
                    <w:left w:w="0" w:type="dxa"/>
                    <w:bottom w:w="0" w:type="dxa"/>
                    <w:right w:w="0" w:type="dxa"/>
                  </w:tcMar>
                  <w:vAlign w:val="center"/>
                </w:tcPr>
                <w:p w14:paraId="74371E7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.4</w:t>
                  </w:r>
                </w:p>
              </w:tc>
            </w:tr>
            <w:tr w14:paraId="40A1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24EE6CED">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43" w:type="pct"/>
                  <w:vMerge w:val="continue"/>
                  <w:shd w:val="clear" w:color="auto" w:fill="FFFFFF"/>
                  <w:tcMar>
                    <w:top w:w="0" w:type="dxa"/>
                    <w:left w:w="0" w:type="dxa"/>
                    <w:bottom w:w="0" w:type="dxa"/>
                    <w:right w:w="0" w:type="dxa"/>
                  </w:tcMar>
                  <w:vAlign w:val="center"/>
                </w:tcPr>
                <w:p w14:paraId="3B3B75E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210D5F15">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冲床</w:t>
                  </w:r>
                </w:p>
              </w:tc>
              <w:tc>
                <w:tcPr>
                  <w:tcW w:w="376" w:type="pct"/>
                  <w:shd w:val="clear" w:color="auto" w:fill="FFFFFF"/>
                  <w:tcMar>
                    <w:top w:w="0" w:type="dxa"/>
                    <w:left w:w="0" w:type="dxa"/>
                    <w:bottom w:w="0" w:type="dxa"/>
                    <w:right w:w="0" w:type="dxa"/>
                  </w:tcMar>
                  <w:vAlign w:val="center"/>
                </w:tcPr>
                <w:p w14:paraId="3C9AB62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78" w:type="pct"/>
                  <w:shd w:val="clear" w:color="auto" w:fill="FFFFFF"/>
                  <w:tcMar>
                    <w:top w:w="0" w:type="dxa"/>
                    <w:left w:w="0" w:type="dxa"/>
                    <w:bottom w:w="0" w:type="dxa"/>
                    <w:right w:w="0" w:type="dxa"/>
                  </w:tcMar>
                  <w:vAlign w:val="center"/>
                </w:tcPr>
                <w:p w14:paraId="07AD661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w:t>
                  </w:r>
                </w:p>
              </w:tc>
              <w:tc>
                <w:tcPr>
                  <w:tcW w:w="178" w:type="pct"/>
                  <w:shd w:val="clear" w:color="auto" w:fill="FFFFFF"/>
                  <w:tcMar>
                    <w:top w:w="0" w:type="dxa"/>
                    <w:left w:w="0" w:type="dxa"/>
                    <w:bottom w:w="0" w:type="dxa"/>
                    <w:right w:w="0" w:type="dxa"/>
                  </w:tcMar>
                  <w:vAlign w:val="center"/>
                </w:tcPr>
                <w:p w14:paraId="2458DD0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16.1</w:t>
                  </w:r>
                </w:p>
              </w:tc>
              <w:tc>
                <w:tcPr>
                  <w:tcW w:w="176" w:type="pct"/>
                  <w:shd w:val="clear" w:color="auto" w:fill="FFFFFF"/>
                  <w:tcMar>
                    <w:top w:w="0" w:type="dxa"/>
                    <w:left w:w="0" w:type="dxa"/>
                    <w:bottom w:w="0" w:type="dxa"/>
                    <w:right w:w="0" w:type="dxa"/>
                  </w:tcMar>
                  <w:vAlign w:val="center"/>
                </w:tcPr>
                <w:p w14:paraId="69C7451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0CE09AC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44.5</w:t>
                  </w:r>
                </w:p>
              </w:tc>
              <w:tc>
                <w:tcPr>
                  <w:tcW w:w="187" w:type="pct"/>
                  <w:shd w:val="clear" w:color="auto" w:fill="FFFFFF"/>
                  <w:tcMar>
                    <w:top w:w="0" w:type="dxa"/>
                    <w:left w:w="0" w:type="dxa"/>
                    <w:bottom w:w="0" w:type="dxa"/>
                    <w:right w:w="0" w:type="dxa"/>
                  </w:tcMar>
                  <w:vAlign w:val="center"/>
                </w:tcPr>
                <w:p w14:paraId="1F791EA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35.5</w:t>
                  </w:r>
                </w:p>
              </w:tc>
              <w:tc>
                <w:tcPr>
                  <w:tcW w:w="187" w:type="pct"/>
                  <w:shd w:val="clear" w:color="auto" w:fill="FFFFFF"/>
                  <w:tcMar>
                    <w:top w:w="0" w:type="dxa"/>
                    <w:left w:w="0" w:type="dxa"/>
                    <w:bottom w:w="0" w:type="dxa"/>
                    <w:right w:w="0" w:type="dxa"/>
                  </w:tcMar>
                  <w:vAlign w:val="center"/>
                </w:tcPr>
                <w:p w14:paraId="7891C17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39.5</w:t>
                  </w:r>
                </w:p>
              </w:tc>
              <w:tc>
                <w:tcPr>
                  <w:tcW w:w="207" w:type="pct"/>
                  <w:shd w:val="clear" w:color="auto" w:fill="FFFFFF"/>
                  <w:tcMar>
                    <w:top w:w="0" w:type="dxa"/>
                    <w:left w:w="0" w:type="dxa"/>
                    <w:bottom w:w="0" w:type="dxa"/>
                    <w:right w:w="0" w:type="dxa"/>
                  </w:tcMar>
                  <w:vAlign w:val="center"/>
                </w:tcPr>
                <w:p w14:paraId="11CBF5E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56.5</w:t>
                  </w:r>
                </w:p>
              </w:tc>
              <w:tc>
                <w:tcPr>
                  <w:tcW w:w="187" w:type="pct"/>
                  <w:shd w:val="clear" w:color="auto" w:fill="FFFFFF"/>
                  <w:tcMar>
                    <w:top w:w="0" w:type="dxa"/>
                    <w:left w:w="0" w:type="dxa"/>
                    <w:bottom w:w="0" w:type="dxa"/>
                    <w:right w:w="0" w:type="dxa"/>
                  </w:tcMar>
                  <w:vAlign w:val="center"/>
                </w:tcPr>
                <w:p w14:paraId="3097F92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3B5D5C3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751E545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209" w:type="pct"/>
                  <w:shd w:val="clear" w:color="auto" w:fill="FFFFFF"/>
                  <w:tcMar>
                    <w:top w:w="0" w:type="dxa"/>
                    <w:left w:w="0" w:type="dxa"/>
                    <w:bottom w:w="0" w:type="dxa"/>
                    <w:right w:w="0" w:type="dxa"/>
                  </w:tcMar>
                  <w:vAlign w:val="center"/>
                </w:tcPr>
                <w:p w14:paraId="4FD5B34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60.4</w:t>
                  </w:r>
                </w:p>
              </w:tc>
              <w:tc>
                <w:tcPr>
                  <w:tcW w:w="187" w:type="pct"/>
                  <w:shd w:val="clear" w:color="auto" w:fill="FFFFFF"/>
                  <w:tcMar>
                    <w:top w:w="0" w:type="dxa"/>
                    <w:left w:w="0" w:type="dxa"/>
                    <w:bottom w:w="0" w:type="dxa"/>
                    <w:right w:w="0" w:type="dxa"/>
                  </w:tcMar>
                  <w:vAlign w:val="center"/>
                </w:tcPr>
                <w:p w14:paraId="5EE4B95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3763E7D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0C44F84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77E3C94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703D9F9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57663C6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498EEA7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675A059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.4</w:t>
                  </w:r>
                </w:p>
              </w:tc>
            </w:tr>
            <w:tr w14:paraId="79E0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2344391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343" w:type="pct"/>
                  <w:vMerge w:val="continue"/>
                  <w:shd w:val="clear" w:color="auto" w:fill="FFFFFF"/>
                  <w:tcMar>
                    <w:top w:w="0" w:type="dxa"/>
                    <w:left w:w="0" w:type="dxa"/>
                    <w:bottom w:w="0" w:type="dxa"/>
                    <w:right w:w="0" w:type="dxa"/>
                  </w:tcMar>
                  <w:vAlign w:val="center"/>
                </w:tcPr>
                <w:p w14:paraId="0B2C6B3E">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6D27F3C4">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锯床</w:t>
                  </w:r>
                </w:p>
              </w:tc>
              <w:tc>
                <w:tcPr>
                  <w:tcW w:w="376" w:type="pct"/>
                  <w:shd w:val="clear" w:color="auto" w:fill="FFFFFF"/>
                  <w:tcMar>
                    <w:top w:w="0" w:type="dxa"/>
                    <w:left w:w="0" w:type="dxa"/>
                    <w:bottom w:w="0" w:type="dxa"/>
                    <w:right w:w="0" w:type="dxa"/>
                  </w:tcMar>
                  <w:vAlign w:val="center"/>
                </w:tcPr>
                <w:p w14:paraId="143CFF1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78" w:type="pct"/>
                  <w:shd w:val="clear" w:color="auto" w:fill="FFFFFF"/>
                  <w:tcMar>
                    <w:top w:w="0" w:type="dxa"/>
                    <w:left w:w="0" w:type="dxa"/>
                    <w:bottom w:w="0" w:type="dxa"/>
                    <w:right w:w="0" w:type="dxa"/>
                  </w:tcMar>
                  <w:vAlign w:val="center"/>
                </w:tcPr>
                <w:p w14:paraId="1CCBE11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10.3</w:t>
                  </w:r>
                </w:p>
              </w:tc>
              <w:tc>
                <w:tcPr>
                  <w:tcW w:w="178" w:type="pct"/>
                  <w:shd w:val="clear" w:color="auto" w:fill="FFFFFF"/>
                  <w:tcMar>
                    <w:top w:w="0" w:type="dxa"/>
                    <w:left w:w="0" w:type="dxa"/>
                    <w:bottom w:w="0" w:type="dxa"/>
                    <w:right w:w="0" w:type="dxa"/>
                  </w:tcMar>
                  <w:vAlign w:val="center"/>
                </w:tcPr>
                <w:p w14:paraId="6842F1E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7.6</w:t>
                  </w:r>
                </w:p>
              </w:tc>
              <w:tc>
                <w:tcPr>
                  <w:tcW w:w="176" w:type="pct"/>
                  <w:shd w:val="clear" w:color="auto" w:fill="FFFFFF"/>
                  <w:tcMar>
                    <w:top w:w="0" w:type="dxa"/>
                    <w:left w:w="0" w:type="dxa"/>
                    <w:bottom w:w="0" w:type="dxa"/>
                    <w:right w:w="0" w:type="dxa"/>
                  </w:tcMar>
                  <w:vAlign w:val="center"/>
                </w:tcPr>
                <w:p w14:paraId="63F78AF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192D1BB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w:t>
                  </w:r>
                  <w:r>
                    <w:rPr>
                      <w:rFonts w:hint="eastAsia" w:ascii="Times New Roman" w:hAnsi="Times New Roman" w:eastAsia="宋体" w:cs="Times New Roman"/>
                      <w:color w:val="auto"/>
                      <w:sz w:val="21"/>
                      <w:szCs w:val="21"/>
                      <w:highlight w:val="none"/>
                      <w:lang w:val="en-US" w:eastAsia="zh-CN"/>
                    </w:rPr>
                    <w:t>5.2</w:t>
                  </w:r>
                </w:p>
              </w:tc>
              <w:tc>
                <w:tcPr>
                  <w:tcW w:w="187" w:type="pct"/>
                  <w:shd w:val="clear" w:color="auto" w:fill="FFFFFF"/>
                  <w:tcMar>
                    <w:top w:w="0" w:type="dxa"/>
                    <w:left w:w="0" w:type="dxa"/>
                    <w:bottom w:w="0" w:type="dxa"/>
                    <w:right w:w="0" w:type="dxa"/>
                  </w:tcMar>
                  <w:vAlign w:val="center"/>
                </w:tcPr>
                <w:p w14:paraId="57BEE33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45.8</w:t>
                  </w:r>
                </w:p>
              </w:tc>
              <w:tc>
                <w:tcPr>
                  <w:tcW w:w="187" w:type="pct"/>
                  <w:shd w:val="clear" w:color="auto" w:fill="FFFFFF"/>
                  <w:tcMar>
                    <w:top w:w="0" w:type="dxa"/>
                    <w:left w:w="0" w:type="dxa"/>
                    <w:bottom w:w="0" w:type="dxa"/>
                    <w:right w:w="0" w:type="dxa"/>
                  </w:tcMar>
                  <w:vAlign w:val="center"/>
                </w:tcPr>
                <w:p w14:paraId="186E96A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38.8</w:t>
                  </w:r>
                </w:p>
              </w:tc>
              <w:tc>
                <w:tcPr>
                  <w:tcW w:w="207" w:type="pct"/>
                  <w:shd w:val="clear" w:color="auto" w:fill="FFFFFF"/>
                  <w:tcMar>
                    <w:top w:w="0" w:type="dxa"/>
                    <w:left w:w="0" w:type="dxa"/>
                    <w:bottom w:w="0" w:type="dxa"/>
                    <w:right w:w="0" w:type="dxa"/>
                  </w:tcMar>
                  <w:vAlign w:val="center"/>
                </w:tcPr>
                <w:p w14:paraId="09B7241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46.2</w:t>
                  </w:r>
                </w:p>
              </w:tc>
              <w:tc>
                <w:tcPr>
                  <w:tcW w:w="187" w:type="pct"/>
                  <w:shd w:val="clear" w:color="auto" w:fill="FFFFFF"/>
                  <w:tcMar>
                    <w:top w:w="0" w:type="dxa"/>
                    <w:left w:w="0" w:type="dxa"/>
                    <w:bottom w:w="0" w:type="dxa"/>
                    <w:right w:w="0" w:type="dxa"/>
                  </w:tcMar>
                  <w:vAlign w:val="center"/>
                </w:tcPr>
                <w:p w14:paraId="0BDED4D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22BBBA4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5C13FA1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209" w:type="pct"/>
                  <w:shd w:val="clear" w:color="auto" w:fill="FFFFFF"/>
                  <w:tcMar>
                    <w:top w:w="0" w:type="dxa"/>
                    <w:left w:w="0" w:type="dxa"/>
                    <w:bottom w:w="0" w:type="dxa"/>
                    <w:right w:w="0" w:type="dxa"/>
                  </w:tcMar>
                  <w:vAlign w:val="center"/>
                </w:tcPr>
                <w:p w14:paraId="4A1C306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60.4</w:t>
                  </w:r>
                </w:p>
              </w:tc>
              <w:tc>
                <w:tcPr>
                  <w:tcW w:w="187" w:type="pct"/>
                  <w:shd w:val="clear" w:color="auto" w:fill="FFFFFF"/>
                  <w:tcMar>
                    <w:top w:w="0" w:type="dxa"/>
                    <w:left w:w="0" w:type="dxa"/>
                    <w:bottom w:w="0" w:type="dxa"/>
                    <w:right w:w="0" w:type="dxa"/>
                  </w:tcMar>
                  <w:vAlign w:val="center"/>
                </w:tcPr>
                <w:p w14:paraId="4EDBFFE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608C77E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0E55103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02AC41D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2AB201B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48737BD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31DB8C3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1CA45A6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.4</w:t>
                  </w:r>
                </w:p>
              </w:tc>
            </w:tr>
            <w:tr w14:paraId="77DE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57C2591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343" w:type="pct"/>
                  <w:vMerge w:val="continue"/>
                  <w:shd w:val="clear" w:color="auto" w:fill="FFFFFF"/>
                  <w:tcMar>
                    <w:top w:w="0" w:type="dxa"/>
                    <w:left w:w="0" w:type="dxa"/>
                    <w:bottom w:w="0" w:type="dxa"/>
                    <w:right w:w="0" w:type="dxa"/>
                  </w:tcMar>
                  <w:vAlign w:val="center"/>
                </w:tcPr>
                <w:p w14:paraId="0F244CA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6BC2D5E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w:t>
                  </w:r>
                </w:p>
              </w:tc>
              <w:tc>
                <w:tcPr>
                  <w:tcW w:w="376" w:type="pct"/>
                  <w:shd w:val="clear" w:color="auto" w:fill="FFFFFF"/>
                  <w:tcMar>
                    <w:top w:w="0" w:type="dxa"/>
                    <w:left w:w="0" w:type="dxa"/>
                    <w:bottom w:w="0" w:type="dxa"/>
                    <w:right w:w="0" w:type="dxa"/>
                  </w:tcMar>
                  <w:vAlign w:val="center"/>
                </w:tcPr>
                <w:p w14:paraId="5F3E56A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78" w:type="pct"/>
                  <w:shd w:val="clear" w:color="auto" w:fill="FFFFFF"/>
                  <w:tcMar>
                    <w:top w:w="0" w:type="dxa"/>
                    <w:left w:w="0" w:type="dxa"/>
                    <w:bottom w:w="0" w:type="dxa"/>
                    <w:right w:w="0" w:type="dxa"/>
                  </w:tcMar>
                  <w:vAlign w:val="center"/>
                </w:tcPr>
                <w:p w14:paraId="7D55FCE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w:t>
                  </w:r>
                </w:p>
              </w:tc>
              <w:tc>
                <w:tcPr>
                  <w:tcW w:w="178" w:type="pct"/>
                  <w:shd w:val="clear" w:color="auto" w:fill="FFFFFF"/>
                  <w:tcMar>
                    <w:top w:w="0" w:type="dxa"/>
                    <w:left w:w="0" w:type="dxa"/>
                    <w:bottom w:w="0" w:type="dxa"/>
                    <w:right w:w="0" w:type="dxa"/>
                  </w:tcMar>
                  <w:vAlign w:val="center"/>
                </w:tcPr>
                <w:p w14:paraId="51C645A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10</w:t>
                  </w:r>
                </w:p>
              </w:tc>
              <w:tc>
                <w:tcPr>
                  <w:tcW w:w="176" w:type="pct"/>
                  <w:shd w:val="clear" w:color="auto" w:fill="FFFFFF"/>
                  <w:tcMar>
                    <w:top w:w="0" w:type="dxa"/>
                    <w:left w:w="0" w:type="dxa"/>
                    <w:bottom w:w="0" w:type="dxa"/>
                    <w:right w:w="0" w:type="dxa"/>
                  </w:tcMar>
                  <w:vAlign w:val="center"/>
                </w:tcPr>
                <w:p w14:paraId="3906263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7BC41B7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42.6</w:t>
                  </w:r>
                </w:p>
              </w:tc>
              <w:tc>
                <w:tcPr>
                  <w:tcW w:w="187" w:type="pct"/>
                  <w:shd w:val="clear" w:color="auto" w:fill="FFFFFF"/>
                  <w:tcMar>
                    <w:top w:w="0" w:type="dxa"/>
                    <w:left w:w="0" w:type="dxa"/>
                    <w:bottom w:w="0" w:type="dxa"/>
                    <w:right w:w="0" w:type="dxa"/>
                  </w:tcMar>
                  <w:vAlign w:val="center"/>
                </w:tcPr>
                <w:p w14:paraId="1ECBBE3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58.3</w:t>
                  </w:r>
                </w:p>
              </w:tc>
              <w:tc>
                <w:tcPr>
                  <w:tcW w:w="187" w:type="pct"/>
                  <w:shd w:val="clear" w:color="auto" w:fill="FFFFFF"/>
                  <w:tcMar>
                    <w:top w:w="0" w:type="dxa"/>
                    <w:left w:w="0" w:type="dxa"/>
                    <w:bottom w:w="0" w:type="dxa"/>
                    <w:right w:w="0" w:type="dxa"/>
                  </w:tcMar>
                  <w:vAlign w:val="center"/>
                </w:tcPr>
                <w:p w14:paraId="2D4D9C2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41.4</w:t>
                  </w:r>
                </w:p>
              </w:tc>
              <w:tc>
                <w:tcPr>
                  <w:tcW w:w="207" w:type="pct"/>
                  <w:shd w:val="clear" w:color="auto" w:fill="FFFFFF"/>
                  <w:tcMar>
                    <w:top w:w="0" w:type="dxa"/>
                    <w:left w:w="0" w:type="dxa"/>
                    <w:bottom w:w="0" w:type="dxa"/>
                    <w:right w:w="0" w:type="dxa"/>
                  </w:tcMar>
                  <w:vAlign w:val="center"/>
                </w:tcPr>
                <w:p w14:paraId="03CFF83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33.7</w:t>
                  </w:r>
                </w:p>
              </w:tc>
              <w:tc>
                <w:tcPr>
                  <w:tcW w:w="187" w:type="pct"/>
                  <w:shd w:val="clear" w:color="auto" w:fill="FFFFFF"/>
                  <w:tcMar>
                    <w:top w:w="0" w:type="dxa"/>
                    <w:left w:w="0" w:type="dxa"/>
                    <w:bottom w:w="0" w:type="dxa"/>
                    <w:right w:w="0" w:type="dxa"/>
                  </w:tcMar>
                  <w:vAlign w:val="center"/>
                </w:tcPr>
                <w:p w14:paraId="7835780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601416C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4098A9B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209" w:type="pct"/>
                  <w:shd w:val="clear" w:color="auto" w:fill="FFFFFF"/>
                  <w:tcMar>
                    <w:top w:w="0" w:type="dxa"/>
                    <w:left w:w="0" w:type="dxa"/>
                    <w:bottom w:w="0" w:type="dxa"/>
                    <w:right w:w="0" w:type="dxa"/>
                  </w:tcMar>
                  <w:vAlign w:val="center"/>
                </w:tcPr>
                <w:p w14:paraId="0BDC9D9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w:t>
                  </w:r>
                </w:p>
              </w:tc>
              <w:tc>
                <w:tcPr>
                  <w:tcW w:w="187" w:type="pct"/>
                  <w:shd w:val="clear" w:color="auto" w:fill="FFFFFF"/>
                  <w:tcMar>
                    <w:top w:w="0" w:type="dxa"/>
                    <w:left w:w="0" w:type="dxa"/>
                    <w:bottom w:w="0" w:type="dxa"/>
                    <w:right w:w="0" w:type="dxa"/>
                  </w:tcMar>
                  <w:vAlign w:val="center"/>
                </w:tcPr>
                <w:p w14:paraId="67231E8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71A6788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65DFFBF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0D941ED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34F4A19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28EFA1C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1F1F83F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77E3CC6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w:t>
                  </w:r>
                </w:p>
              </w:tc>
            </w:tr>
            <w:tr w14:paraId="7B0B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0F11F0D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343" w:type="pct"/>
                  <w:vMerge w:val="continue"/>
                  <w:shd w:val="clear" w:color="auto" w:fill="FFFFFF"/>
                  <w:tcMar>
                    <w:top w:w="0" w:type="dxa"/>
                    <w:left w:w="0" w:type="dxa"/>
                    <w:bottom w:w="0" w:type="dxa"/>
                    <w:right w:w="0" w:type="dxa"/>
                  </w:tcMar>
                  <w:vAlign w:val="center"/>
                </w:tcPr>
                <w:p w14:paraId="0571CB2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0981868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抛丸机</w:t>
                  </w:r>
                </w:p>
              </w:tc>
              <w:tc>
                <w:tcPr>
                  <w:tcW w:w="376" w:type="pct"/>
                  <w:shd w:val="clear" w:color="auto" w:fill="FFFFFF"/>
                  <w:tcMar>
                    <w:top w:w="0" w:type="dxa"/>
                    <w:left w:w="0" w:type="dxa"/>
                    <w:bottom w:w="0" w:type="dxa"/>
                    <w:right w:w="0" w:type="dxa"/>
                  </w:tcMar>
                  <w:vAlign w:val="center"/>
                </w:tcPr>
                <w:p w14:paraId="6E9DD1F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78" w:type="pct"/>
                  <w:shd w:val="clear" w:color="auto" w:fill="FFFFFF"/>
                  <w:tcMar>
                    <w:top w:w="0" w:type="dxa"/>
                    <w:left w:w="0" w:type="dxa"/>
                    <w:bottom w:w="0" w:type="dxa"/>
                    <w:right w:w="0" w:type="dxa"/>
                  </w:tcMar>
                  <w:vAlign w:val="center"/>
                </w:tcPr>
                <w:p w14:paraId="3F5B7A2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w:t>
                  </w:r>
                </w:p>
              </w:tc>
              <w:tc>
                <w:tcPr>
                  <w:tcW w:w="178" w:type="pct"/>
                  <w:shd w:val="clear" w:color="auto" w:fill="FFFFFF"/>
                  <w:tcMar>
                    <w:top w:w="0" w:type="dxa"/>
                    <w:left w:w="0" w:type="dxa"/>
                    <w:bottom w:w="0" w:type="dxa"/>
                    <w:right w:w="0" w:type="dxa"/>
                  </w:tcMar>
                  <w:vAlign w:val="center"/>
                </w:tcPr>
                <w:p w14:paraId="2BABE81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8.2</w:t>
                  </w:r>
                </w:p>
              </w:tc>
              <w:tc>
                <w:tcPr>
                  <w:tcW w:w="176" w:type="pct"/>
                  <w:shd w:val="clear" w:color="auto" w:fill="FFFFFF"/>
                  <w:tcMar>
                    <w:top w:w="0" w:type="dxa"/>
                    <w:left w:w="0" w:type="dxa"/>
                    <w:bottom w:w="0" w:type="dxa"/>
                    <w:right w:w="0" w:type="dxa"/>
                  </w:tcMar>
                  <w:vAlign w:val="center"/>
                </w:tcPr>
                <w:p w14:paraId="7129B3B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74319C9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62.4</w:t>
                  </w:r>
                </w:p>
              </w:tc>
              <w:tc>
                <w:tcPr>
                  <w:tcW w:w="187" w:type="pct"/>
                  <w:shd w:val="clear" w:color="auto" w:fill="FFFFFF"/>
                  <w:tcMar>
                    <w:top w:w="0" w:type="dxa"/>
                    <w:left w:w="0" w:type="dxa"/>
                    <w:bottom w:w="0" w:type="dxa"/>
                    <w:right w:w="0" w:type="dxa"/>
                  </w:tcMar>
                  <w:vAlign w:val="center"/>
                </w:tcPr>
                <w:p w14:paraId="526F3CD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48.5</w:t>
                  </w:r>
                </w:p>
              </w:tc>
              <w:tc>
                <w:tcPr>
                  <w:tcW w:w="187" w:type="pct"/>
                  <w:shd w:val="clear" w:color="auto" w:fill="FFFFFF"/>
                  <w:tcMar>
                    <w:top w:w="0" w:type="dxa"/>
                    <w:left w:w="0" w:type="dxa"/>
                    <w:bottom w:w="0" w:type="dxa"/>
                    <w:right w:w="0" w:type="dxa"/>
                  </w:tcMar>
                  <w:vAlign w:val="center"/>
                </w:tcPr>
                <w:p w14:paraId="2AF5903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21.6</w:t>
                  </w:r>
                </w:p>
              </w:tc>
              <w:tc>
                <w:tcPr>
                  <w:tcW w:w="207" w:type="pct"/>
                  <w:shd w:val="clear" w:color="auto" w:fill="FFFFFF"/>
                  <w:tcMar>
                    <w:top w:w="0" w:type="dxa"/>
                    <w:left w:w="0" w:type="dxa"/>
                    <w:bottom w:w="0" w:type="dxa"/>
                    <w:right w:w="0" w:type="dxa"/>
                  </w:tcMar>
                  <w:vAlign w:val="center"/>
                </w:tcPr>
                <w:p w14:paraId="619C5E5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43.5</w:t>
                  </w:r>
                </w:p>
              </w:tc>
              <w:tc>
                <w:tcPr>
                  <w:tcW w:w="187" w:type="pct"/>
                  <w:shd w:val="clear" w:color="auto" w:fill="FFFFFF"/>
                  <w:tcMar>
                    <w:top w:w="0" w:type="dxa"/>
                    <w:left w:w="0" w:type="dxa"/>
                    <w:bottom w:w="0" w:type="dxa"/>
                    <w:right w:w="0" w:type="dxa"/>
                  </w:tcMar>
                  <w:vAlign w:val="center"/>
                </w:tcPr>
                <w:p w14:paraId="1817C29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3DB507C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67128E4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209" w:type="pct"/>
                  <w:shd w:val="clear" w:color="auto" w:fill="FFFFFF"/>
                  <w:tcMar>
                    <w:top w:w="0" w:type="dxa"/>
                    <w:left w:w="0" w:type="dxa"/>
                    <w:bottom w:w="0" w:type="dxa"/>
                    <w:right w:w="0" w:type="dxa"/>
                  </w:tcMar>
                  <w:vAlign w:val="center"/>
                </w:tcPr>
                <w:p w14:paraId="7F1E014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w:t>
                  </w:r>
                </w:p>
              </w:tc>
              <w:tc>
                <w:tcPr>
                  <w:tcW w:w="187" w:type="pct"/>
                  <w:shd w:val="clear" w:color="auto" w:fill="FFFFFF"/>
                  <w:tcMar>
                    <w:top w:w="0" w:type="dxa"/>
                    <w:left w:w="0" w:type="dxa"/>
                    <w:bottom w:w="0" w:type="dxa"/>
                    <w:right w:w="0" w:type="dxa"/>
                  </w:tcMar>
                  <w:vAlign w:val="center"/>
                </w:tcPr>
                <w:p w14:paraId="4B7F53B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6C74894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2F13341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6AF0745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4B0A869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4E7ECCB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52ADFA7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0075F39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w:t>
                  </w:r>
                </w:p>
              </w:tc>
            </w:tr>
            <w:tr w14:paraId="28D8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7CF96F8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343" w:type="pct"/>
                  <w:vMerge w:val="continue"/>
                  <w:shd w:val="clear" w:color="auto" w:fill="FFFFFF"/>
                  <w:tcMar>
                    <w:top w:w="0" w:type="dxa"/>
                    <w:left w:w="0" w:type="dxa"/>
                    <w:bottom w:w="0" w:type="dxa"/>
                    <w:right w:w="0" w:type="dxa"/>
                  </w:tcMar>
                  <w:vAlign w:val="center"/>
                </w:tcPr>
                <w:p w14:paraId="1312157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04564B6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卷管机</w:t>
                  </w:r>
                </w:p>
              </w:tc>
              <w:tc>
                <w:tcPr>
                  <w:tcW w:w="376" w:type="pct"/>
                  <w:shd w:val="clear" w:color="auto" w:fill="FFFFFF"/>
                  <w:tcMar>
                    <w:top w:w="0" w:type="dxa"/>
                    <w:left w:w="0" w:type="dxa"/>
                    <w:bottom w:w="0" w:type="dxa"/>
                    <w:right w:w="0" w:type="dxa"/>
                  </w:tcMar>
                  <w:vAlign w:val="center"/>
                </w:tcPr>
                <w:p w14:paraId="4A0250E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78" w:type="pct"/>
                  <w:shd w:val="clear" w:color="auto" w:fill="FFFFFF"/>
                  <w:tcMar>
                    <w:top w:w="0" w:type="dxa"/>
                    <w:left w:w="0" w:type="dxa"/>
                    <w:bottom w:w="0" w:type="dxa"/>
                    <w:right w:w="0" w:type="dxa"/>
                  </w:tcMar>
                  <w:vAlign w:val="center"/>
                </w:tcPr>
                <w:p w14:paraId="760D50F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7.7</w:t>
                  </w:r>
                </w:p>
              </w:tc>
              <w:tc>
                <w:tcPr>
                  <w:tcW w:w="178" w:type="pct"/>
                  <w:shd w:val="clear" w:color="auto" w:fill="FFFFFF"/>
                  <w:tcMar>
                    <w:top w:w="0" w:type="dxa"/>
                    <w:left w:w="0" w:type="dxa"/>
                    <w:bottom w:w="0" w:type="dxa"/>
                    <w:right w:w="0" w:type="dxa"/>
                  </w:tcMar>
                  <w:vAlign w:val="center"/>
                </w:tcPr>
                <w:p w14:paraId="001D858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-10.2</w:t>
                  </w:r>
                </w:p>
              </w:tc>
              <w:tc>
                <w:tcPr>
                  <w:tcW w:w="176" w:type="pct"/>
                  <w:shd w:val="clear" w:color="auto" w:fill="FFFFFF"/>
                  <w:tcMar>
                    <w:top w:w="0" w:type="dxa"/>
                    <w:left w:w="0" w:type="dxa"/>
                    <w:bottom w:w="0" w:type="dxa"/>
                    <w:right w:w="0" w:type="dxa"/>
                  </w:tcMar>
                  <w:vAlign w:val="center"/>
                </w:tcPr>
                <w:p w14:paraId="4AEF541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5DFA455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w:t>
                  </w:r>
                  <w:r>
                    <w:rPr>
                      <w:rFonts w:hint="eastAsia" w:ascii="Times New Roman" w:hAnsi="Times New Roman" w:eastAsia="宋体" w:cs="Times New Roman"/>
                      <w:color w:val="auto"/>
                      <w:sz w:val="21"/>
                      <w:szCs w:val="21"/>
                      <w:highlight w:val="none"/>
                      <w:lang w:val="en-US" w:eastAsia="zh-CN"/>
                    </w:rPr>
                    <w:t>8.4</w:t>
                  </w:r>
                </w:p>
              </w:tc>
              <w:tc>
                <w:tcPr>
                  <w:tcW w:w="187" w:type="pct"/>
                  <w:shd w:val="clear" w:color="auto" w:fill="FFFFFF"/>
                  <w:tcMar>
                    <w:top w:w="0" w:type="dxa"/>
                    <w:left w:w="0" w:type="dxa"/>
                    <w:bottom w:w="0" w:type="dxa"/>
                    <w:right w:w="0" w:type="dxa"/>
                  </w:tcMar>
                  <w:vAlign w:val="center"/>
                </w:tcPr>
                <w:p w14:paraId="0335500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6.5</w:t>
                  </w:r>
                </w:p>
              </w:tc>
              <w:tc>
                <w:tcPr>
                  <w:tcW w:w="187" w:type="pct"/>
                  <w:shd w:val="clear" w:color="auto" w:fill="FFFFFF"/>
                  <w:tcMar>
                    <w:top w:w="0" w:type="dxa"/>
                    <w:left w:w="0" w:type="dxa"/>
                    <w:bottom w:w="0" w:type="dxa"/>
                    <w:right w:w="0" w:type="dxa"/>
                  </w:tcMar>
                  <w:vAlign w:val="center"/>
                </w:tcPr>
                <w:p w14:paraId="68ECFEC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45.6</w:t>
                  </w:r>
                </w:p>
              </w:tc>
              <w:tc>
                <w:tcPr>
                  <w:tcW w:w="207" w:type="pct"/>
                  <w:shd w:val="clear" w:color="auto" w:fill="FFFFFF"/>
                  <w:tcMar>
                    <w:top w:w="0" w:type="dxa"/>
                    <w:left w:w="0" w:type="dxa"/>
                    <w:bottom w:w="0" w:type="dxa"/>
                    <w:right w:w="0" w:type="dxa"/>
                  </w:tcMar>
                  <w:vAlign w:val="center"/>
                </w:tcPr>
                <w:p w14:paraId="57BBA7F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75.5</w:t>
                  </w:r>
                </w:p>
              </w:tc>
              <w:tc>
                <w:tcPr>
                  <w:tcW w:w="187" w:type="pct"/>
                  <w:shd w:val="clear" w:color="auto" w:fill="FFFFFF"/>
                  <w:tcMar>
                    <w:top w:w="0" w:type="dxa"/>
                    <w:left w:w="0" w:type="dxa"/>
                    <w:bottom w:w="0" w:type="dxa"/>
                    <w:right w:w="0" w:type="dxa"/>
                  </w:tcMar>
                  <w:vAlign w:val="center"/>
                </w:tcPr>
                <w:p w14:paraId="3591332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0BF931F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7579918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209" w:type="pct"/>
                  <w:shd w:val="clear" w:color="auto" w:fill="FFFFFF"/>
                  <w:tcMar>
                    <w:top w:w="0" w:type="dxa"/>
                    <w:left w:w="0" w:type="dxa"/>
                    <w:bottom w:w="0" w:type="dxa"/>
                    <w:right w:w="0" w:type="dxa"/>
                  </w:tcMar>
                  <w:vAlign w:val="center"/>
                </w:tcPr>
                <w:p w14:paraId="5932024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w:t>
                  </w:r>
                </w:p>
              </w:tc>
              <w:tc>
                <w:tcPr>
                  <w:tcW w:w="187" w:type="pct"/>
                  <w:shd w:val="clear" w:color="auto" w:fill="FFFFFF"/>
                  <w:tcMar>
                    <w:top w:w="0" w:type="dxa"/>
                    <w:left w:w="0" w:type="dxa"/>
                    <w:bottom w:w="0" w:type="dxa"/>
                    <w:right w:w="0" w:type="dxa"/>
                  </w:tcMar>
                  <w:vAlign w:val="center"/>
                </w:tcPr>
                <w:p w14:paraId="69CA84D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15CD2C8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1B16F7B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0590416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3478AE1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4BD7E5E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70033E9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095F09D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w:t>
                  </w:r>
                </w:p>
              </w:tc>
            </w:tr>
            <w:tr w14:paraId="199E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4765B51E">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343" w:type="pct"/>
                  <w:vMerge w:val="continue"/>
                  <w:shd w:val="clear" w:color="auto" w:fill="FFFFFF"/>
                  <w:tcMar>
                    <w:top w:w="0" w:type="dxa"/>
                    <w:left w:w="0" w:type="dxa"/>
                    <w:bottom w:w="0" w:type="dxa"/>
                    <w:right w:w="0" w:type="dxa"/>
                  </w:tcMar>
                  <w:vAlign w:val="center"/>
                </w:tcPr>
                <w:p w14:paraId="6065D22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6A1696D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w:t>
                  </w:r>
                </w:p>
              </w:tc>
              <w:tc>
                <w:tcPr>
                  <w:tcW w:w="376" w:type="pct"/>
                  <w:shd w:val="clear" w:color="auto" w:fill="FFFFFF"/>
                  <w:tcMar>
                    <w:top w:w="0" w:type="dxa"/>
                    <w:left w:w="0" w:type="dxa"/>
                    <w:bottom w:w="0" w:type="dxa"/>
                    <w:right w:w="0" w:type="dxa"/>
                  </w:tcMar>
                  <w:vAlign w:val="center"/>
                </w:tcPr>
                <w:p w14:paraId="3868BA3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78" w:type="pct"/>
                  <w:shd w:val="clear" w:color="auto" w:fill="FFFFFF"/>
                  <w:tcMar>
                    <w:top w:w="0" w:type="dxa"/>
                    <w:left w:w="0" w:type="dxa"/>
                    <w:bottom w:w="0" w:type="dxa"/>
                    <w:right w:w="0" w:type="dxa"/>
                  </w:tcMar>
                  <w:vAlign w:val="center"/>
                </w:tcPr>
                <w:p w14:paraId="2539D7C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8.1</w:t>
                  </w:r>
                </w:p>
              </w:tc>
              <w:tc>
                <w:tcPr>
                  <w:tcW w:w="178" w:type="pct"/>
                  <w:shd w:val="clear" w:color="auto" w:fill="FFFFFF"/>
                  <w:tcMar>
                    <w:top w:w="0" w:type="dxa"/>
                    <w:left w:w="0" w:type="dxa"/>
                    <w:bottom w:w="0" w:type="dxa"/>
                    <w:right w:w="0" w:type="dxa"/>
                  </w:tcMar>
                  <w:vAlign w:val="center"/>
                </w:tcPr>
                <w:p w14:paraId="7AC1818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-11.2</w:t>
                  </w:r>
                </w:p>
              </w:tc>
              <w:tc>
                <w:tcPr>
                  <w:tcW w:w="176" w:type="pct"/>
                  <w:shd w:val="clear" w:color="auto" w:fill="FFFFFF"/>
                  <w:tcMar>
                    <w:top w:w="0" w:type="dxa"/>
                    <w:left w:w="0" w:type="dxa"/>
                    <w:bottom w:w="0" w:type="dxa"/>
                    <w:right w:w="0" w:type="dxa"/>
                  </w:tcMar>
                  <w:vAlign w:val="center"/>
                </w:tcPr>
                <w:p w14:paraId="39483B0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7C2E3D3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w:t>
                  </w:r>
                  <w:r>
                    <w:rPr>
                      <w:rFonts w:hint="eastAsia" w:ascii="Times New Roman" w:hAnsi="Times New Roman" w:eastAsia="宋体" w:cs="Times New Roman"/>
                      <w:color w:val="auto"/>
                      <w:sz w:val="21"/>
                      <w:szCs w:val="21"/>
                      <w:highlight w:val="none"/>
                      <w:lang w:val="en-US" w:eastAsia="zh-CN"/>
                    </w:rPr>
                    <w:t>8.9</w:t>
                  </w:r>
                </w:p>
              </w:tc>
              <w:tc>
                <w:tcPr>
                  <w:tcW w:w="187" w:type="pct"/>
                  <w:shd w:val="clear" w:color="auto" w:fill="FFFFFF"/>
                  <w:tcMar>
                    <w:top w:w="0" w:type="dxa"/>
                    <w:left w:w="0" w:type="dxa"/>
                    <w:bottom w:w="0" w:type="dxa"/>
                    <w:right w:w="0" w:type="dxa"/>
                  </w:tcMar>
                  <w:vAlign w:val="center"/>
                </w:tcPr>
                <w:p w14:paraId="71B8C24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6.7</w:t>
                  </w:r>
                </w:p>
              </w:tc>
              <w:tc>
                <w:tcPr>
                  <w:tcW w:w="187" w:type="pct"/>
                  <w:shd w:val="clear" w:color="auto" w:fill="FFFFFF"/>
                  <w:tcMar>
                    <w:top w:w="0" w:type="dxa"/>
                    <w:left w:w="0" w:type="dxa"/>
                    <w:bottom w:w="0" w:type="dxa"/>
                    <w:right w:w="0" w:type="dxa"/>
                  </w:tcMar>
                  <w:vAlign w:val="center"/>
                </w:tcPr>
                <w:p w14:paraId="61DECDB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45.1</w:t>
                  </w:r>
                </w:p>
              </w:tc>
              <w:tc>
                <w:tcPr>
                  <w:tcW w:w="207" w:type="pct"/>
                  <w:shd w:val="clear" w:color="auto" w:fill="FFFFFF"/>
                  <w:tcMar>
                    <w:top w:w="0" w:type="dxa"/>
                    <w:left w:w="0" w:type="dxa"/>
                    <w:bottom w:w="0" w:type="dxa"/>
                    <w:right w:w="0" w:type="dxa"/>
                  </w:tcMar>
                  <w:vAlign w:val="center"/>
                </w:tcPr>
                <w:p w14:paraId="6340605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75.3</w:t>
                  </w:r>
                </w:p>
              </w:tc>
              <w:tc>
                <w:tcPr>
                  <w:tcW w:w="187" w:type="pct"/>
                  <w:shd w:val="clear" w:color="auto" w:fill="FFFFFF"/>
                  <w:tcMar>
                    <w:top w:w="0" w:type="dxa"/>
                    <w:left w:w="0" w:type="dxa"/>
                    <w:bottom w:w="0" w:type="dxa"/>
                    <w:right w:w="0" w:type="dxa"/>
                  </w:tcMar>
                  <w:vAlign w:val="center"/>
                </w:tcPr>
                <w:p w14:paraId="66D7D95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4512106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34A68C5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209" w:type="pct"/>
                  <w:shd w:val="clear" w:color="auto" w:fill="FFFFFF"/>
                  <w:tcMar>
                    <w:top w:w="0" w:type="dxa"/>
                    <w:left w:w="0" w:type="dxa"/>
                    <w:bottom w:w="0" w:type="dxa"/>
                    <w:right w:w="0" w:type="dxa"/>
                  </w:tcMar>
                  <w:vAlign w:val="center"/>
                </w:tcPr>
                <w:p w14:paraId="04A89AA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w:t>
                  </w:r>
                </w:p>
              </w:tc>
              <w:tc>
                <w:tcPr>
                  <w:tcW w:w="187" w:type="pct"/>
                  <w:shd w:val="clear" w:color="auto" w:fill="FFFFFF"/>
                  <w:tcMar>
                    <w:top w:w="0" w:type="dxa"/>
                    <w:left w:w="0" w:type="dxa"/>
                    <w:bottom w:w="0" w:type="dxa"/>
                    <w:right w:w="0" w:type="dxa"/>
                  </w:tcMar>
                  <w:vAlign w:val="center"/>
                </w:tcPr>
                <w:p w14:paraId="6987C87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7442107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4B305C8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19C607E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6A0EA82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637EC86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29983B0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39B77B8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w:t>
                  </w:r>
                </w:p>
              </w:tc>
            </w:tr>
            <w:tr w14:paraId="6484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015FDAD0">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343" w:type="pct"/>
                  <w:vMerge w:val="continue"/>
                  <w:shd w:val="clear" w:color="auto" w:fill="FFFFFF"/>
                  <w:tcMar>
                    <w:top w:w="0" w:type="dxa"/>
                    <w:left w:w="0" w:type="dxa"/>
                    <w:bottom w:w="0" w:type="dxa"/>
                    <w:right w:w="0" w:type="dxa"/>
                  </w:tcMar>
                  <w:vAlign w:val="center"/>
                </w:tcPr>
                <w:p w14:paraId="240478B5">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32929DF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转塔冲床</w:t>
                  </w:r>
                </w:p>
              </w:tc>
              <w:tc>
                <w:tcPr>
                  <w:tcW w:w="376" w:type="pct"/>
                  <w:shd w:val="clear" w:color="auto" w:fill="FFFFFF"/>
                  <w:tcMar>
                    <w:top w:w="0" w:type="dxa"/>
                    <w:left w:w="0" w:type="dxa"/>
                    <w:bottom w:w="0" w:type="dxa"/>
                    <w:right w:w="0" w:type="dxa"/>
                  </w:tcMar>
                  <w:vAlign w:val="center"/>
                </w:tcPr>
                <w:p w14:paraId="7BA0B94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8" w:type="pct"/>
                  <w:shd w:val="clear" w:color="auto" w:fill="FFFFFF"/>
                  <w:tcMar>
                    <w:top w:w="0" w:type="dxa"/>
                    <w:left w:w="0" w:type="dxa"/>
                    <w:bottom w:w="0" w:type="dxa"/>
                    <w:right w:w="0" w:type="dxa"/>
                  </w:tcMar>
                  <w:vAlign w:val="center"/>
                </w:tcPr>
                <w:p w14:paraId="618EE7D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178" w:type="pct"/>
                  <w:shd w:val="clear" w:color="auto" w:fill="FFFFFF"/>
                  <w:tcMar>
                    <w:top w:w="0" w:type="dxa"/>
                    <w:left w:w="0" w:type="dxa"/>
                    <w:bottom w:w="0" w:type="dxa"/>
                    <w:right w:w="0" w:type="dxa"/>
                  </w:tcMar>
                  <w:vAlign w:val="center"/>
                </w:tcPr>
                <w:p w14:paraId="5DC1E27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12.6</w:t>
                  </w:r>
                </w:p>
              </w:tc>
              <w:tc>
                <w:tcPr>
                  <w:tcW w:w="176" w:type="pct"/>
                  <w:shd w:val="clear" w:color="auto" w:fill="FFFFFF"/>
                  <w:tcMar>
                    <w:top w:w="0" w:type="dxa"/>
                    <w:left w:w="0" w:type="dxa"/>
                    <w:bottom w:w="0" w:type="dxa"/>
                    <w:right w:w="0" w:type="dxa"/>
                  </w:tcMar>
                  <w:vAlign w:val="center"/>
                </w:tcPr>
                <w:p w14:paraId="43787FE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0B8742E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36.5</w:t>
                  </w:r>
                </w:p>
              </w:tc>
              <w:tc>
                <w:tcPr>
                  <w:tcW w:w="187" w:type="pct"/>
                  <w:shd w:val="clear" w:color="auto" w:fill="FFFFFF"/>
                  <w:tcMar>
                    <w:top w:w="0" w:type="dxa"/>
                    <w:left w:w="0" w:type="dxa"/>
                    <w:bottom w:w="0" w:type="dxa"/>
                    <w:right w:w="0" w:type="dxa"/>
                  </w:tcMar>
                  <w:vAlign w:val="center"/>
                </w:tcPr>
                <w:p w14:paraId="487B359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23.2</w:t>
                  </w:r>
                </w:p>
              </w:tc>
              <w:tc>
                <w:tcPr>
                  <w:tcW w:w="187" w:type="pct"/>
                  <w:shd w:val="clear" w:color="auto" w:fill="FFFFFF"/>
                  <w:tcMar>
                    <w:top w:w="0" w:type="dxa"/>
                    <w:left w:w="0" w:type="dxa"/>
                    <w:bottom w:w="0" w:type="dxa"/>
                    <w:right w:w="0" w:type="dxa"/>
                  </w:tcMar>
                  <w:vAlign w:val="center"/>
                </w:tcPr>
                <w:p w14:paraId="36A869F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47.5</w:t>
                  </w:r>
                </w:p>
              </w:tc>
              <w:tc>
                <w:tcPr>
                  <w:tcW w:w="207" w:type="pct"/>
                  <w:shd w:val="clear" w:color="auto" w:fill="FFFFFF"/>
                  <w:tcMar>
                    <w:top w:w="0" w:type="dxa"/>
                    <w:left w:w="0" w:type="dxa"/>
                    <w:bottom w:w="0" w:type="dxa"/>
                    <w:right w:w="0" w:type="dxa"/>
                  </w:tcMar>
                  <w:vAlign w:val="center"/>
                </w:tcPr>
                <w:p w14:paraId="002FB13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44.5</w:t>
                  </w:r>
                </w:p>
              </w:tc>
              <w:tc>
                <w:tcPr>
                  <w:tcW w:w="187" w:type="pct"/>
                  <w:shd w:val="clear" w:color="auto" w:fill="FFFFFF"/>
                  <w:tcMar>
                    <w:top w:w="0" w:type="dxa"/>
                    <w:left w:w="0" w:type="dxa"/>
                    <w:bottom w:w="0" w:type="dxa"/>
                    <w:right w:w="0" w:type="dxa"/>
                  </w:tcMar>
                  <w:vAlign w:val="center"/>
                </w:tcPr>
                <w:p w14:paraId="446A25F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64.9</w:t>
                  </w:r>
                </w:p>
              </w:tc>
              <w:tc>
                <w:tcPr>
                  <w:tcW w:w="187" w:type="pct"/>
                  <w:shd w:val="clear" w:color="auto" w:fill="FFFFFF"/>
                  <w:tcMar>
                    <w:top w:w="0" w:type="dxa"/>
                    <w:left w:w="0" w:type="dxa"/>
                    <w:bottom w:w="0" w:type="dxa"/>
                    <w:right w:w="0" w:type="dxa"/>
                  </w:tcMar>
                  <w:vAlign w:val="center"/>
                </w:tcPr>
                <w:p w14:paraId="7B7333F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64.9</w:t>
                  </w:r>
                </w:p>
              </w:tc>
              <w:tc>
                <w:tcPr>
                  <w:tcW w:w="187" w:type="pct"/>
                  <w:shd w:val="clear" w:color="auto" w:fill="FFFFFF"/>
                  <w:tcMar>
                    <w:top w:w="0" w:type="dxa"/>
                    <w:left w:w="0" w:type="dxa"/>
                    <w:bottom w:w="0" w:type="dxa"/>
                    <w:right w:w="0" w:type="dxa"/>
                  </w:tcMar>
                  <w:vAlign w:val="center"/>
                </w:tcPr>
                <w:p w14:paraId="4657394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64.9</w:t>
                  </w:r>
                </w:p>
              </w:tc>
              <w:tc>
                <w:tcPr>
                  <w:tcW w:w="209" w:type="pct"/>
                  <w:shd w:val="clear" w:color="auto" w:fill="FFFFFF"/>
                  <w:tcMar>
                    <w:top w:w="0" w:type="dxa"/>
                    <w:left w:w="0" w:type="dxa"/>
                    <w:bottom w:w="0" w:type="dxa"/>
                    <w:right w:w="0" w:type="dxa"/>
                  </w:tcMar>
                  <w:vAlign w:val="center"/>
                </w:tcPr>
                <w:p w14:paraId="53B8834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187" w:type="pct"/>
                  <w:shd w:val="clear" w:color="auto" w:fill="FFFFFF"/>
                  <w:tcMar>
                    <w:top w:w="0" w:type="dxa"/>
                    <w:left w:w="0" w:type="dxa"/>
                    <w:bottom w:w="0" w:type="dxa"/>
                    <w:right w:w="0" w:type="dxa"/>
                  </w:tcMar>
                  <w:vAlign w:val="center"/>
                </w:tcPr>
                <w:p w14:paraId="42FC3DB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7DD1986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6D96924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53E2D74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2D932D7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59E2C1E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6131147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44</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02A819C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3</w:t>
                  </w:r>
                </w:p>
              </w:tc>
            </w:tr>
            <w:tr w14:paraId="3AF9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4419515A">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343" w:type="pct"/>
                  <w:vMerge w:val="continue"/>
                  <w:shd w:val="clear" w:color="auto" w:fill="FFFFFF"/>
                  <w:tcMar>
                    <w:top w:w="0" w:type="dxa"/>
                    <w:left w:w="0" w:type="dxa"/>
                    <w:bottom w:w="0" w:type="dxa"/>
                    <w:right w:w="0" w:type="dxa"/>
                  </w:tcMar>
                  <w:vAlign w:val="center"/>
                </w:tcPr>
                <w:p w14:paraId="6793C6B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368EC81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2"/>
                      <w:sz w:val="21"/>
                      <w:szCs w:val="21"/>
                      <w:highlight w:val="none"/>
                      <w:lang w:val="en-US" w:eastAsia="zh-CN" w:bidi="ar-SA"/>
                    </w:rPr>
                    <w:t>数控雕刻机</w:t>
                  </w:r>
                </w:p>
              </w:tc>
              <w:tc>
                <w:tcPr>
                  <w:tcW w:w="376" w:type="pct"/>
                  <w:shd w:val="clear" w:color="auto" w:fill="FFFFFF"/>
                  <w:tcMar>
                    <w:top w:w="0" w:type="dxa"/>
                    <w:left w:w="0" w:type="dxa"/>
                    <w:bottom w:w="0" w:type="dxa"/>
                    <w:right w:w="0" w:type="dxa"/>
                  </w:tcMar>
                  <w:vAlign w:val="center"/>
                </w:tcPr>
                <w:p w14:paraId="5E6CC24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78" w:type="pct"/>
                  <w:shd w:val="clear" w:color="auto" w:fill="FFFFFF"/>
                  <w:tcMar>
                    <w:top w:w="0" w:type="dxa"/>
                    <w:left w:w="0" w:type="dxa"/>
                    <w:bottom w:w="0" w:type="dxa"/>
                    <w:right w:w="0" w:type="dxa"/>
                  </w:tcMar>
                  <w:vAlign w:val="center"/>
                </w:tcPr>
                <w:p w14:paraId="36CC895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w:t>
                  </w:r>
                </w:p>
              </w:tc>
              <w:tc>
                <w:tcPr>
                  <w:tcW w:w="178" w:type="pct"/>
                  <w:shd w:val="clear" w:color="auto" w:fill="FFFFFF"/>
                  <w:tcMar>
                    <w:top w:w="0" w:type="dxa"/>
                    <w:left w:w="0" w:type="dxa"/>
                    <w:bottom w:w="0" w:type="dxa"/>
                    <w:right w:w="0" w:type="dxa"/>
                  </w:tcMar>
                  <w:vAlign w:val="center"/>
                </w:tcPr>
                <w:p w14:paraId="3B346D1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176" w:type="pct"/>
                  <w:shd w:val="clear" w:color="auto" w:fill="FFFFFF"/>
                  <w:tcMar>
                    <w:top w:w="0" w:type="dxa"/>
                    <w:left w:w="0" w:type="dxa"/>
                    <w:bottom w:w="0" w:type="dxa"/>
                    <w:right w:w="0" w:type="dxa"/>
                  </w:tcMar>
                  <w:vAlign w:val="center"/>
                </w:tcPr>
                <w:p w14:paraId="4ADCC99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553F1F2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28.0</w:t>
                  </w:r>
                </w:p>
              </w:tc>
              <w:tc>
                <w:tcPr>
                  <w:tcW w:w="187" w:type="pct"/>
                  <w:shd w:val="clear" w:color="auto" w:fill="FFFFFF"/>
                  <w:tcMar>
                    <w:top w:w="0" w:type="dxa"/>
                    <w:left w:w="0" w:type="dxa"/>
                    <w:bottom w:w="0" w:type="dxa"/>
                    <w:right w:w="0" w:type="dxa"/>
                  </w:tcMar>
                  <w:vAlign w:val="center"/>
                </w:tcPr>
                <w:p w14:paraId="3C47E16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19.3</w:t>
                  </w:r>
                </w:p>
              </w:tc>
              <w:tc>
                <w:tcPr>
                  <w:tcW w:w="187" w:type="pct"/>
                  <w:shd w:val="clear" w:color="auto" w:fill="FFFFFF"/>
                  <w:tcMar>
                    <w:top w:w="0" w:type="dxa"/>
                    <w:left w:w="0" w:type="dxa"/>
                    <w:bottom w:w="0" w:type="dxa"/>
                    <w:right w:w="0" w:type="dxa"/>
                  </w:tcMar>
                  <w:vAlign w:val="center"/>
                </w:tcPr>
                <w:p w14:paraId="225F1C7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207" w:type="pct"/>
                  <w:shd w:val="clear" w:color="auto" w:fill="FFFFFF"/>
                  <w:tcMar>
                    <w:top w:w="0" w:type="dxa"/>
                    <w:left w:w="0" w:type="dxa"/>
                    <w:bottom w:w="0" w:type="dxa"/>
                    <w:right w:w="0" w:type="dxa"/>
                  </w:tcMar>
                  <w:vAlign w:val="center"/>
                </w:tcPr>
                <w:p w14:paraId="0DFFFAF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72.7</w:t>
                  </w:r>
                </w:p>
              </w:tc>
              <w:tc>
                <w:tcPr>
                  <w:tcW w:w="187" w:type="pct"/>
                  <w:shd w:val="clear" w:color="auto" w:fill="FFFFFF"/>
                  <w:tcMar>
                    <w:top w:w="0" w:type="dxa"/>
                    <w:left w:w="0" w:type="dxa"/>
                    <w:bottom w:w="0" w:type="dxa"/>
                    <w:right w:w="0" w:type="dxa"/>
                  </w:tcMar>
                  <w:vAlign w:val="center"/>
                </w:tcPr>
                <w:p w14:paraId="1251348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662F88A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5412A9F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209" w:type="pct"/>
                  <w:shd w:val="clear" w:color="auto" w:fill="FFFFFF"/>
                  <w:tcMar>
                    <w:top w:w="0" w:type="dxa"/>
                    <w:left w:w="0" w:type="dxa"/>
                    <w:bottom w:w="0" w:type="dxa"/>
                    <w:right w:w="0" w:type="dxa"/>
                  </w:tcMar>
                  <w:vAlign w:val="center"/>
                </w:tcPr>
                <w:p w14:paraId="55D7595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w:t>
                  </w:r>
                </w:p>
              </w:tc>
              <w:tc>
                <w:tcPr>
                  <w:tcW w:w="187" w:type="pct"/>
                  <w:shd w:val="clear" w:color="auto" w:fill="FFFFFF"/>
                  <w:tcMar>
                    <w:top w:w="0" w:type="dxa"/>
                    <w:left w:w="0" w:type="dxa"/>
                    <w:bottom w:w="0" w:type="dxa"/>
                    <w:right w:w="0" w:type="dxa"/>
                  </w:tcMar>
                  <w:vAlign w:val="center"/>
                </w:tcPr>
                <w:p w14:paraId="3A75B6D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048A0ED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596E880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1841FB5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031BEFC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2BF804A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20E5919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4F95B41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w:t>
                  </w:r>
                </w:p>
              </w:tc>
            </w:tr>
            <w:tr w14:paraId="6709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40AE388A">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43" w:type="pct"/>
                  <w:vMerge w:val="continue"/>
                  <w:shd w:val="clear" w:color="auto" w:fill="FFFFFF"/>
                  <w:tcMar>
                    <w:top w:w="0" w:type="dxa"/>
                    <w:left w:w="0" w:type="dxa"/>
                    <w:bottom w:w="0" w:type="dxa"/>
                    <w:right w:w="0" w:type="dxa"/>
                  </w:tcMar>
                  <w:vAlign w:val="center"/>
                </w:tcPr>
                <w:p w14:paraId="79F5061D">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6B56A24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喷漆房</w:t>
                  </w:r>
                </w:p>
              </w:tc>
              <w:tc>
                <w:tcPr>
                  <w:tcW w:w="376" w:type="pct"/>
                  <w:shd w:val="clear" w:color="auto" w:fill="FFFFFF"/>
                  <w:tcMar>
                    <w:top w:w="0" w:type="dxa"/>
                    <w:left w:w="0" w:type="dxa"/>
                    <w:bottom w:w="0" w:type="dxa"/>
                    <w:right w:w="0" w:type="dxa"/>
                  </w:tcMar>
                  <w:vAlign w:val="center"/>
                </w:tcPr>
                <w:p w14:paraId="076101B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8" w:type="pct"/>
                  <w:shd w:val="clear" w:color="auto" w:fill="FFFFFF"/>
                  <w:tcMar>
                    <w:top w:w="0" w:type="dxa"/>
                    <w:left w:w="0" w:type="dxa"/>
                    <w:bottom w:w="0" w:type="dxa"/>
                    <w:right w:w="0" w:type="dxa"/>
                  </w:tcMar>
                  <w:vAlign w:val="center"/>
                </w:tcPr>
                <w:p w14:paraId="537DF02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14.7</w:t>
                  </w:r>
                </w:p>
              </w:tc>
              <w:tc>
                <w:tcPr>
                  <w:tcW w:w="178" w:type="pct"/>
                  <w:shd w:val="clear" w:color="auto" w:fill="FFFFFF"/>
                  <w:tcMar>
                    <w:top w:w="0" w:type="dxa"/>
                    <w:left w:w="0" w:type="dxa"/>
                    <w:bottom w:w="0" w:type="dxa"/>
                    <w:right w:w="0" w:type="dxa"/>
                  </w:tcMar>
                  <w:vAlign w:val="center"/>
                </w:tcPr>
                <w:p w14:paraId="311E3B3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18.1</w:t>
                  </w:r>
                </w:p>
              </w:tc>
              <w:tc>
                <w:tcPr>
                  <w:tcW w:w="176" w:type="pct"/>
                  <w:shd w:val="clear" w:color="auto" w:fill="FFFFFF"/>
                  <w:tcMar>
                    <w:top w:w="0" w:type="dxa"/>
                    <w:left w:w="0" w:type="dxa"/>
                    <w:bottom w:w="0" w:type="dxa"/>
                    <w:right w:w="0" w:type="dxa"/>
                  </w:tcMar>
                  <w:vAlign w:val="center"/>
                </w:tcPr>
                <w:p w14:paraId="0077C80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584A27A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49.8</w:t>
                  </w:r>
                </w:p>
              </w:tc>
              <w:tc>
                <w:tcPr>
                  <w:tcW w:w="187" w:type="pct"/>
                  <w:shd w:val="clear" w:color="auto" w:fill="FFFFFF"/>
                  <w:tcMar>
                    <w:top w:w="0" w:type="dxa"/>
                    <w:left w:w="0" w:type="dxa"/>
                    <w:bottom w:w="0" w:type="dxa"/>
                    <w:right w:w="0" w:type="dxa"/>
                  </w:tcMar>
                  <w:vAlign w:val="center"/>
                </w:tcPr>
                <w:p w14:paraId="3055976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22.3</w:t>
                  </w:r>
                </w:p>
              </w:tc>
              <w:tc>
                <w:tcPr>
                  <w:tcW w:w="187" w:type="pct"/>
                  <w:shd w:val="clear" w:color="auto" w:fill="FFFFFF"/>
                  <w:tcMar>
                    <w:top w:w="0" w:type="dxa"/>
                    <w:left w:w="0" w:type="dxa"/>
                    <w:bottom w:w="0" w:type="dxa"/>
                    <w:right w:w="0" w:type="dxa"/>
                  </w:tcMar>
                  <w:vAlign w:val="center"/>
                </w:tcPr>
                <w:p w14:paraId="2C102CD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34.2</w:t>
                  </w:r>
                </w:p>
              </w:tc>
              <w:tc>
                <w:tcPr>
                  <w:tcW w:w="207" w:type="pct"/>
                  <w:shd w:val="clear" w:color="auto" w:fill="FFFFFF"/>
                  <w:tcMar>
                    <w:top w:w="0" w:type="dxa"/>
                    <w:left w:w="0" w:type="dxa"/>
                    <w:bottom w:w="0" w:type="dxa"/>
                    <w:right w:w="0" w:type="dxa"/>
                  </w:tcMar>
                  <w:vAlign w:val="center"/>
                </w:tcPr>
                <w:p w14:paraId="4E7E524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69.7</w:t>
                  </w:r>
                </w:p>
              </w:tc>
              <w:tc>
                <w:tcPr>
                  <w:tcW w:w="187" w:type="pct"/>
                  <w:shd w:val="clear" w:color="auto" w:fill="FFFFFF"/>
                  <w:tcMar>
                    <w:top w:w="0" w:type="dxa"/>
                    <w:left w:w="0" w:type="dxa"/>
                    <w:bottom w:w="0" w:type="dxa"/>
                    <w:right w:w="0" w:type="dxa"/>
                  </w:tcMar>
                  <w:vAlign w:val="center"/>
                </w:tcPr>
                <w:p w14:paraId="49A27B7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4FFD0B5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1640FFB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60.1</w:t>
                  </w:r>
                </w:p>
              </w:tc>
              <w:tc>
                <w:tcPr>
                  <w:tcW w:w="209" w:type="pct"/>
                  <w:shd w:val="clear" w:color="auto" w:fill="FFFFFF"/>
                  <w:tcMar>
                    <w:top w:w="0" w:type="dxa"/>
                    <w:left w:w="0" w:type="dxa"/>
                    <w:bottom w:w="0" w:type="dxa"/>
                    <w:right w:w="0" w:type="dxa"/>
                  </w:tcMar>
                  <w:vAlign w:val="center"/>
                </w:tcPr>
                <w:p w14:paraId="6057C0C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60.4</w:t>
                  </w:r>
                </w:p>
              </w:tc>
              <w:tc>
                <w:tcPr>
                  <w:tcW w:w="187" w:type="pct"/>
                  <w:shd w:val="clear" w:color="auto" w:fill="FFFFFF"/>
                  <w:tcMar>
                    <w:top w:w="0" w:type="dxa"/>
                    <w:left w:w="0" w:type="dxa"/>
                    <w:bottom w:w="0" w:type="dxa"/>
                    <w:right w:w="0" w:type="dxa"/>
                  </w:tcMar>
                  <w:vAlign w:val="center"/>
                </w:tcPr>
                <w:p w14:paraId="1D3001D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425987B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6B9F76A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160FF7A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22F0D7E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08261C5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08770D4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.1</w:t>
                  </w:r>
                </w:p>
              </w:tc>
              <w:tc>
                <w:tcPr>
                  <w:tcW w:w="216" w:type="pct"/>
                  <w:shd w:val="clear" w:color="auto" w:fill="FFFFFF"/>
                  <w:tcMar>
                    <w:top w:w="0" w:type="dxa"/>
                    <w:left w:w="0" w:type="dxa"/>
                    <w:bottom w:w="0" w:type="dxa"/>
                    <w:right w:w="0" w:type="dxa"/>
                  </w:tcMar>
                  <w:vAlign w:val="center"/>
                </w:tcPr>
                <w:p w14:paraId="1D7D7E7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.4</w:t>
                  </w:r>
                </w:p>
              </w:tc>
            </w:tr>
            <w:tr w14:paraId="5882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5B1CF11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w:t>
                  </w:r>
                </w:p>
              </w:tc>
              <w:tc>
                <w:tcPr>
                  <w:tcW w:w="343" w:type="pct"/>
                  <w:vMerge w:val="continue"/>
                  <w:shd w:val="clear" w:color="auto" w:fill="FFFFFF"/>
                  <w:tcMar>
                    <w:top w:w="0" w:type="dxa"/>
                    <w:left w:w="0" w:type="dxa"/>
                    <w:bottom w:w="0" w:type="dxa"/>
                    <w:right w:w="0" w:type="dxa"/>
                  </w:tcMar>
                  <w:vAlign w:val="center"/>
                </w:tcPr>
                <w:p w14:paraId="34934D84">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2BD5E29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喷塑房</w:t>
                  </w:r>
                </w:p>
              </w:tc>
              <w:tc>
                <w:tcPr>
                  <w:tcW w:w="376" w:type="pct"/>
                  <w:shd w:val="clear" w:color="auto" w:fill="FFFFFF"/>
                  <w:tcMar>
                    <w:top w:w="0" w:type="dxa"/>
                    <w:left w:w="0" w:type="dxa"/>
                    <w:bottom w:w="0" w:type="dxa"/>
                    <w:right w:w="0" w:type="dxa"/>
                  </w:tcMar>
                  <w:vAlign w:val="center"/>
                </w:tcPr>
                <w:p w14:paraId="52D221F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8" w:type="pct"/>
                  <w:shd w:val="clear" w:color="auto" w:fill="FFFFFF"/>
                  <w:tcMar>
                    <w:top w:w="0" w:type="dxa"/>
                    <w:left w:w="0" w:type="dxa"/>
                    <w:bottom w:w="0" w:type="dxa"/>
                    <w:right w:w="0" w:type="dxa"/>
                  </w:tcMar>
                  <w:vAlign w:val="center"/>
                </w:tcPr>
                <w:p w14:paraId="7B2AF48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w:t>
                  </w:r>
                </w:p>
              </w:tc>
              <w:tc>
                <w:tcPr>
                  <w:tcW w:w="178" w:type="pct"/>
                  <w:shd w:val="clear" w:color="auto" w:fill="FFFFFF"/>
                  <w:tcMar>
                    <w:top w:w="0" w:type="dxa"/>
                    <w:left w:w="0" w:type="dxa"/>
                    <w:bottom w:w="0" w:type="dxa"/>
                    <w:right w:w="0" w:type="dxa"/>
                  </w:tcMar>
                  <w:vAlign w:val="center"/>
                </w:tcPr>
                <w:p w14:paraId="5B2781E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16.1</w:t>
                  </w:r>
                </w:p>
              </w:tc>
              <w:tc>
                <w:tcPr>
                  <w:tcW w:w="176" w:type="pct"/>
                  <w:shd w:val="clear" w:color="auto" w:fill="FFFFFF"/>
                  <w:tcMar>
                    <w:top w:w="0" w:type="dxa"/>
                    <w:left w:w="0" w:type="dxa"/>
                    <w:bottom w:w="0" w:type="dxa"/>
                    <w:right w:w="0" w:type="dxa"/>
                  </w:tcMar>
                  <w:vAlign w:val="center"/>
                </w:tcPr>
                <w:p w14:paraId="72836DE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239BECB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44.5</w:t>
                  </w:r>
                </w:p>
              </w:tc>
              <w:tc>
                <w:tcPr>
                  <w:tcW w:w="187" w:type="pct"/>
                  <w:shd w:val="clear" w:color="auto" w:fill="FFFFFF"/>
                  <w:tcMar>
                    <w:top w:w="0" w:type="dxa"/>
                    <w:left w:w="0" w:type="dxa"/>
                    <w:bottom w:w="0" w:type="dxa"/>
                    <w:right w:w="0" w:type="dxa"/>
                  </w:tcMar>
                  <w:vAlign w:val="center"/>
                </w:tcPr>
                <w:p w14:paraId="2A221D4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22.9</w:t>
                  </w:r>
                </w:p>
              </w:tc>
              <w:tc>
                <w:tcPr>
                  <w:tcW w:w="187" w:type="pct"/>
                  <w:shd w:val="clear" w:color="auto" w:fill="FFFFFF"/>
                  <w:tcMar>
                    <w:top w:w="0" w:type="dxa"/>
                    <w:left w:w="0" w:type="dxa"/>
                    <w:bottom w:w="0" w:type="dxa"/>
                    <w:right w:w="0" w:type="dxa"/>
                  </w:tcMar>
                  <w:vAlign w:val="center"/>
                </w:tcPr>
                <w:p w14:paraId="60BDBC9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39.5</w:t>
                  </w:r>
                </w:p>
              </w:tc>
              <w:tc>
                <w:tcPr>
                  <w:tcW w:w="207" w:type="pct"/>
                  <w:shd w:val="clear" w:color="auto" w:fill="FFFFFF"/>
                  <w:tcMar>
                    <w:top w:w="0" w:type="dxa"/>
                    <w:left w:w="0" w:type="dxa"/>
                    <w:bottom w:w="0" w:type="dxa"/>
                    <w:right w:w="0" w:type="dxa"/>
                  </w:tcMar>
                  <w:vAlign w:val="center"/>
                </w:tcPr>
                <w:p w14:paraId="15971BC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69.1</w:t>
                  </w:r>
                </w:p>
              </w:tc>
              <w:tc>
                <w:tcPr>
                  <w:tcW w:w="187" w:type="pct"/>
                  <w:shd w:val="clear" w:color="auto" w:fill="FFFFFF"/>
                  <w:tcMar>
                    <w:top w:w="0" w:type="dxa"/>
                    <w:left w:w="0" w:type="dxa"/>
                    <w:bottom w:w="0" w:type="dxa"/>
                    <w:right w:w="0" w:type="dxa"/>
                  </w:tcMar>
                  <w:vAlign w:val="center"/>
                </w:tcPr>
                <w:p w14:paraId="7FE342C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0CF79E4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187" w:type="pct"/>
                  <w:shd w:val="clear" w:color="auto" w:fill="FFFFFF"/>
                  <w:tcMar>
                    <w:top w:w="0" w:type="dxa"/>
                    <w:left w:w="0" w:type="dxa"/>
                    <w:bottom w:w="0" w:type="dxa"/>
                    <w:right w:w="0" w:type="dxa"/>
                  </w:tcMar>
                  <w:vAlign w:val="center"/>
                </w:tcPr>
                <w:p w14:paraId="44AD31C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209" w:type="pct"/>
                  <w:shd w:val="clear" w:color="auto" w:fill="FFFFFF"/>
                  <w:tcMar>
                    <w:top w:w="0" w:type="dxa"/>
                    <w:left w:w="0" w:type="dxa"/>
                    <w:bottom w:w="0" w:type="dxa"/>
                    <w:right w:w="0" w:type="dxa"/>
                  </w:tcMar>
                  <w:vAlign w:val="center"/>
                </w:tcPr>
                <w:p w14:paraId="7ACBDDF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60.4</w:t>
                  </w:r>
                </w:p>
              </w:tc>
              <w:tc>
                <w:tcPr>
                  <w:tcW w:w="187" w:type="pct"/>
                  <w:shd w:val="clear" w:color="auto" w:fill="FFFFFF"/>
                  <w:tcMar>
                    <w:top w:w="0" w:type="dxa"/>
                    <w:left w:w="0" w:type="dxa"/>
                    <w:bottom w:w="0" w:type="dxa"/>
                    <w:right w:w="0" w:type="dxa"/>
                  </w:tcMar>
                  <w:vAlign w:val="center"/>
                </w:tcPr>
                <w:p w14:paraId="323FA3AE">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50D94BA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187E24A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7D823DC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06C0468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487FBAB3">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72446288">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3CC97B1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.4</w:t>
                  </w:r>
                </w:p>
              </w:tc>
            </w:tr>
            <w:tr w14:paraId="61E2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20CA754A">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343" w:type="pct"/>
                  <w:vMerge w:val="continue"/>
                  <w:shd w:val="clear" w:color="auto" w:fill="FFFFFF"/>
                  <w:tcMar>
                    <w:top w:w="0" w:type="dxa"/>
                    <w:left w:w="0" w:type="dxa"/>
                    <w:bottom w:w="0" w:type="dxa"/>
                    <w:right w:w="0" w:type="dxa"/>
                  </w:tcMar>
                  <w:vAlign w:val="center"/>
                </w:tcPr>
                <w:p w14:paraId="1BD92AE4">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434" w:type="pct"/>
                  <w:shd w:val="clear" w:color="auto" w:fill="FFFFFF"/>
                  <w:tcMar>
                    <w:top w:w="0" w:type="dxa"/>
                    <w:left w:w="0" w:type="dxa"/>
                    <w:bottom w:w="0" w:type="dxa"/>
                    <w:right w:w="0" w:type="dxa"/>
                  </w:tcMar>
                  <w:vAlign w:val="center"/>
                </w:tcPr>
                <w:p w14:paraId="6200FF9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下料风机</w:t>
                  </w:r>
                </w:p>
              </w:tc>
              <w:tc>
                <w:tcPr>
                  <w:tcW w:w="376" w:type="pct"/>
                  <w:shd w:val="clear" w:color="auto" w:fill="FFFFFF"/>
                  <w:tcMar>
                    <w:top w:w="0" w:type="dxa"/>
                    <w:left w:w="0" w:type="dxa"/>
                    <w:bottom w:w="0" w:type="dxa"/>
                    <w:right w:w="0" w:type="dxa"/>
                  </w:tcMar>
                  <w:vAlign w:val="center"/>
                </w:tcPr>
                <w:p w14:paraId="28B78AB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85</w:t>
                  </w:r>
                </w:p>
              </w:tc>
              <w:tc>
                <w:tcPr>
                  <w:tcW w:w="178" w:type="pct"/>
                  <w:shd w:val="clear" w:color="auto" w:fill="FFFFFF"/>
                  <w:tcMar>
                    <w:top w:w="0" w:type="dxa"/>
                    <w:left w:w="0" w:type="dxa"/>
                    <w:bottom w:w="0" w:type="dxa"/>
                    <w:right w:w="0" w:type="dxa"/>
                  </w:tcMar>
                  <w:vAlign w:val="center"/>
                </w:tcPr>
                <w:p w14:paraId="48EE30F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11.2</w:t>
                  </w:r>
                </w:p>
              </w:tc>
              <w:tc>
                <w:tcPr>
                  <w:tcW w:w="178" w:type="pct"/>
                  <w:shd w:val="clear" w:color="auto" w:fill="FFFFFF"/>
                  <w:tcMar>
                    <w:top w:w="0" w:type="dxa"/>
                    <w:left w:w="0" w:type="dxa"/>
                    <w:bottom w:w="0" w:type="dxa"/>
                    <w:right w:w="0" w:type="dxa"/>
                  </w:tcMar>
                  <w:vAlign w:val="center"/>
                </w:tcPr>
                <w:p w14:paraId="4E408C1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4.8</w:t>
                  </w:r>
                </w:p>
              </w:tc>
              <w:tc>
                <w:tcPr>
                  <w:tcW w:w="176" w:type="pct"/>
                  <w:shd w:val="clear" w:color="auto" w:fill="FFFFFF"/>
                  <w:tcMar>
                    <w:top w:w="0" w:type="dxa"/>
                    <w:left w:w="0" w:type="dxa"/>
                    <w:bottom w:w="0" w:type="dxa"/>
                    <w:right w:w="0" w:type="dxa"/>
                  </w:tcMar>
                  <w:vAlign w:val="center"/>
                </w:tcPr>
                <w:p w14:paraId="7FFD95B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7" w:type="pct"/>
                  <w:shd w:val="clear" w:color="auto" w:fill="FFFFFF"/>
                  <w:tcMar>
                    <w:top w:w="0" w:type="dxa"/>
                    <w:left w:w="0" w:type="dxa"/>
                    <w:bottom w:w="0" w:type="dxa"/>
                    <w:right w:w="0" w:type="dxa"/>
                  </w:tcMar>
                  <w:vAlign w:val="center"/>
                </w:tcPr>
                <w:p w14:paraId="74FDA29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ascii="Times New Roman" w:hAnsi="Times New Roman" w:eastAsia="宋体" w:cs="Times New Roman"/>
                      <w:color w:val="auto"/>
                      <w:sz w:val="21"/>
                      <w:szCs w:val="21"/>
                      <w:highlight w:val="none"/>
                      <w:lang w:val="en-US" w:eastAsia="zh-CN"/>
                    </w:rPr>
                    <w:t>5.2</w:t>
                  </w:r>
                </w:p>
              </w:tc>
              <w:tc>
                <w:tcPr>
                  <w:tcW w:w="187" w:type="pct"/>
                  <w:shd w:val="clear" w:color="auto" w:fill="FFFFFF"/>
                  <w:tcMar>
                    <w:top w:w="0" w:type="dxa"/>
                    <w:left w:w="0" w:type="dxa"/>
                    <w:bottom w:w="0" w:type="dxa"/>
                    <w:right w:w="0" w:type="dxa"/>
                  </w:tcMar>
                  <w:vAlign w:val="center"/>
                </w:tcPr>
                <w:p w14:paraId="710A1CE4">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r>
                    <w:rPr>
                      <w:rFonts w:hint="eastAsia" w:ascii="Times New Roman" w:hAnsi="Times New Roman" w:eastAsia="宋体" w:cs="Times New Roman"/>
                      <w:color w:val="auto"/>
                      <w:sz w:val="21"/>
                      <w:szCs w:val="21"/>
                      <w:highlight w:val="none"/>
                      <w:lang w:val="en-US" w:eastAsia="zh-CN"/>
                    </w:rPr>
                    <w:t>.8</w:t>
                  </w:r>
                </w:p>
              </w:tc>
              <w:tc>
                <w:tcPr>
                  <w:tcW w:w="187" w:type="pct"/>
                  <w:shd w:val="clear" w:color="auto" w:fill="FFFFFF"/>
                  <w:tcMar>
                    <w:top w:w="0" w:type="dxa"/>
                    <w:left w:w="0" w:type="dxa"/>
                    <w:bottom w:w="0" w:type="dxa"/>
                    <w:right w:w="0" w:type="dxa"/>
                  </w:tcMar>
                  <w:vAlign w:val="center"/>
                </w:tcPr>
                <w:p w14:paraId="319F2F6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38.8</w:t>
                  </w:r>
                </w:p>
              </w:tc>
              <w:tc>
                <w:tcPr>
                  <w:tcW w:w="207" w:type="pct"/>
                  <w:shd w:val="clear" w:color="auto" w:fill="FFFFFF"/>
                  <w:tcMar>
                    <w:top w:w="0" w:type="dxa"/>
                    <w:left w:w="0" w:type="dxa"/>
                    <w:bottom w:w="0" w:type="dxa"/>
                    <w:right w:w="0" w:type="dxa"/>
                  </w:tcMar>
                  <w:vAlign w:val="center"/>
                </w:tcPr>
                <w:p w14:paraId="5A21F90A">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69.2</w:t>
                  </w:r>
                </w:p>
              </w:tc>
              <w:tc>
                <w:tcPr>
                  <w:tcW w:w="187" w:type="pct"/>
                  <w:shd w:val="clear" w:color="auto" w:fill="FFFFFF"/>
                  <w:tcMar>
                    <w:top w:w="0" w:type="dxa"/>
                    <w:left w:w="0" w:type="dxa"/>
                    <w:bottom w:w="0" w:type="dxa"/>
                    <w:right w:w="0" w:type="dxa"/>
                  </w:tcMar>
                  <w:vAlign w:val="center"/>
                </w:tcPr>
                <w:p w14:paraId="707ABB5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60.4</w:t>
                  </w:r>
                </w:p>
              </w:tc>
              <w:tc>
                <w:tcPr>
                  <w:tcW w:w="187" w:type="pct"/>
                  <w:shd w:val="clear" w:color="auto" w:fill="FFFFFF"/>
                  <w:tcMar>
                    <w:top w:w="0" w:type="dxa"/>
                    <w:left w:w="0" w:type="dxa"/>
                    <w:bottom w:w="0" w:type="dxa"/>
                    <w:right w:w="0" w:type="dxa"/>
                  </w:tcMar>
                  <w:vAlign w:val="center"/>
                </w:tcPr>
                <w:p w14:paraId="058020D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60.4</w:t>
                  </w:r>
                </w:p>
              </w:tc>
              <w:tc>
                <w:tcPr>
                  <w:tcW w:w="187" w:type="pct"/>
                  <w:shd w:val="clear" w:color="auto" w:fill="FFFFFF"/>
                  <w:tcMar>
                    <w:top w:w="0" w:type="dxa"/>
                    <w:left w:w="0" w:type="dxa"/>
                    <w:bottom w:w="0" w:type="dxa"/>
                    <w:right w:w="0" w:type="dxa"/>
                  </w:tcMar>
                  <w:vAlign w:val="center"/>
                </w:tcPr>
                <w:p w14:paraId="259B3F4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60.4</w:t>
                  </w:r>
                </w:p>
              </w:tc>
              <w:tc>
                <w:tcPr>
                  <w:tcW w:w="209" w:type="pct"/>
                  <w:shd w:val="clear" w:color="auto" w:fill="FFFFFF"/>
                  <w:tcMar>
                    <w:top w:w="0" w:type="dxa"/>
                    <w:left w:w="0" w:type="dxa"/>
                    <w:bottom w:w="0" w:type="dxa"/>
                    <w:right w:w="0" w:type="dxa"/>
                  </w:tcMar>
                  <w:vAlign w:val="center"/>
                </w:tcPr>
                <w:p w14:paraId="7FFA7CCC">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60.</w:t>
                  </w:r>
                  <w:r>
                    <w:rPr>
                      <w:rFonts w:hint="eastAsia" w:ascii="Times New Roman" w:hAnsi="Times New Roman" w:eastAsia="宋体" w:cs="Times New Roman"/>
                      <w:color w:val="auto"/>
                      <w:sz w:val="21"/>
                      <w:szCs w:val="21"/>
                      <w:highlight w:val="none"/>
                      <w:lang w:val="en-US" w:eastAsia="zh-CN"/>
                    </w:rPr>
                    <w:t>0</w:t>
                  </w:r>
                </w:p>
              </w:tc>
              <w:tc>
                <w:tcPr>
                  <w:tcW w:w="187" w:type="pct"/>
                  <w:shd w:val="clear" w:color="auto" w:fill="FFFFFF"/>
                  <w:tcMar>
                    <w:top w:w="0" w:type="dxa"/>
                    <w:left w:w="0" w:type="dxa"/>
                    <w:bottom w:w="0" w:type="dxa"/>
                    <w:right w:w="0" w:type="dxa"/>
                  </w:tcMar>
                  <w:vAlign w:val="center"/>
                </w:tcPr>
                <w:p w14:paraId="3736689F">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2625147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701F13D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209" w:type="pct"/>
                  <w:shd w:val="clear" w:color="auto" w:fill="FFFFFF"/>
                  <w:tcMar>
                    <w:top w:w="0" w:type="dxa"/>
                    <w:left w:w="0" w:type="dxa"/>
                    <w:bottom w:w="0" w:type="dxa"/>
                    <w:right w:w="0" w:type="dxa"/>
                  </w:tcMar>
                  <w:vAlign w:val="center"/>
                </w:tcPr>
                <w:p w14:paraId="4E9C7F8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w:t>
                  </w:r>
                </w:p>
              </w:tc>
              <w:tc>
                <w:tcPr>
                  <w:tcW w:w="187" w:type="pct"/>
                  <w:shd w:val="clear" w:color="auto" w:fill="FFFFFF"/>
                  <w:tcMar>
                    <w:top w:w="0" w:type="dxa"/>
                    <w:left w:w="0" w:type="dxa"/>
                    <w:bottom w:w="0" w:type="dxa"/>
                    <w:right w:w="0" w:type="dxa"/>
                  </w:tcMar>
                  <w:vAlign w:val="center"/>
                </w:tcPr>
                <w:p w14:paraId="72CFCB01">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.9</w:t>
                  </w:r>
                </w:p>
              </w:tc>
              <w:tc>
                <w:tcPr>
                  <w:tcW w:w="505" w:type="dxa"/>
                  <w:shd w:val="clear" w:color="auto" w:fill="FFFFFF"/>
                  <w:tcMar>
                    <w:top w:w="0" w:type="dxa"/>
                    <w:left w:w="0" w:type="dxa"/>
                    <w:bottom w:w="0" w:type="dxa"/>
                    <w:right w:w="0" w:type="dxa"/>
                  </w:tcMar>
                  <w:vAlign w:val="center"/>
                </w:tcPr>
                <w:p w14:paraId="7567EDEC">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.9</w:t>
                  </w:r>
                </w:p>
              </w:tc>
              <w:tc>
                <w:tcPr>
                  <w:tcW w:w="187" w:type="pct"/>
                  <w:shd w:val="clear" w:color="auto" w:fill="FFFFFF"/>
                  <w:tcMar>
                    <w:top w:w="0" w:type="dxa"/>
                    <w:left w:w="0" w:type="dxa"/>
                    <w:bottom w:w="0" w:type="dxa"/>
                    <w:right w:w="0" w:type="dxa"/>
                  </w:tcMar>
                  <w:vAlign w:val="center"/>
                </w:tcPr>
                <w:p w14:paraId="75E21EF9">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.9</w:t>
                  </w:r>
                </w:p>
              </w:tc>
              <w:tc>
                <w:tcPr>
                  <w:tcW w:w="216" w:type="pct"/>
                  <w:shd w:val="clear" w:color="auto" w:fill="FFFFFF"/>
                  <w:tcMar>
                    <w:top w:w="0" w:type="dxa"/>
                    <w:left w:w="0" w:type="dxa"/>
                    <w:bottom w:w="0" w:type="dxa"/>
                    <w:right w:w="0" w:type="dxa"/>
                  </w:tcMar>
                  <w:vAlign w:val="center"/>
                </w:tcPr>
                <w:p w14:paraId="1248E620">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.3</w:t>
                  </w:r>
                </w:p>
              </w:tc>
            </w:tr>
            <w:bookmarkEnd w:id="60"/>
          </w:tbl>
          <w:p w14:paraId="776ABE63">
            <w:pPr>
              <w:ind w:firstLine="0" w:firstLineChars="0"/>
              <w:rPr>
                <w:rFonts w:eastAsia="黑体"/>
                <w:snapToGrid w:val="0"/>
                <w:color w:val="auto"/>
                <w:sz w:val="30"/>
                <w:szCs w:val="30"/>
                <w:highlight w:val="none"/>
              </w:rPr>
            </w:pPr>
          </w:p>
        </w:tc>
      </w:tr>
    </w:tbl>
    <w:p w14:paraId="65EEC3A1">
      <w:pPr>
        <w:jc w:val="center"/>
        <w:rPr>
          <w:color w:val="auto"/>
          <w:highlight w:val="none"/>
        </w:rPr>
        <w:sectPr>
          <w:pgSz w:w="16838" w:h="11906" w:orient="landscape"/>
          <w:pgMar w:top="1080" w:right="1440" w:bottom="1080" w:left="1440" w:header="851" w:footer="992" w:gutter="0"/>
          <w:pgNumType w:fmt="decimal"/>
          <w:cols w:space="425" w:num="1"/>
          <w:docGrid w:type="lines" w:linePitch="312" w:charSpace="0"/>
        </w:sectPr>
      </w:pPr>
    </w:p>
    <w:tbl>
      <w:tblPr>
        <w:tblStyle w:val="25"/>
        <w:tblW w:w="51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323"/>
      </w:tblGrid>
      <w:tr w14:paraId="7D7E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6" w:hRule="atLeast"/>
          <w:jc w:val="center"/>
        </w:trPr>
        <w:tc>
          <w:tcPr>
            <w:tcW w:w="266" w:type="pct"/>
            <w:noWrap w:val="0"/>
            <w:vAlign w:val="top"/>
          </w:tcPr>
          <w:p w14:paraId="0DD61FD6">
            <w:pPr>
              <w:pStyle w:val="31"/>
              <w:pageBreakBefore w:val="0"/>
              <w:numPr>
                <w:ilvl w:val="1"/>
                <w:numId w:val="0"/>
              </w:numPr>
              <w:overflowPunct/>
              <w:topLinePunct w:val="0"/>
              <w:bidi w:val="0"/>
              <w:adjustRightInd/>
              <w:snapToGrid/>
              <w:ind w:leftChars="0"/>
              <w:rPr>
                <w:rFonts w:hint="default" w:ascii="Times New Roman" w:hAnsi="Times New Roman" w:eastAsia="宋体" w:cs="Times New Roman"/>
                <w:color w:val="auto"/>
                <w:highlight w:val="none"/>
              </w:rPr>
            </w:pPr>
          </w:p>
        </w:tc>
        <w:tc>
          <w:tcPr>
            <w:tcW w:w="4733" w:type="pct"/>
            <w:noWrap w:val="0"/>
            <w:vAlign w:val="top"/>
          </w:tcPr>
          <w:p w14:paraId="7050D851">
            <w:pPr>
              <w:pStyle w:val="58"/>
              <w:keepNext w:val="0"/>
              <w:keepLines w:val="0"/>
              <w:pageBreakBefore w:val="0"/>
              <w:widowControl/>
              <w:kinsoku w:val="0"/>
              <w:wordWrap/>
              <w:overflowPunct/>
              <w:topLinePunct w:val="0"/>
              <w:autoSpaceDE w:val="0"/>
              <w:autoSpaceDN w:val="0"/>
              <w:bidi w:val="0"/>
              <w:adjustRightInd/>
              <w:snapToGrid/>
              <w:spacing w:before="0" w:line="360" w:lineRule="auto"/>
              <w:ind w:firstLine="482" w:firstLineChars="200"/>
              <w:textAlignment w:val="baseline"/>
              <w:rPr>
                <w:rFonts w:hint="default" w:ascii="Times New Roman" w:hAnsi="Times New Roman" w:eastAsia="宋体" w:cs="Times New Roman"/>
                <w:b/>
                <w:bCs/>
                <w:color w:val="auto"/>
                <w:kern w:val="2"/>
                <w:sz w:val="24"/>
                <w:highlight w:val="none"/>
              </w:rPr>
            </w:pPr>
            <w:r>
              <w:rPr>
                <w:rFonts w:hint="default" w:ascii="Times New Roman" w:hAnsi="Times New Roman" w:eastAsia="宋体" w:cs="Times New Roman"/>
                <w:b/>
                <w:bCs/>
                <w:color w:val="auto"/>
                <w:kern w:val="2"/>
                <w:sz w:val="24"/>
                <w:highlight w:val="none"/>
              </w:rPr>
              <w:t>2、厂界达标情况分析</w:t>
            </w:r>
          </w:p>
          <w:p w14:paraId="20C78A4F">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Cs/>
                <w:color w:val="auto"/>
                <w:spacing w:val="8"/>
                <w:sz w:val="24"/>
                <w:highlight w:val="none"/>
              </w:rPr>
            </w:pPr>
            <w:r>
              <w:rPr>
                <w:rFonts w:hint="default" w:ascii="Times New Roman" w:hAnsi="Times New Roman" w:eastAsia="宋体" w:cs="Times New Roman"/>
                <w:color w:val="auto"/>
                <w:kern w:val="0"/>
                <w:sz w:val="24"/>
                <w:highlight w:val="none"/>
              </w:rPr>
              <w:t>预测模式采用《环境影响评价技术导则 声环境》（HJ 2.4—2021）中推荐的模型。根据建设项目噪声源和环境特征，预测过程中考虑了厂房等建筑物的屏障作用、空气吸收效应。</w:t>
            </w:r>
          </w:p>
          <w:p w14:paraId="66740CBE">
            <w:pPr>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（1）室外声源</w:t>
            </w:r>
          </w:p>
          <w:p w14:paraId="472E8BA0">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 计算某个声源在预测点的倍频带声压级</w:t>
            </w:r>
          </w:p>
          <w:p w14:paraId="042EC032">
            <w:pPr>
              <w:pageBreakBefore w:val="0"/>
              <w:overflowPunct/>
              <w:topLinePunct w:val="0"/>
              <w:bidi w:val="0"/>
              <w:adjustRightInd/>
              <w:snapToGrid/>
              <w:spacing w:line="360" w:lineRule="auto"/>
              <w:jc w:val="center"/>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drawing>
                <wp:inline distT="0" distB="0" distL="114300" distR="114300">
                  <wp:extent cx="2016760" cy="436880"/>
                  <wp:effectExtent l="0" t="0" r="10160"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2016760" cy="436880"/>
                          </a:xfrm>
                          <a:prstGeom prst="rect">
                            <a:avLst/>
                          </a:prstGeom>
                          <a:noFill/>
                          <a:ln>
                            <a:noFill/>
                          </a:ln>
                        </pic:spPr>
                      </pic:pic>
                    </a:graphicData>
                  </a:graphic>
                </wp:inline>
              </w:drawing>
            </w:r>
          </w:p>
          <w:p w14:paraId="239E5BF0">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iCs/>
                <w:color w:val="auto"/>
                <w:sz w:val="24"/>
                <w:highlight w:val="none"/>
                <w:lang w:val="zh-CN"/>
              </w:rPr>
            </w:pPr>
            <w:r>
              <w:rPr>
                <w:rFonts w:hint="default" w:ascii="Times New Roman" w:hAnsi="Times New Roman" w:eastAsia="宋体" w:cs="Times New Roman"/>
                <w:iCs/>
                <w:color w:val="auto"/>
                <w:sz w:val="24"/>
                <w:highlight w:val="none"/>
                <w:lang w:val="zh-CN"/>
              </w:rPr>
              <w:t>式中：</w:t>
            </w:r>
          </w:p>
          <w:p w14:paraId="3BEECDA9">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i/>
                <w:iCs/>
                <w:color w:val="auto"/>
                <w:sz w:val="24"/>
                <w:highlight w:val="none"/>
                <w:lang w:val="zh-CN"/>
              </w:rPr>
              <w:t>L</w:t>
            </w:r>
            <w:r>
              <w:rPr>
                <w:rFonts w:hint="default" w:ascii="Times New Roman" w:hAnsi="Times New Roman" w:eastAsia="宋体" w:cs="Times New Roman"/>
                <w:color w:val="auto"/>
                <w:sz w:val="24"/>
                <w:highlight w:val="none"/>
                <w:vertAlign w:val="subscript"/>
              </w:rPr>
              <w:t>oct</w:t>
            </w:r>
            <w:r>
              <w:rPr>
                <w:rFonts w:hint="default" w:ascii="Times New Roman" w:hAnsi="Times New Roman" w:eastAsia="宋体" w:cs="Times New Roman"/>
                <w:i/>
                <w:iCs/>
                <w:color w:val="auto"/>
                <w:sz w:val="24"/>
                <w:highlight w:val="none"/>
              </w:rPr>
              <w:t>(r)</w:t>
            </w:r>
            <w:r>
              <w:rPr>
                <w:rFonts w:hint="default" w:ascii="Times New Roman" w:hAnsi="Times New Roman" w:eastAsia="宋体" w:cs="Times New Roman"/>
                <w:color w:val="auto"/>
                <w:sz w:val="24"/>
                <w:highlight w:val="none"/>
              </w:rPr>
              <w:t>——点声源在预测点产生的倍频带声压级；</w:t>
            </w:r>
          </w:p>
          <w:p w14:paraId="0FA8256D">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color w:val="auto"/>
                <w:sz w:val="24"/>
                <w:highlight w:val="none"/>
                <w:vertAlign w:val="subscript"/>
              </w:rPr>
              <w:t>oct</w:t>
            </w:r>
            <w:r>
              <w:rPr>
                <w:rFonts w:hint="default" w:ascii="Times New Roman" w:hAnsi="Times New Roman" w:eastAsia="宋体" w:cs="Times New Roman"/>
                <w:i/>
                <w:iCs/>
                <w:color w:val="auto"/>
                <w:sz w:val="24"/>
                <w:highlight w:val="none"/>
              </w:rPr>
              <w:t>(r</w:t>
            </w:r>
            <w:r>
              <w:rPr>
                <w:rFonts w:hint="default" w:ascii="Times New Roman" w:hAnsi="Times New Roman" w:eastAsia="宋体" w:cs="Times New Roman"/>
                <w:i/>
                <w:iCs/>
                <w:color w:val="auto"/>
                <w:sz w:val="24"/>
                <w:highlight w:val="none"/>
                <w:vertAlign w:val="subscript"/>
              </w:rPr>
              <w:t>0</w:t>
            </w:r>
            <w:r>
              <w:rPr>
                <w:rFonts w:hint="default" w:ascii="Times New Roman" w:hAnsi="Times New Roman" w:eastAsia="宋体" w:cs="Times New Roman"/>
                <w:i/>
                <w:iCs/>
                <w:color w:val="auto"/>
                <w:sz w:val="24"/>
                <w:highlight w:val="none"/>
              </w:rPr>
              <w:t>)</w:t>
            </w:r>
            <w:r>
              <w:rPr>
                <w:rFonts w:hint="default" w:ascii="Times New Roman" w:hAnsi="Times New Roman" w:eastAsia="宋体" w:cs="Times New Roman"/>
                <w:color w:val="auto"/>
                <w:sz w:val="24"/>
                <w:highlight w:val="none"/>
              </w:rPr>
              <w:t>——参考位置</w:t>
            </w:r>
            <w:r>
              <w:rPr>
                <w:rFonts w:hint="default" w:ascii="Times New Roman" w:hAnsi="Times New Roman" w:eastAsia="宋体" w:cs="Times New Roman"/>
                <w:i/>
                <w:iCs/>
                <w:color w:val="auto"/>
                <w:sz w:val="24"/>
                <w:highlight w:val="none"/>
              </w:rPr>
              <w:t>r</w:t>
            </w:r>
            <w:r>
              <w:rPr>
                <w:rFonts w:hint="default" w:ascii="Times New Roman" w:hAnsi="Times New Roman" w:eastAsia="宋体" w:cs="Times New Roman"/>
                <w:i/>
                <w:iCs/>
                <w:color w:val="auto"/>
                <w:sz w:val="24"/>
                <w:highlight w:val="none"/>
                <w:vertAlign w:val="subscript"/>
              </w:rPr>
              <w:t>0</w:t>
            </w:r>
            <w:r>
              <w:rPr>
                <w:rFonts w:hint="default" w:ascii="Times New Roman" w:hAnsi="Times New Roman" w:eastAsia="宋体" w:cs="Times New Roman"/>
                <w:color w:val="auto"/>
                <w:sz w:val="24"/>
                <w:highlight w:val="none"/>
              </w:rPr>
              <w:t>处的倍频带声压级；</w:t>
            </w:r>
          </w:p>
          <w:p w14:paraId="6C672712">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i/>
                <w:iCs/>
                <w:color w:val="auto"/>
                <w:sz w:val="24"/>
                <w:highlight w:val="none"/>
              </w:rPr>
              <w:t>r</w:t>
            </w:r>
            <w:r>
              <w:rPr>
                <w:rFonts w:hint="default" w:ascii="Times New Roman" w:hAnsi="Times New Roman" w:eastAsia="宋体" w:cs="Times New Roman"/>
                <w:color w:val="auto"/>
                <w:sz w:val="24"/>
                <w:highlight w:val="none"/>
              </w:rPr>
              <w:t>——预测点距声源的距离，m；</w:t>
            </w:r>
          </w:p>
          <w:p w14:paraId="3D380A06">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i/>
                <w:iCs/>
                <w:color w:val="auto"/>
                <w:sz w:val="24"/>
                <w:highlight w:val="none"/>
              </w:rPr>
              <w:t>r</w:t>
            </w:r>
            <w:r>
              <w:rPr>
                <w:rFonts w:hint="default" w:ascii="Times New Roman" w:hAnsi="Times New Roman" w:eastAsia="宋体" w:cs="Times New Roman"/>
                <w:i/>
                <w:iCs/>
                <w:color w:val="auto"/>
                <w:sz w:val="24"/>
                <w:highlight w:val="none"/>
                <w:vertAlign w:val="subscript"/>
              </w:rPr>
              <w:t>0</w:t>
            </w:r>
            <w:r>
              <w:rPr>
                <w:rFonts w:hint="default" w:ascii="Times New Roman" w:hAnsi="Times New Roman" w:eastAsia="宋体" w:cs="Times New Roman"/>
                <w:color w:val="auto"/>
                <w:sz w:val="24"/>
                <w:highlight w:val="none"/>
              </w:rPr>
              <w:t>——参考位置距声源的距离，m；</w:t>
            </w:r>
          </w:p>
          <w:p w14:paraId="417EB828">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i/>
                <w:iCs/>
                <w:color w:val="auto"/>
                <w:sz w:val="24"/>
                <w:highlight w:val="none"/>
              </w:rPr>
              <w:t>ΔL</w:t>
            </w:r>
            <w:r>
              <w:rPr>
                <w:rFonts w:hint="default" w:ascii="Times New Roman" w:hAnsi="Times New Roman" w:eastAsia="宋体" w:cs="Times New Roman"/>
                <w:i/>
                <w:iCs/>
                <w:color w:val="auto"/>
                <w:sz w:val="24"/>
                <w:highlight w:val="none"/>
                <w:vertAlign w:val="subscript"/>
              </w:rPr>
              <w:t>oct</w:t>
            </w:r>
            <w:r>
              <w:rPr>
                <w:rFonts w:hint="default" w:ascii="Times New Roman" w:hAnsi="Times New Roman" w:eastAsia="宋体" w:cs="Times New Roman"/>
                <w:color w:val="auto"/>
                <w:sz w:val="24"/>
                <w:highlight w:val="none"/>
              </w:rPr>
              <w:t>——各种因素引起的衰减量（包括声屏障、遮挡物、空气吸收、地面效应等引起的衰减量，其计算方法详见“导则”正文）。</w:t>
            </w:r>
          </w:p>
          <w:p w14:paraId="5089EE8C">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如果已知声源的倍频带声功率级</w:t>
            </w: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i/>
                <w:iCs/>
                <w:color w:val="auto"/>
                <w:sz w:val="24"/>
                <w:highlight w:val="none"/>
                <w:vertAlign w:val="subscript"/>
              </w:rPr>
              <w:t>w oct</w:t>
            </w:r>
            <w:r>
              <w:rPr>
                <w:rFonts w:hint="default" w:ascii="Times New Roman" w:hAnsi="Times New Roman" w:eastAsia="宋体" w:cs="Times New Roman"/>
                <w:color w:val="auto"/>
                <w:sz w:val="24"/>
                <w:highlight w:val="none"/>
              </w:rPr>
              <w:t>，且声源可看作是位于地面上的，则</w:t>
            </w:r>
          </w:p>
          <w:p w14:paraId="03D7E019">
            <w:pPr>
              <w:pageBreakBefore w:val="0"/>
              <w:overflowPunct/>
              <w:topLinePunct w:val="0"/>
              <w:autoSpaceDE w:val="0"/>
              <w:autoSpaceDN w:val="0"/>
              <w:bidi w:val="0"/>
              <w:adjustRightInd/>
              <w:snapToGrid/>
              <w:spacing w:line="360" w:lineRule="auto"/>
              <w:jc w:val="center"/>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kern w:val="0"/>
                <w:position w:val="-14"/>
                <w:sz w:val="24"/>
                <w:highlight w:val="none"/>
              </w:rPr>
              <w:drawing>
                <wp:inline distT="0" distB="0" distL="114300" distR="114300">
                  <wp:extent cx="1795780" cy="230505"/>
                  <wp:effectExtent l="0" t="0" r="254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1"/>
                          <a:stretch>
                            <a:fillRect/>
                          </a:stretch>
                        </pic:blipFill>
                        <pic:spPr>
                          <a:xfrm>
                            <a:off x="0" y="0"/>
                            <a:ext cx="1795780" cy="230505"/>
                          </a:xfrm>
                          <a:prstGeom prst="rect">
                            <a:avLst/>
                          </a:prstGeom>
                          <a:noFill/>
                          <a:ln>
                            <a:noFill/>
                          </a:ln>
                        </pic:spPr>
                      </pic:pic>
                    </a:graphicData>
                  </a:graphic>
                </wp:inline>
              </w:drawing>
            </w:r>
          </w:p>
          <w:p w14:paraId="3C678892">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 由各倍频带声压级合成计算出该声源产生的声级</w:t>
            </w: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i/>
                <w:iCs/>
                <w:color w:val="auto"/>
                <w:sz w:val="24"/>
                <w:highlight w:val="none"/>
                <w:vertAlign w:val="subscript"/>
              </w:rPr>
              <w:t>A</w:t>
            </w:r>
            <w:r>
              <w:rPr>
                <w:rFonts w:hint="default" w:ascii="Times New Roman" w:hAnsi="Times New Roman" w:eastAsia="宋体" w:cs="Times New Roman"/>
                <w:color w:val="auto"/>
                <w:sz w:val="24"/>
                <w:highlight w:val="none"/>
              </w:rPr>
              <w:t>。</w:t>
            </w:r>
          </w:p>
          <w:p w14:paraId="1AA0E86D">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（2）室内声源</w:t>
            </w:r>
          </w:p>
          <w:p w14:paraId="66820CEB">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 首先计算出某个室内靠近围护结构处的倍频带声压级：</w:t>
            </w:r>
          </w:p>
          <w:p w14:paraId="51CCE167">
            <w:pPr>
              <w:pageBreakBefore w:val="0"/>
              <w:overflowPunct/>
              <w:topLinePunct w:val="0"/>
              <w:bidi w:val="0"/>
              <w:adjustRightInd/>
              <w:snapToGrid/>
              <w:spacing w:line="360" w:lineRule="auto"/>
              <w:jc w:val="center"/>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drawing>
                <wp:inline distT="0" distB="0" distL="114300" distR="114300">
                  <wp:extent cx="2017395" cy="485775"/>
                  <wp:effectExtent l="0" t="0" r="9525" b="19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2"/>
                          <a:stretch>
                            <a:fillRect/>
                          </a:stretch>
                        </pic:blipFill>
                        <pic:spPr>
                          <a:xfrm>
                            <a:off x="0" y="0"/>
                            <a:ext cx="2017395" cy="485775"/>
                          </a:xfrm>
                          <a:prstGeom prst="rect">
                            <a:avLst/>
                          </a:prstGeom>
                          <a:noFill/>
                          <a:ln>
                            <a:noFill/>
                          </a:ln>
                        </pic:spPr>
                      </pic:pic>
                    </a:graphicData>
                  </a:graphic>
                </wp:inline>
              </w:drawing>
            </w:r>
          </w:p>
          <w:p w14:paraId="14BD9E7C">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t>式中：</w:t>
            </w:r>
            <w:r>
              <w:rPr>
                <w:rFonts w:hint="default" w:ascii="Times New Roman" w:hAnsi="Times New Roman" w:eastAsia="宋体" w:cs="Times New Roman"/>
                <w:i/>
                <w:iCs/>
                <w:color w:val="auto"/>
                <w:sz w:val="24"/>
                <w:highlight w:val="none"/>
                <w:lang w:val="zh-CN"/>
              </w:rPr>
              <w:t>L</w:t>
            </w:r>
            <w:r>
              <w:rPr>
                <w:rFonts w:hint="default" w:ascii="Times New Roman" w:hAnsi="Times New Roman" w:eastAsia="宋体" w:cs="Times New Roman"/>
                <w:i/>
                <w:iCs/>
                <w:color w:val="auto"/>
                <w:sz w:val="24"/>
                <w:highlight w:val="none"/>
                <w:vertAlign w:val="subscript"/>
              </w:rPr>
              <w:t>oct,1</w:t>
            </w:r>
            <w:r>
              <w:rPr>
                <w:rFonts w:hint="default" w:ascii="Times New Roman" w:hAnsi="Times New Roman" w:eastAsia="宋体" w:cs="Times New Roman"/>
                <w:color w:val="auto"/>
                <w:sz w:val="24"/>
                <w:highlight w:val="none"/>
              </w:rPr>
              <w:t>为某个室内声源在靠近围护结构处产生的倍频带声压级，</w:t>
            </w: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i/>
                <w:iCs/>
                <w:color w:val="auto"/>
                <w:sz w:val="24"/>
                <w:highlight w:val="none"/>
                <w:vertAlign w:val="subscript"/>
              </w:rPr>
              <w:t>w oct</w:t>
            </w:r>
            <w:r>
              <w:rPr>
                <w:rFonts w:hint="default" w:ascii="Times New Roman" w:hAnsi="Times New Roman" w:eastAsia="宋体" w:cs="Times New Roman"/>
                <w:color w:val="auto"/>
                <w:sz w:val="24"/>
                <w:highlight w:val="none"/>
              </w:rPr>
              <w:t>为某个声源的倍频带声功率级，r</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为室内某个声源与靠近围护结构处的距离，R为房间常数，Q为方向因子。</w:t>
            </w:r>
          </w:p>
          <w:p w14:paraId="6509CC9B">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 计算出所有室内声源在靠近围护结构处产生的总倍频带声压级：</w:t>
            </w:r>
          </w:p>
          <w:p w14:paraId="208BC151">
            <w:pPr>
              <w:pageBreakBefore w:val="0"/>
              <w:overflowPunct/>
              <w:topLinePunct w:val="0"/>
              <w:bidi w:val="0"/>
              <w:adjustRightInd/>
              <w:snapToGrid/>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1837690" cy="461010"/>
                  <wp:effectExtent l="0" t="0" r="6350" b="1143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tretch>
                            <a:fillRect/>
                          </a:stretch>
                        </pic:blipFill>
                        <pic:spPr>
                          <a:xfrm>
                            <a:off x="0" y="0"/>
                            <a:ext cx="1837690" cy="461010"/>
                          </a:xfrm>
                          <a:prstGeom prst="rect">
                            <a:avLst/>
                          </a:prstGeom>
                          <a:noFill/>
                          <a:ln>
                            <a:noFill/>
                          </a:ln>
                        </pic:spPr>
                      </pic:pic>
                    </a:graphicData>
                  </a:graphic>
                </wp:inline>
              </w:drawing>
            </w:r>
          </w:p>
          <w:p w14:paraId="42E74168">
            <w:pPr>
              <w:pageBreakBefore w:val="0"/>
              <w:overflowPunct/>
              <w:topLinePunct w:val="0"/>
              <w:autoSpaceDE w:val="0"/>
              <w:autoSpaceDN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 计算出室外靠近围护结构处的声压级：</w:t>
            </w:r>
          </w:p>
          <w:p w14:paraId="47067AA5">
            <w:pPr>
              <w:pageBreakBefore w:val="0"/>
              <w:overflowPunct/>
              <w:topLinePunct w:val="0"/>
              <w:autoSpaceDE w:val="0"/>
              <w:autoSpaceDN w:val="0"/>
              <w:bidi w:val="0"/>
              <w:adjustRightInd/>
              <w:snapToGrid/>
              <w:spacing w:line="360" w:lineRule="auto"/>
              <w:ind w:firstLine="360" w:firstLineChars="20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18"/>
                <w:szCs w:val="18"/>
                <w:highlight w:val="none"/>
              </w:rPr>
              <w:drawing>
                <wp:inline distT="0" distB="0" distL="114300" distR="114300">
                  <wp:extent cx="1952625" cy="230505"/>
                  <wp:effectExtent l="0" t="0" r="13335" b="13970"/>
                  <wp:docPr id="2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6"/>
                          <pic:cNvPicPr>
                            <a:picLocks noChangeAspect="1"/>
                          </pic:cNvPicPr>
                        </pic:nvPicPr>
                        <pic:blipFill>
                          <a:blip r:embed="rId24"/>
                          <a:stretch>
                            <a:fillRect/>
                          </a:stretch>
                        </pic:blipFill>
                        <pic:spPr>
                          <a:xfrm>
                            <a:off x="0" y="0"/>
                            <a:ext cx="1952625" cy="230505"/>
                          </a:xfrm>
                          <a:prstGeom prst="rect">
                            <a:avLst/>
                          </a:prstGeom>
                          <a:noFill/>
                          <a:ln>
                            <a:noFill/>
                          </a:ln>
                        </pic:spPr>
                      </pic:pic>
                    </a:graphicData>
                  </a:graphic>
                </wp:inline>
              </w:drawing>
            </w:r>
          </w:p>
          <w:p w14:paraId="3D298F9D">
            <w:pPr>
              <w:pageBreakBefore w:val="0"/>
              <w:overflowPunct/>
              <w:topLinePunct w:val="0"/>
              <w:autoSpaceDE w:val="0"/>
              <w:autoSpaceDN w:val="0"/>
              <w:bidi w:val="0"/>
              <w:adjustRightInd/>
              <w:snapToGrid/>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 将室外声级</w:t>
            </w: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i/>
                <w:iCs/>
                <w:color w:val="auto"/>
                <w:sz w:val="24"/>
                <w:highlight w:val="none"/>
                <w:vertAlign w:val="subscript"/>
              </w:rPr>
              <w:t>oct,2</w:t>
            </w:r>
            <w:r>
              <w:rPr>
                <w:rFonts w:hint="default" w:ascii="Times New Roman" w:hAnsi="Times New Roman" w:eastAsia="宋体" w:cs="Times New Roman"/>
                <w:i/>
                <w:iCs/>
                <w:color w:val="auto"/>
                <w:sz w:val="24"/>
                <w:highlight w:val="none"/>
              </w:rPr>
              <w:t>(T)</w:t>
            </w:r>
            <w:r>
              <w:rPr>
                <w:rFonts w:hint="default" w:ascii="Times New Roman" w:hAnsi="Times New Roman" w:eastAsia="宋体" w:cs="Times New Roman"/>
                <w:color w:val="auto"/>
                <w:sz w:val="24"/>
                <w:highlight w:val="none"/>
              </w:rPr>
              <w:t>和透声面积换算成等效的室外声源，计算出等效声源第i个倍频带的声功率级</w:t>
            </w: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i/>
                <w:iCs/>
                <w:color w:val="auto"/>
                <w:sz w:val="24"/>
                <w:highlight w:val="none"/>
                <w:vertAlign w:val="subscript"/>
              </w:rPr>
              <w:t>w oct</w:t>
            </w:r>
            <w:r>
              <w:rPr>
                <w:rFonts w:hint="default" w:ascii="Times New Roman" w:hAnsi="Times New Roman" w:eastAsia="宋体" w:cs="Times New Roman"/>
                <w:color w:val="auto"/>
                <w:sz w:val="24"/>
                <w:highlight w:val="none"/>
              </w:rPr>
              <w:t>：</w:t>
            </w:r>
          </w:p>
          <w:p w14:paraId="31D15299">
            <w:pPr>
              <w:pageBreakBefore w:val="0"/>
              <w:overflowPunct/>
              <w:topLinePunct w:val="0"/>
              <w:bidi w:val="0"/>
              <w:adjustRightInd/>
              <w:snapToGrid/>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1929765" cy="273685"/>
                  <wp:effectExtent l="0" t="0" r="5715"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5"/>
                          <a:stretch>
                            <a:fillRect/>
                          </a:stretch>
                        </pic:blipFill>
                        <pic:spPr>
                          <a:xfrm>
                            <a:off x="0" y="0"/>
                            <a:ext cx="1929765" cy="273685"/>
                          </a:xfrm>
                          <a:prstGeom prst="rect">
                            <a:avLst/>
                          </a:prstGeom>
                          <a:noFill/>
                          <a:ln>
                            <a:noFill/>
                          </a:ln>
                        </pic:spPr>
                      </pic:pic>
                    </a:graphicData>
                  </a:graphic>
                </wp:inline>
              </w:drawing>
            </w:r>
          </w:p>
          <w:p w14:paraId="09D53939">
            <w:pPr>
              <w:pageBreakBefore w:val="0"/>
              <w:overflowPunct/>
              <w:topLinePunct w:val="0"/>
              <w:autoSpaceDE w:val="0"/>
              <w:autoSpaceDN w:val="0"/>
              <w:bidi w:val="0"/>
              <w:adjustRightInd/>
              <w:snapToGrid/>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式中：S为透声面积，m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w:t>
            </w:r>
          </w:p>
          <w:p w14:paraId="226744BF">
            <w:pPr>
              <w:pageBreakBefore w:val="0"/>
              <w:overflowPunct/>
              <w:topLinePunct w:val="0"/>
              <w:autoSpaceDE w:val="0"/>
              <w:autoSpaceDN w:val="0"/>
              <w:bidi w:val="0"/>
              <w:adjustRightInd/>
              <w:snapToGrid/>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 等效室外声源的位置为围护结构的位置，其倍频带声功率级为</w:t>
            </w: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i/>
                <w:iCs/>
                <w:color w:val="auto"/>
                <w:sz w:val="24"/>
                <w:highlight w:val="none"/>
                <w:vertAlign w:val="subscript"/>
              </w:rPr>
              <w:t>w oct</w:t>
            </w:r>
            <w:r>
              <w:rPr>
                <w:rFonts w:hint="default" w:ascii="Times New Roman" w:hAnsi="Times New Roman" w:eastAsia="宋体" w:cs="Times New Roman"/>
                <w:color w:val="auto"/>
                <w:sz w:val="24"/>
                <w:highlight w:val="none"/>
              </w:rPr>
              <w:t>，由此按室外声源方法计算等效室外声源在预测点产生的声级。</w:t>
            </w:r>
          </w:p>
          <w:p w14:paraId="66E863F2">
            <w:pPr>
              <w:pageBreakBefore w:val="0"/>
              <w:overflowPunct/>
              <w:topLinePunct w:val="0"/>
              <w:autoSpaceDE w:val="0"/>
              <w:autoSpaceDN w:val="0"/>
              <w:bidi w:val="0"/>
              <w:adjustRightInd/>
              <w:snapToGrid/>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（3）计算总声压级</w:t>
            </w:r>
          </w:p>
          <w:p w14:paraId="67172E79">
            <w:pPr>
              <w:pageBreakBefore w:val="0"/>
              <w:overflowPunct/>
              <w:topLinePunct w:val="0"/>
              <w:autoSpaceDE w:val="0"/>
              <w:autoSpaceDN w:val="0"/>
              <w:bidi w:val="0"/>
              <w:adjustRightInd/>
              <w:snapToGrid/>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设第i个室外声源在预测点产生的A声级为</w:t>
            </w: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i/>
                <w:iCs/>
                <w:color w:val="auto"/>
                <w:sz w:val="24"/>
                <w:highlight w:val="none"/>
                <w:vertAlign w:val="subscript"/>
              </w:rPr>
              <w:t>A in,i</w:t>
            </w:r>
            <w:r>
              <w:rPr>
                <w:rFonts w:hint="default" w:ascii="Times New Roman" w:hAnsi="Times New Roman" w:eastAsia="宋体" w:cs="Times New Roman"/>
                <w:color w:val="auto"/>
                <w:sz w:val="24"/>
                <w:highlight w:val="none"/>
              </w:rPr>
              <w:t>，在T时间内该声源工作时间为</w:t>
            </w:r>
            <w:r>
              <w:rPr>
                <w:rFonts w:hint="default" w:ascii="Times New Roman" w:hAnsi="Times New Roman" w:eastAsia="宋体" w:cs="Times New Roman"/>
                <w:i/>
                <w:iCs/>
                <w:color w:val="auto"/>
                <w:sz w:val="24"/>
                <w:highlight w:val="none"/>
              </w:rPr>
              <w:t>t</w:t>
            </w:r>
            <w:r>
              <w:rPr>
                <w:rFonts w:hint="default" w:ascii="Times New Roman" w:hAnsi="Times New Roman" w:eastAsia="宋体" w:cs="Times New Roman"/>
                <w:i/>
                <w:iCs/>
                <w:color w:val="auto"/>
                <w:sz w:val="24"/>
                <w:highlight w:val="none"/>
                <w:vertAlign w:val="subscript"/>
              </w:rPr>
              <w:t>in,i</w:t>
            </w:r>
            <w:r>
              <w:rPr>
                <w:rFonts w:hint="default" w:ascii="Times New Roman" w:hAnsi="Times New Roman" w:eastAsia="宋体" w:cs="Times New Roman"/>
                <w:color w:val="auto"/>
                <w:sz w:val="24"/>
                <w:highlight w:val="none"/>
              </w:rPr>
              <w:t>；第j个等效室外声源在预测点产生的A声级为</w:t>
            </w:r>
            <w:r>
              <w:rPr>
                <w:rFonts w:hint="default" w:ascii="Times New Roman" w:hAnsi="Times New Roman" w:eastAsia="宋体" w:cs="Times New Roman"/>
                <w:i/>
                <w:iCs/>
                <w:color w:val="auto"/>
                <w:sz w:val="24"/>
                <w:highlight w:val="none"/>
              </w:rPr>
              <w:t>L</w:t>
            </w:r>
            <w:r>
              <w:rPr>
                <w:rFonts w:hint="default" w:ascii="Times New Roman" w:hAnsi="Times New Roman" w:eastAsia="宋体" w:cs="Times New Roman"/>
                <w:i/>
                <w:iCs/>
                <w:color w:val="auto"/>
                <w:sz w:val="24"/>
                <w:highlight w:val="none"/>
                <w:vertAlign w:val="subscript"/>
              </w:rPr>
              <w:t>A out,j</w:t>
            </w:r>
            <w:r>
              <w:rPr>
                <w:rFonts w:hint="default" w:ascii="Times New Roman" w:hAnsi="Times New Roman" w:eastAsia="宋体" w:cs="Times New Roman"/>
                <w:color w:val="auto"/>
                <w:sz w:val="24"/>
                <w:highlight w:val="none"/>
              </w:rPr>
              <w:t>，在T时间内该声源工作时间为</w:t>
            </w:r>
            <w:r>
              <w:rPr>
                <w:rFonts w:hint="default" w:ascii="Times New Roman" w:hAnsi="Times New Roman" w:eastAsia="宋体" w:cs="Times New Roman"/>
                <w:i/>
                <w:iCs/>
                <w:color w:val="auto"/>
                <w:sz w:val="24"/>
                <w:highlight w:val="none"/>
              </w:rPr>
              <w:t>t</w:t>
            </w:r>
            <w:r>
              <w:rPr>
                <w:rFonts w:hint="default" w:ascii="Times New Roman" w:hAnsi="Times New Roman" w:eastAsia="宋体" w:cs="Times New Roman"/>
                <w:i/>
                <w:iCs/>
                <w:color w:val="auto"/>
                <w:sz w:val="24"/>
                <w:highlight w:val="none"/>
                <w:vertAlign w:val="subscript"/>
              </w:rPr>
              <w:t>out,j</w:t>
            </w:r>
            <w:r>
              <w:rPr>
                <w:rFonts w:hint="default" w:ascii="Times New Roman" w:hAnsi="Times New Roman" w:eastAsia="宋体" w:cs="Times New Roman"/>
                <w:color w:val="auto"/>
                <w:sz w:val="24"/>
                <w:highlight w:val="none"/>
              </w:rPr>
              <w:t>，则预测点的总等效声级为：</w:t>
            </w:r>
          </w:p>
          <w:p w14:paraId="152DD619">
            <w:pPr>
              <w:pageBreakBefore w:val="0"/>
              <w:overflowPunct/>
              <w:topLinePunct w:val="0"/>
              <w:bidi w:val="0"/>
              <w:adjustRightInd/>
              <w:snapToGrid/>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3409315" cy="485775"/>
                  <wp:effectExtent l="0" t="0" r="4445" b="190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6"/>
                          <a:stretch>
                            <a:fillRect/>
                          </a:stretch>
                        </pic:blipFill>
                        <pic:spPr>
                          <a:xfrm>
                            <a:off x="0" y="0"/>
                            <a:ext cx="3409315" cy="485775"/>
                          </a:xfrm>
                          <a:prstGeom prst="rect">
                            <a:avLst/>
                          </a:prstGeom>
                          <a:noFill/>
                          <a:ln>
                            <a:noFill/>
                          </a:ln>
                        </pic:spPr>
                      </pic:pic>
                    </a:graphicData>
                  </a:graphic>
                </wp:inline>
              </w:drawing>
            </w:r>
          </w:p>
          <w:p w14:paraId="3EB82C32">
            <w:pPr>
              <w:pageBreakBefore w:val="0"/>
              <w:widowControl/>
              <w:overflowPunct/>
              <w:topLinePunct w:val="0"/>
              <w:bidi w:val="0"/>
              <w:adjustRightInd/>
              <w:snapToGrid/>
              <w:spacing w:line="360" w:lineRule="auto"/>
              <w:jc w:val="left"/>
              <w:rPr>
                <w:rFonts w:hint="default" w:ascii="Times New Roman" w:hAnsi="Times New Roman" w:eastAsia="宋体" w:cs="Times New Roman"/>
                <w:bCs/>
                <w:color w:val="auto"/>
                <w:spacing w:val="8"/>
                <w:sz w:val="24"/>
                <w:highlight w:val="none"/>
              </w:rPr>
            </w:pPr>
            <w:r>
              <w:rPr>
                <w:rFonts w:hint="default" w:ascii="Times New Roman" w:hAnsi="Times New Roman" w:eastAsia="宋体" w:cs="Times New Roman"/>
                <w:color w:val="auto"/>
                <w:sz w:val="24"/>
                <w:highlight w:val="none"/>
              </w:rPr>
              <w:t>式中：T为计算等效声级的时间，N为室外声源个数，M为等效室外声源个数。</w:t>
            </w:r>
          </w:p>
          <w:p w14:paraId="0011C7C7">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（4）预测结果</w:t>
            </w:r>
          </w:p>
          <w:p w14:paraId="3FD45D96">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项目噪声预测结果见下表。</w:t>
            </w:r>
          </w:p>
          <w:p w14:paraId="553CD30F">
            <w:pPr>
              <w:pageBreakBefore w:val="0"/>
              <w:overflowPunct/>
              <w:topLinePunct w:val="0"/>
              <w:bidi w:val="0"/>
              <w:adjustRightInd/>
              <w:snapToGrid/>
              <w:spacing w:line="24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噪声预测结果  单位：dB（A）</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313"/>
              <w:gridCol w:w="1875"/>
              <w:gridCol w:w="1879"/>
              <w:gridCol w:w="1574"/>
            </w:tblGrid>
            <w:tr w14:paraId="0ED4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97" w:type="pct"/>
                  <w:vMerge w:val="restart"/>
                  <w:vAlign w:val="center"/>
                </w:tcPr>
                <w:p w14:paraId="1012F532">
                  <w:pPr>
                    <w:pageBreakBefore w:val="0"/>
                    <w:overflowPunct/>
                    <w:topLinePunct w:val="0"/>
                    <w:bidi w:val="0"/>
                    <w:adjustRightInd/>
                    <w:snapToGrid/>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预测方位</w:t>
                  </w:r>
                </w:p>
              </w:tc>
              <w:tc>
                <w:tcPr>
                  <w:tcW w:w="811" w:type="pct"/>
                  <w:vMerge w:val="restart"/>
                  <w:vAlign w:val="center"/>
                </w:tcPr>
                <w:p w14:paraId="4255455F">
                  <w:pPr>
                    <w:pageBreakBefore w:val="0"/>
                    <w:overflowPunct/>
                    <w:topLinePunct w:val="0"/>
                    <w:bidi w:val="0"/>
                    <w:adjustRightInd/>
                    <w:snapToGrid/>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时段</w:t>
                  </w:r>
                </w:p>
              </w:tc>
              <w:tc>
                <w:tcPr>
                  <w:tcW w:w="1158" w:type="pct"/>
                  <w:vMerge w:val="restart"/>
                  <w:vAlign w:val="center"/>
                </w:tcPr>
                <w:p w14:paraId="5C532EEB">
                  <w:pPr>
                    <w:pageBreakBefore w:val="0"/>
                    <w:overflowPunct/>
                    <w:topLinePunct w:val="0"/>
                    <w:bidi w:val="0"/>
                    <w:adjustRightInd/>
                    <w:snapToGrid/>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贡献值（dB(A)）</w:t>
                  </w:r>
                </w:p>
              </w:tc>
              <w:tc>
                <w:tcPr>
                  <w:tcW w:w="1160" w:type="pct"/>
                  <w:vMerge w:val="restart"/>
                  <w:vAlign w:val="center"/>
                </w:tcPr>
                <w:p w14:paraId="7E3BCC4D">
                  <w:pPr>
                    <w:pageBreakBefore w:val="0"/>
                    <w:overflowPunct/>
                    <w:topLinePunct w:val="0"/>
                    <w:bidi w:val="0"/>
                    <w:adjustRightInd/>
                    <w:snapToGrid/>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标准限值（dB(A)）</w:t>
                  </w:r>
                </w:p>
              </w:tc>
              <w:tc>
                <w:tcPr>
                  <w:tcW w:w="972" w:type="pct"/>
                  <w:vMerge w:val="restart"/>
                  <w:vAlign w:val="center"/>
                </w:tcPr>
                <w:p w14:paraId="5719AB7E">
                  <w:pPr>
                    <w:pageBreakBefore w:val="0"/>
                    <w:overflowPunct/>
                    <w:topLinePunct w:val="0"/>
                    <w:bidi w:val="0"/>
                    <w:adjustRightInd/>
                    <w:snapToGrid/>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达标情况</w:t>
                  </w:r>
                </w:p>
              </w:tc>
            </w:tr>
            <w:tr w14:paraId="7C58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7" w:type="pct"/>
                  <w:vMerge w:val="continue"/>
                  <w:shd w:val="clear" w:color="auto" w:fill="FFFFFF"/>
                  <w:vAlign w:val="center"/>
                </w:tcPr>
                <w:p w14:paraId="1AC75D30">
                  <w:pPr>
                    <w:pageBreakBefore w:val="0"/>
                    <w:overflowPunct/>
                    <w:topLinePunct w:val="0"/>
                    <w:bidi w:val="0"/>
                    <w:adjustRightInd/>
                    <w:snapToGrid/>
                    <w:jc w:val="center"/>
                    <w:rPr>
                      <w:rFonts w:hint="default" w:ascii="Times New Roman" w:hAnsi="Times New Roman" w:cs="Times New Roman"/>
                      <w:color w:val="auto"/>
                      <w:szCs w:val="21"/>
                      <w:highlight w:val="none"/>
                    </w:rPr>
                  </w:pPr>
                </w:p>
              </w:tc>
              <w:tc>
                <w:tcPr>
                  <w:tcW w:w="811" w:type="pct"/>
                  <w:vMerge w:val="continue"/>
                  <w:shd w:val="clear" w:color="auto" w:fill="FFFFFF"/>
                  <w:vAlign w:val="center"/>
                </w:tcPr>
                <w:p w14:paraId="6D4EB4A8">
                  <w:pPr>
                    <w:pageBreakBefore w:val="0"/>
                    <w:overflowPunct/>
                    <w:topLinePunct w:val="0"/>
                    <w:bidi w:val="0"/>
                    <w:adjustRightInd/>
                    <w:snapToGrid/>
                    <w:jc w:val="center"/>
                    <w:rPr>
                      <w:rFonts w:hint="default" w:ascii="Times New Roman" w:hAnsi="Times New Roman" w:cs="Times New Roman"/>
                      <w:color w:val="auto"/>
                      <w:szCs w:val="21"/>
                      <w:highlight w:val="none"/>
                    </w:rPr>
                  </w:pPr>
                </w:p>
              </w:tc>
              <w:tc>
                <w:tcPr>
                  <w:tcW w:w="1158" w:type="pct"/>
                  <w:vMerge w:val="continue"/>
                  <w:shd w:val="clear" w:color="auto" w:fill="FFFFFF"/>
                  <w:vAlign w:val="center"/>
                </w:tcPr>
                <w:p w14:paraId="7F757009">
                  <w:pPr>
                    <w:pageBreakBefore w:val="0"/>
                    <w:overflowPunct/>
                    <w:topLinePunct w:val="0"/>
                    <w:bidi w:val="0"/>
                    <w:adjustRightInd/>
                    <w:snapToGrid/>
                    <w:jc w:val="center"/>
                    <w:rPr>
                      <w:rFonts w:hint="default" w:ascii="Times New Roman" w:hAnsi="Times New Roman" w:cs="Times New Roman"/>
                      <w:color w:val="auto"/>
                      <w:szCs w:val="21"/>
                      <w:highlight w:val="none"/>
                    </w:rPr>
                  </w:pPr>
                </w:p>
              </w:tc>
              <w:tc>
                <w:tcPr>
                  <w:tcW w:w="1160" w:type="pct"/>
                  <w:vMerge w:val="continue"/>
                  <w:shd w:val="clear" w:color="auto" w:fill="FFFFFF"/>
                  <w:vAlign w:val="center"/>
                </w:tcPr>
                <w:p w14:paraId="575815C2">
                  <w:pPr>
                    <w:pageBreakBefore w:val="0"/>
                    <w:overflowPunct/>
                    <w:topLinePunct w:val="0"/>
                    <w:bidi w:val="0"/>
                    <w:adjustRightInd/>
                    <w:snapToGrid/>
                    <w:jc w:val="center"/>
                    <w:rPr>
                      <w:rFonts w:hint="default" w:ascii="Times New Roman" w:hAnsi="Times New Roman" w:cs="Times New Roman"/>
                      <w:color w:val="auto"/>
                      <w:szCs w:val="21"/>
                      <w:highlight w:val="none"/>
                    </w:rPr>
                  </w:pPr>
                </w:p>
              </w:tc>
              <w:tc>
                <w:tcPr>
                  <w:tcW w:w="972" w:type="pct"/>
                  <w:vMerge w:val="continue"/>
                  <w:shd w:val="clear" w:color="auto" w:fill="FFFFFF"/>
                  <w:vAlign w:val="center"/>
                </w:tcPr>
                <w:p w14:paraId="6947A37E">
                  <w:pPr>
                    <w:pageBreakBefore w:val="0"/>
                    <w:overflowPunct/>
                    <w:topLinePunct w:val="0"/>
                    <w:bidi w:val="0"/>
                    <w:adjustRightInd/>
                    <w:snapToGrid/>
                    <w:jc w:val="center"/>
                    <w:rPr>
                      <w:rFonts w:hint="default" w:ascii="Times New Roman" w:hAnsi="Times New Roman" w:cs="Times New Roman"/>
                      <w:color w:val="auto"/>
                      <w:szCs w:val="21"/>
                      <w:highlight w:val="none"/>
                    </w:rPr>
                  </w:pPr>
                </w:p>
              </w:tc>
            </w:tr>
            <w:tr w14:paraId="03AE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97" w:type="pct"/>
                  <w:shd w:val="clear" w:color="auto" w:fill="FFFFFF"/>
                  <w:vAlign w:val="center"/>
                </w:tcPr>
                <w:p w14:paraId="5830BE1B">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东侧</w:t>
                  </w:r>
                </w:p>
              </w:tc>
              <w:tc>
                <w:tcPr>
                  <w:tcW w:w="811" w:type="pct"/>
                  <w:shd w:val="clear" w:color="auto" w:fill="FFFFFF"/>
                  <w:vAlign w:val="center"/>
                </w:tcPr>
                <w:p w14:paraId="60FA0246">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158" w:type="pct"/>
                  <w:shd w:val="clear" w:color="auto" w:fill="FFFFFF"/>
                  <w:vAlign w:val="center"/>
                </w:tcPr>
                <w:p w14:paraId="723629EB">
                  <w:pPr>
                    <w:pageBreakBefore w:val="0"/>
                    <w:overflowPunct/>
                    <w:topLinePunct w:val="0"/>
                    <w:bidi w:val="0"/>
                    <w:adjustRightInd/>
                    <w:snapToGrid/>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5</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Arial" w:cs="Times New Roman"/>
                      <w:color w:val="auto"/>
                      <w:sz w:val="21"/>
                      <w:szCs w:val="21"/>
                      <w:highlight w:val="none"/>
                    </w:rPr>
                    <w:t>.8</w:t>
                  </w:r>
                </w:p>
              </w:tc>
              <w:tc>
                <w:tcPr>
                  <w:tcW w:w="1160" w:type="pct"/>
                  <w:shd w:val="clear" w:color="auto" w:fill="FFFFFF"/>
                  <w:vAlign w:val="center"/>
                </w:tcPr>
                <w:p w14:paraId="22F30B31">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65</w:t>
                  </w:r>
                </w:p>
              </w:tc>
              <w:tc>
                <w:tcPr>
                  <w:tcW w:w="972" w:type="pct"/>
                  <w:shd w:val="clear" w:color="auto" w:fill="FFFFFF"/>
                  <w:vAlign w:val="center"/>
                </w:tcPr>
                <w:p w14:paraId="61012327">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C06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97" w:type="pct"/>
                  <w:shd w:val="clear" w:color="auto" w:fill="FFFFFF"/>
                  <w:vAlign w:val="center"/>
                </w:tcPr>
                <w:p w14:paraId="55865D52">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南侧</w:t>
                  </w:r>
                </w:p>
              </w:tc>
              <w:tc>
                <w:tcPr>
                  <w:tcW w:w="811" w:type="pct"/>
                  <w:shd w:val="clear" w:color="auto" w:fill="FFFFFF"/>
                  <w:vAlign w:val="center"/>
                </w:tcPr>
                <w:p w14:paraId="1EB6EA4F">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158" w:type="pct"/>
                  <w:shd w:val="clear" w:color="auto" w:fill="FFFFFF"/>
                  <w:vAlign w:val="center"/>
                </w:tcPr>
                <w:p w14:paraId="6A47922B">
                  <w:pPr>
                    <w:pageBreakBefore w:val="0"/>
                    <w:overflowPunct/>
                    <w:topLinePunct w:val="0"/>
                    <w:bidi w:val="0"/>
                    <w:adjustRightInd/>
                    <w:snapToGrid/>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5</w:t>
                  </w: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Arial" w:cs="Times New Roman"/>
                      <w:color w:val="auto"/>
                      <w:sz w:val="21"/>
                      <w:szCs w:val="21"/>
                      <w:highlight w:val="none"/>
                    </w:rPr>
                    <w:t>.9</w:t>
                  </w:r>
                </w:p>
              </w:tc>
              <w:tc>
                <w:tcPr>
                  <w:tcW w:w="1160" w:type="pct"/>
                  <w:shd w:val="clear" w:color="auto" w:fill="FFFFFF"/>
                  <w:vAlign w:val="center"/>
                </w:tcPr>
                <w:p w14:paraId="56BF61AC">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65</w:t>
                  </w:r>
                </w:p>
              </w:tc>
              <w:tc>
                <w:tcPr>
                  <w:tcW w:w="972" w:type="pct"/>
                  <w:shd w:val="clear" w:color="auto" w:fill="FFFFFF"/>
                  <w:vAlign w:val="center"/>
                </w:tcPr>
                <w:p w14:paraId="0712EC76">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648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08" w:hRule="exact"/>
                <w:jc w:val="center"/>
              </w:trPr>
              <w:tc>
                <w:tcPr>
                  <w:tcW w:w="897" w:type="pct"/>
                  <w:shd w:val="clear" w:color="auto" w:fill="FFFFFF"/>
                  <w:vAlign w:val="center"/>
                </w:tcPr>
                <w:p w14:paraId="148727F5">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西侧</w:t>
                  </w:r>
                </w:p>
              </w:tc>
              <w:tc>
                <w:tcPr>
                  <w:tcW w:w="811" w:type="pct"/>
                  <w:shd w:val="clear" w:color="auto" w:fill="FFFFFF"/>
                  <w:vAlign w:val="center"/>
                </w:tcPr>
                <w:p w14:paraId="2014AF42">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158" w:type="pct"/>
                  <w:shd w:val="clear" w:color="auto" w:fill="FFFFFF"/>
                  <w:vAlign w:val="center"/>
                </w:tcPr>
                <w:p w14:paraId="549434DE">
                  <w:pPr>
                    <w:pageBreakBefore w:val="0"/>
                    <w:overflowPunct/>
                    <w:topLinePunct w:val="0"/>
                    <w:bidi w:val="0"/>
                    <w:adjustRightInd/>
                    <w:snapToGrid/>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51</w:t>
                  </w:r>
                  <w:r>
                    <w:rPr>
                      <w:rFonts w:hint="default" w:ascii="Times New Roman" w:hAnsi="Times New Roman" w:eastAsia="Arial" w:cs="Times New Roman"/>
                      <w:color w:val="auto"/>
                      <w:sz w:val="21"/>
                      <w:szCs w:val="21"/>
                      <w:highlight w:val="none"/>
                    </w:rPr>
                    <w:t>.7</w:t>
                  </w:r>
                </w:p>
              </w:tc>
              <w:tc>
                <w:tcPr>
                  <w:tcW w:w="1160" w:type="pct"/>
                  <w:shd w:val="clear" w:color="auto" w:fill="FFFFFF"/>
                  <w:vAlign w:val="center"/>
                </w:tcPr>
                <w:p w14:paraId="54BD03D6">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65</w:t>
                  </w:r>
                </w:p>
              </w:tc>
              <w:tc>
                <w:tcPr>
                  <w:tcW w:w="972" w:type="pct"/>
                  <w:shd w:val="clear" w:color="auto" w:fill="FFFFFF"/>
                  <w:vAlign w:val="center"/>
                </w:tcPr>
                <w:p w14:paraId="724904C0">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907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97" w:type="pct"/>
                  <w:shd w:val="clear" w:color="auto" w:fill="FFFFFF"/>
                  <w:vAlign w:val="center"/>
                </w:tcPr>
                <w:p w14:paraId="4C3493C4">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北侧</w:t>
                  </w:r>
                </w:p>
              </w:tc>
              <w:tc>
                <w:tcPr>
                  <w:tcW w:w="811" w:type="pct"/>
                  <w:shd w:val="clear" w:color="auto" w:fill="FFFFFF"/>
                  <w:vAlign w:val="center"/>
                </w:tcPr>
                <w:p w14:paraId="1815A657">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158" w:type="pct"/>
                  <w:shd w:val="clear" w:color="auto" w:fill="FFFFFF"/>
                  <w:vAlign w:val="center"/>
                </w:tcPr>
                <w:p w14:paraId="119B0CCF">
                  <w:pPr>
                    <w:pageBreakBefore w:val="0"/>
                    <w:overflowPunct/>
                    <w:topLinePunct w:val="0"/>
                    <w:bidi w:val="0"/>
                    <w:adjustRightInd/>
                    <w:snapToGrid/>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r>
                    <w:rPr>
                      <w:rFonts w:hint="default" w:ascii="Times New Roman" w:hAnsi="Times New Roman" w:eastAsia="Arial"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w:t>
                  </w:r>
                </w:p>
              </w:tc>
              <w:tc>
                <w:tcPr>
                  <w:tcW w:w="1160" w:type="pct"/>
                  <w:shd w:val="clear" w:color="auto" w:fill="FFFFFF"/>
                  <w:vAlign w:val="center"/>
                </w:tcPr>
                <w:p w14:paraId="04471355">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65</w:t>
                  </w:r>
                </w:p>
              </w:tc>
              <w:tc>
                <w:tcPr>
                  <w:tcW w:w="972" w:type="pct"/>
                  <w:shd w:val="clear" w:color="auto" w:fill="FFFFFF"/>
                  <w:vAlign w:val="center"/>
                </w:tcPr>
                <w:p w14:paraId="35BD44D9">
                  <w:pPr>
                    <w:pageBreakBefore w:val="0"/>
                    <w:overflowPunct/>
                    <w:topLinePunct w:val="0"/>
                    <w:bidi w:val="0"/>
                    <w:adjustRightInd/>
                    <w:snapToGrid/>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bl>
          <w:p w14:paraId="5AA490A3">
            <w:pPr>
              <w:pStyle w:val="58"/>
              <w:pageBreakBefore w:val="0"/>
              <w:overflowPunct/>
              <w:topLinePunct w:val="0"/>
              <w:bidi w:val="0"/>
              <w:adjustRightInd/>
              <w:snapToGrid/>
              <w:spacing w:before="0" w:line="360" w:lineRule="auto"/>
              <w:ind w:firstLine="480" w:firstLineChars="200"/>
              <w:rPr>
                <w:rFonts w:hint="eastAsia" w:ascii="Times New Roman" w:hAnsi="Times New Roman" w:eastAsia="宋体" w:cs="Times New Roman"/>
                <w:color w:val="auto"/>
                <w:kern w:val="2"/>
                <w:sz w:val="24"/>
                <w:highlight w:val="none"/>
                <w:lang w:eastAsia="zh-CN"/>
              </w:rPr>
            </w:pPr>
            <w:r>
              <w:rPr>
                <w:rFonts w:hint="eastAsia" w:ascii="Times New Roman" w:hAnsi="Times New Roman" w:cs="Times New Roman"/>
                <w:color w:val="auto"/>
                <w:kern w:val="2"/>
                <w:sz w:val="24"/>
                <w:highlight w:val="none"/>
                <w:lang w:val="en-US" w:eastAsia="zh-CN"/>
              </w:rPr>
              <w:t>项目生产时间均在昼间生产，夜间不生产。</w:t>
            </w:r>
            <w:r>
              <w:rPr>
                <w:rFonts w:hint="default" w:ascii="Times New Roman" w:hAnsi="Times New Roman" w:eastAsia="宋体" w:cs="Times New Roman"/>
                <w:color w:val="auto"/>
                <w:kern w:val="2"/>
                <w:sz w:val="24"/>
                <w:highlight w:val="none"/>
              </w:rPr>
              <w:t>根据预测结果可知，经以上防护措施及墙体隔声和距离的自然衰减等措施后，项目四周厂界均满足《工业企业厂界环境噪声排放标准》（GB12348-2008）中3类标准要求</w:t>
            </w:r>
            <w:r>
              <w:rPr>
                <w:rFonts w:hint="eastAsia" w:ascii="Times New Roman" w:hAnsi="Times New Roman" w:cs="Times New Roman"/>
                <w:color w:val="auto"/>
                <w:kern w:val="2"/>
                <w:sz w:val="24"/>
                <w:highlight w:val="none"/>
                <w:lang w:eastAsia="zh-CN"/>
              </w:rPr>
              <w:t>。</w:t>
            </w:r>
          </w:p>
          <w:p w14:paraId="24DE9EA7">
            <w:pPr>
              <w:pStyle w:val="58"/>
              <w:pageBreakBefore w:val="0"/>
              <w:overflowPunct/>
              <w:topLinePunct w:val="0"/>
              <w:bidi w:val="0"/>
              <w:adjustRightInd/>
              <w:snapToGrid/>
              <w:spacing w:before="0" w:line="360" w:lineRule="auto"/>
              <w:ind w:firstLine="482" w:firstLineChars="200"/>
              <w:rPr>
                <w:rFonts w:hint="default" w:ascii="Times New Roman" w:hAnsi="Times New Roman" w:eastAsia="宋体" w:cs="Times New Roman"/>
                <w:b/>
                <w:bCs/>
                <w:color w:val="auto"/>
                <w:kern w:val="2"/>
                <w:sz w:val="24"/>
                <w:highlight w:val="none"/>
              </w:rPr>
            </w:pPr>
            <w:r>
              <w:rPr>
                <w:rFonts w:hint="default" w:ascii="Times New Roman" w:hAnsi="Times New Roman" w:eastAsia="宋体" w:cs="Times New Roman"/>
                <w:b/>
                <w:bCs/>
                <w:color w:val="auto"/>
                <w:kern w:val="2"/>
                <w:sz w:val="24"/>
                <w:highlight w:val="none"/>
              </w:rPr>
              <w:t>3、噪声降噪具体措施</w:t>
            </w:r>
          </w:p>
          <w:p w14:paraId="666D77BB">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本项目生产设备在运行期间均会产生噪声，建设单位采取以下措施来减轻生产设备运行噪声的环境影响。</w:t>
            </w:r>
          </w:p>
          <w:p w14:paraId="41DD1B61">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（1）选用低噪声设备或带隔声、消声的设备，从源头减少噪声的产生。</w:t>
            </w:r>
          </w:p>
          <w:p w14:paraId="0C57A492">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（2）合理布局设备位置，</w:t>
            </w:r>
            <w:r>
              <w:rPr>
                <w:rFonts w:hint="eastAsia" w:ascii="Times New Roman" w:hAnsi="Times New Roman" w:cs="Times New Roman"/>
                <w:color w:val="auto"/>
                <w:kern w:val="2"/>
                <w:sz w:val="24"/>
                <w:highlight w:val="none"/>
                <w:lang w:val="en-US" w:eastAsia="zh-CN"/>
              </w:rPr>
              <w:t>并对产生高噪声设备采取基座减振措施，降低噪声值</w:t>
            </w:r>
            <w:r>
              <w:rPr>
                <w:rFonts w:hint="default" w:ascii="Times New Roman" w:hAnsi="Times New Roman" w:eastAsia="宋体" w:cs="Times New Roman"/>
                <w:color w:val="auto"/>
                <w:kern w:val="2"/>
                <w:sz w:val="24"/>
                <w:highlight w:val="none"/>
              </w:rPr>
              <w:t>。</w:t>
            </w:r>
          </w:p>
          <w:p w14:paraId="4E37DD92">
            <w:pPr>
              <w:pStyle w:val="58"/>
              <w:kinsoku/>
              <w:adjustRightInd/>
              <w:snapToGrid/>
              <w:spacing w:before="0" w:line="360" w:lineRule="auto"/>
              <w:ind w:firstLine="480" w:firstLineChars="200"/>
              <w:rPr>
                <w:rFonts w:hint="default" w:ascii="Times New Roman" w:hAnsi="Times New Roman" w:eastAsia="宋体" w:cs="Times New Roman"/>
                <w:color w:val="auto"/>
                <w:kern w:val="2"/>
                <w:sz w:val="24"/>
                <w:highlight w:val="none"/>
                <w:lang w:val="en-US"/>
              </w:rPr>
            </w:pPr>
            <w:r>
              <w:rPr>
                <w:rFonts w:hint="default" w:ascii="Times New Roman" w:hAnsi="Times New Roman" w:eastAsia="宋体" w:cs="Times New Roman"/>
                <w:color w:val="auto"/>
                <w:kern w:val="2"/>
                <w:sz w:val="24"/>
                <w:highlight w:val="none"/>
              </w:rPr>
              <w:t>（</w:t>
            </w:r>
            <w:r>
              <w:rPr>
                <w:rFonts w:hint="eastAsia" w:ascii="Times New Roman" w:hAnsi="Times New Roman" w:cs="Times New Roman"/>
                <w:color w:val="auto"/>
                <w:kern w:val="2"/>
                <w:sz w:val="24"/>
                <w:highlight w:val="none"/>
                <w:lang w:val="en-US" w:eastAsia="zh-CN"/>
              </w:rPr>
              <w:t>3</w:t>
            </w:r>
            <w:r>
              <w:rPr>
                <w:rFonts w:hint="default" w:ascii="Times New Roman" w:hAnsi="Times New Roman" w:eastAsia="宋体" w:cs="Times New Roman"/>
                <w:color w:val="auto"/>
                <w:kern w:val="2"/>
                <w:sz w:val="24"/>
                <w:highlight w:val="none"/>
              </w:rPr>
              <w:t>）</w:t>
            </w:r>
            <w:r>
              <w:rPr>
                <w:rFonts w:hint="eastAsia" w:ascii="Times New Roman" w:hAnsi="Times New Roman" w:eastAsia="宋体" w:cs="Times New Roman"/>
                <w:color w:val="auto"/>
                <w:kern w:val="2"/>
                <w:sz w:val="24"/>
                <w:highlight w:val="none"/>
                <w:lang w:eastAsia="zh-CN"/>
              </w:rPr>
              <w:t>对室外风机采取减振、加装隔音罩等措施降低</w:t>
            </w:r>
            <w:r>
              <w:rPr>
                <w:rFonts w:ascii="Times New Roman" w:hAnsi="Times New Roman" w:eastAsia="宋体" w:cs="Times New Roman"/>
                <w:color w:val="auto"/>
                <w:kern w:val="2"/>
                <w:sz w:val="24"/>
                <w:highlight w:val="none"/>
                <w:lang w:eastAsia="zh-CN"/>
              </w:rPr>
              <w:t>噪声值</w:t>
            </w:r>
            <w:r>
              <w:rPr>
                <w:rFonts w:hint="eastAsia" w:ascii="Times New Roman" w:hAnsi="Times New Roman" w:eastAsia="宋体" w:cs="Times New Roman"/>
                <w:color w:val="auto"/>
                <w:kern w:val="2"/>
                <w:sz w:val="24"/>
                <w:highlight w:val="none"/>
                <w:lang w:eastAsia="zh-CN"/>
              </w:rPr>
              <w:t>。</w:t>
            </w:r>
          </w:p>
          <w:p w14:paraId="4E603D9B">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w:t>
            </w:r>
            <w:r>
              <w:rPr>
                <w:rFonts w:hint="eastAsia" w:ascii="Times New Roman" w:hAnsi="Times New Roman" w:cs="Times New Roman"/>
                <w:color w:val="auto"/>
                <w:kern w:val="2"/>
                <w:sz w:val="24"/>
                <w:highlight w:val="none"/>
                <w:lang w:val="en-US" w:eastAsia="zh-CN"/>
              </w:rPr>
              <w:t>4</w:t>
            </w:r>
            <w:r>
              <w:rPr>
                <w:rFonts w:hint="default" w:ascii="Times New Roman" w:hAnsi="Times New Roman" w:eastAsia="宋体" w:cs="Times New Roman"/>
                <w:color w:val="auto"/>
                <w:kern w:val="2"/>
                <w:sz w:val="24"/>
                <w:highlight w:val="none"/>
              </w:rPr>
              <w:t>）定期对生产设备进行保养维修，保证生产设备维持良好使用状态，并严格遵守生产设备的操作规范。</w:t>
            </w:r>
          </w:p>
          <w:p w14:paraId="1500290D">
            <w:pPr>
              <w:pStyle w:val="58"/>
              <w:pageBreakBefore w:val="0"/>
              <w:overflowPunct/>
              <w:topLinePunct w:val="0"/>
              <w:bidi w:val="0"/>
              <w:adjustRightInd/>
              <w:snapToGrid/>
              <w:spacing w:before="0" w:line="360" w:lineRule="auto"/>
              <w:ind w:firstLine="482" w:firstLineChars="200"/>
              <w:rPr>
                <w:rFonts w:hint="default" w:ascii="Times New Roman" w:hAnsi="Times New Roman" w:eastAsia="宋体" w:cs="Times New Roman"/>
                <w:b/>
                <w:bCs/>
                <w:color w:val="auto"/>
                <w:kern w:val="2"/>
                <w:sz w:val="24"/>
                <w:highlight w:val="none"/>
              </w:rPr>
            </w:pPr>
            <w:r>
              <w:rPr>
                <w:rFonts w:hint="default" w:ascii="Times New Roman" w:hAnsi="Times New Roman" w:eastAsia="宋体" w:cs="Times New Roman"/>
                <w:b/>
                <w:bCs/>
                <w:color w:val="auto"/>
                <w:kern w:val="2"/>
                <w:sz w:val="24"/>
                <w:highlight w:val="none"/>
              </w:rPr>
              <w:t>4、噪声监测计划</w:t>
            </w:r>
          </w:p>
          <w:p w14:paraId="33FD2BBB">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根据《排污许可证申请与核发技术规范 工业噪声》（HJ</w:t>
            </w:r>
            <w:r>
              <w:rPr>
                <w:rFonts w:hint="default" w:ascii="Times New Roman" w:hAnsi="Times New Roman" w:eastAsia="宋体" w:cs="Times New Roman"/>
                <w:color w:val="auto"/>
                <w:kern w:val="2"/>
                <w:sz w:val="24"/>
                <w:highlight w:val="none"/>
                <w:lang w:val="en-US" w:eastAsia="zh-CN"/>
              </w:rPr>
              <w:t>1301</w:t>
            </w:r>
            <w:r>
              <w:rPr>
                <w:rFonts w:hint="default" w:ascii="Times New Roman" w:hAnsi="Times New Roman" w:eastAsia="宋体" w:cs="Times New Roman"/>
                <w:color w:val="auto"/>
                <w:kern w:val="2"/>
                <w:sz w:val="24"/>
                <w:highlight w:val="none"/>
              </w:rPr>
              <w:t>-20</w:t>
            </w:r>
            <w:r>
              <w:rPr>
                <w:rFonts w:hint="default" w:ascii="Times New Roman" w:hAnsi="Times New Roman" w:eastAsia="宋体" w:cs="Times New Roman"/>
                <w:color w:val="auto"/>
                <w:kern w:val="2"/>
                <w:sz w:val="24"/>
                <w:highlight w:val="none"/>
                <w:lang w:val="en-US" w:eastAsia="zh-CN"/>
              </w:rPr>
              <w:t>23</w:t>
            </w:r>
            <w:r>
              <w:rPr>
                <w:rFonts w:hint="default" w:ascii="Times New Roman" w:hAnsi="Times New Roman" w:eastAsia="宋体" w:cs="Times New Roman"/>
                <w:color w:val="auto"/>
                <w:kern w:val="2"/>
                <w:sz w:val="24"/>
                <w:highlight w:val="none"/>
              </w:rPr>
              <w:t>），项目噪声监测计划如下所示。</w:t>
            </w:r>
          </w:p>
          <w:p w14:paraId="0D66D797">
            <w:pPr>
              <w:pageBreakBefore w:val="0"/>
              <w:overflowPunct/>
              <w:topLinePunct w:val="0"/>
              <w:bidi w:val="0"/>
              <w:adjustRightInd/>
              <w:snapToGrid/>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噪声监测计划表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5"/>
              <w:gridCol w:w="1687"/>
              <w:gridCol w:w="1070"/>
              <w:gridCol w:w="2262"/>
            </w:tblGrid>
            <w:tr w14:paraId="7880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9" w:type="pct"/>
                  <w:tcBorders>
                    <w:top w:val="single" w:color="auto" w:sz="4" w:space="0"/>
                    <w:left w:val="single" w:color="auto" w:sz="4" w:space="0"/>
                    <w:bottom w:val="single" w:color="auto" w:sz="4" w:space="0"/>
                    <w:right w:val="single" w:color="auto" w:sz="4" w:space="0"/>
                  </w:tcBorders>
                  <w:noWrap w:val="0"/>
                  <w:vAlign w:val="center"/>
                </w:tcPr>
                <w:p w14:paraId="622FFF74">
                  <w:pPr>
                    <w:pStyle w:val="67"/>
                    <w:pageBreakBefore w:val="0"/>
                    <w:overflowPunct/>
                    <w:topLinePunct w:val="0"/>
                    <w:bidi w:val="0"/>
                    <w:adjustRightInd/>
                    <w:snapToGrid/>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监测点位置</w:t>
                  </w:r>
                </w:p>
              </w:tc>
              <w:tc>
                <w:tcPr>
                  <w:tcW w:w="1042" w:type="pct"/>
                  <w:tcBorders>
                    <w:top w:val="single" w:color="auto" w:sz="4" w:space="0"/>
                    <w:left w:val="nil"/>
                    <w:bottom w:val="single" w:color="auto" w:sz="4" w:space="0"/>
                    <w:right w:val="single" w:color="auto" w:sz="4" w:space="0"/>
                  </w:tcBorders>
                  <w:noWrap w:val="0"/>
                  <w:vAlign w:val="center"/>
                </w:tcPr>
                <w:p w14:paraId="0E83680B">
                  <w:pPr>
                    <w:pStyle w:val="67"/>
                    <w:pageBreakBefore w:val="0"/>
                    <w:overflowPunct/>
                    <w:topLinePunct w:val="0"/>
                    <w:bidi w:val="0"/>
                    <w:adjustRightInd/>
                    <w:snapToGrid/>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监测指标</w:t>
                  </w:r>
                </w:p>
              </w:tc>
              <w:tc>
                <w:tcPr>
                  <w:tcW w:w="661" w:type="pct"/>
                  <w:tcBorders>
                    <w:top w:val="single" w:color="auto" w:sz="4" w:space="0"/>
                    <w:left w:val="nil"/>
                    <w:bottom w:val="single" w:color="auto" w:sz="4" w:space="0"/>
                    <w:right w:val="single" w:color="auto" w:sz="4" w:space="0"/>
                  </w:tcBorders>
                  <w:noWrap w:val="0"/>
                  <w:vAlign w:val="center"/>
                </w:tcPr>
                <w:p w14:paraId="6C45A9A2">
                  <w:pPr>
                    <w:pStyle w:val="67"/>
                    <w:pageBreakBefore w:val="0"/>
                    <w:overflowPunct/>
                    <w:topLinePunct w:val="0"/>
                    <w:bidi w:val="0"/>
                    <w:adjustRightInd/>
                    <w:snapToGrid/>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监测频次</w:t>
                  </w:r>
                </w:p>
              </w:tc>
              <w:tc>
                <w:tcPr>
                  <w:tcW w:w="1396" w:type="pct"/>
                  <w:tcBorders>
                    <w:top w:val="single" w:color="auto" w:sz="4" w:space="0"/>
                    <w:left w:val="nil"/>
                    <w:bottom w:val="single" w:color="auto" w:sz="4" w:space="0"/>
                    <w:right w:val="single" w:color="auto" w:sz="4" w:space="0"/>
                  </w:tcBorders>
                  <w:noWrap w:val="0"/>
                  <w:vAlign w:val="center"/>
                </w:tcPr>
                <w:p w14:paraId="4BECF382">
                  <w:pPr>
                    <w:pStyle w:val="67"/>
                    <w:pageBreakBefore w:val="0"/>
                    <w:overflowPunct/>
                    <w:topLinePunct w:val="0"/>
                    <w:bidi w:val="0"/>
                    <w:adjustRightInd/>
                    <w:snapToGrid/>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监测天数</w:t>
                  </w:r>
                </w:p>
              </w:tc>
            </w:tr>
            <w:tr w14:paraId="4E62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899" w:type="pct"/>
                  <w:tcBorders>
                    <w:top w:val="single" w:color="auto" w:sz="4" w:space="0"/>
                    <w:left w:val="single" w:color="auto" w:sz="4" w:space="0"/>
                    <w:bottom w:val="single" w:color="auto" w:sz="4" w:space="0"/>
                    <w:right w:val="single" w:color="auto" w:sz="4" w:space="0"/>
                  </w:tcBorders>
                  <w:noWrap w:val="0"/>
                  <w:vAlign w:val="center"/>
                </w:tcPr>
                <w:p w14:paraId="5975C7C5">
                  <w:pPr>
                    <w:pStyle w:val="67"/>
                    <w:pageBreakBefore w:val="0"/>
                    <w:overflowPunct/>
                    <w:topLinePunct w:val="0"/>
                    <w:bidi w:val="0"/>
                    <w:adjustRightInd/>
                    <w:snapToGrid/>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厂界四周各布设一个噪声监测点</w:t>
                  </w:r>
                </w:p>
              </w:tc>
              <w:tc>
                <w:tcPr>
                  <w:tcW w:w="1042" w:type="pct"/>
                  <w:tcBorders>
                    <w:top w:val="single" w:color="auto" w:sz="4" w:space="0"/>
                    <w:left w:val="nil"/>
                    <w:bottom w:val="single" w:color="auto" w:sz="4" w:space="0"/>
                    <w:right w:val="single" w:color="auto" w:sz="4" w:space="0"/>
                  </w:tcBorders>
                  <w:noWrap w:val="0"/>
                  <w:vAlign w:val="center"/>
                </w:tcPr>
                <w:p w14:paraId="485FDBB6">
                  <w:pPr>
                    <w:pStyle w:val="67"/>
                    <w:pageBreakBefore w:val="0"/>
                    <w:overflowPunct/>
                    <w:topLinePunct w:val="0"/>
                    <w:bidi w:val="0"/>
                    <w:adjustRightInd/>
                    <w:snapToGrid/>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连续等效A声级</w:t>
                  </w:r>
                </w:p>
              </w:tc>
              <w:tc>
                <w:tcPr>
                  <w:tcW w:w="661" w:type="pct"/>
                  <w:tcBorders>
                    <w:top w:val="single" w:color="auto" w:sz="4" w:space="0"/>
                    <w:left w:val="nil"/>
                    <w:bottom w:val="single" w:color="auto" w:sz="4" w:space="0"/>
                    <w:right w:val="single" w:color="auto" w:sz="4" w:space="0"/>
                  </w:tcBorders>
                  <w:noWrap w:val="0"/>
                  <w:vAlign w:val="center"/>
                </w:tcPr>
                <w:p w14:paraId="2CF9484E">
                  <w:pPr>
                    <w:pStyle w:val="67"/>
                    <w:pageBreakBefore w:val="0"/>
                    <w:overflowPunct/>
                    <w:topLinePunct w:val="0"/>
                    <w:bidi w:val="0"/>
                    <w:adjustRightInd/>
                    <w:snapToGrid/>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每季一次</w:t>
                  </w:r>
                </w:p>
              </w:tc>
              <w:tc>
                <w:tcPr>
                  <w:tcW w:w="1396" w:type="pct"/>
                  <w:tcBorders>
                    <w:top w:val="single" w:color="auto" w:sz="4" w:space="0"/>
                    <w:left w:val="nil"/>
                    <w:bottom w:val="single" w:color="auto" w:sz="4" w:space="0"/>
                    <w:right w:val="single" w:color="auto" w:sz="4" w:space="0"/>
                  </w:tcBorders>
                  <w:noWrap w:val="0"/>
                  <w:vAlign w:val="center"/>
                </w:tcPr>
                <w:p w14:paraId="75C7A52A">
                  <w:pPr>
                    <w:pStyle w:val="67"/>
                    <w:pageBreakBefore w:val="0"/>
                    <w:overflowPunct/>
                    <w:topLinePunct w:val="0"/>
                    <w:bidi w:val="0"/>
                    <w:adjustRightInd/>
                    <w:snapToGrid/>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连续1天，昼夜各一次</w:t>
                  </w:r>
                </w:p>
              </w:tc>
            </w:tr>
          </w:tbl>
          <w:p w14:paraId="07BB09FD">
            <w:pPr>
              <w:pStyle w:val="58"/>
              <w:keepNext w:val="0"/>
              <w:keepLines w:val="0"/>
              <w:pageBreakBefore w:val="0"/>
              <w:widowControl/>
              <w:kinsoku w:val="0"/>
              <w:wordWrap/>
              <w:overflowPunct/>
              <w:topLinePunct w:val="0"/>
              <w:autoSpaceDE w:val="0"/>
              <w:autoSpaceDN w:val="0"/>
              <w:bidi w:val="0"/>
              <w:adjustRightInd/>
              <w:snapToGrid/>
              <w:spacing w:before="0" w:line="360" w:lineRule="auto"/>
              <w:ind w:firstLine="0"/>
              <w:textAlignment w:val="baseline"/>
              <w:rPr>
                <w:rFonts w:hint="default" w:ascii="Times New Roman" w:hAnsi="Times New Roman" w:eastAsia="宋体" w:cs="Times New Roman"/>
                <w:b/>
                <w:bCs/>
                <w:color w:val="auto"/>
                <w:kern w:val="2"/>
                <w:sz w:val="24"/>
                <w:highlight w:val="none"/>
              </w:rPr>
            </w:pPr>
            <w:r>
              <w:rPr>
                <w:rFonts w:hint="default" w:ascii="Times New Roman" w:hAnsi="Times New Roman" w:eastAsia="宋体" w:cs="Times New Roman"/>
                <w:b/>
                <w:bCs/>
                <w:color w:val="auto"/>
                <w:kern w:val="2"/>
                <w:sz w:val="24"/>
                <w:highlight w:val="none"/>
              </w:rPr>
              <w:t>四、固体废物</w:t>
            </w:r>
          </w:p>
          <w:p w14:paraId="2AB2652F">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本项目营运期固体废物主要为一般工业固废、危险废物和生活垃圾。</w:t>
            </w:r>
          </w:p>
          <w:p w14:paraId="571EA0ED">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（1）一般工业固废</w:t>
            </w:r>
          </w:p>
          <w:p w14:paraId="613C560A">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① </w:t>
            </w:r>
            <w:r>
              <w:rPr>
                <w:rFonts w:ascii="Times New Roman" w:hAnsi="Times New Roman" w:eastAsia="宋体" w:cs="Times New Roman"/>
                <w:color w:val="auto"/>
                <w:sz w:val="24"/>
                <w:highlight w:val="none"/>
                <w:lang w:eastAsia="zh-CN" w:bidi="zh-CN"/>
              </w:rPr>
              <w:t>金属边角料</w:t>
            </w:r>
          </w:p>
          <w:p w14:paraId="6ECF42CE">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baseline"/>
              <w:rPr>
                <w:rFonts w:hint="eastAsia" w:ascii="Times New Roman" w:hAnsi="Times New Roman" w:eastAsia="宋体" w:cs="Times New Roman"/>
                <w:color w:val="auto"/>
                <w:sz w:val="24"/>
                <w:highlight w:val="none"/>
                <w:lang w:eastAsia="zh-CN" w:bidi="zh-CN"/>
              </w:rPr>
            </w:pPr>
            <w:r>
              <w:rPr>
                <w:rFonts w:ascii="Times New Roman" w:hAnsi="Times New Roman" w:eastAsia="宋体" w:cs="Times New Roman"/>
                <w:color w:val="auto"/>
                <w:sz w:val="24"/>
                <w:highlight w:val="none"/>
                <w:lang w:eastAsia="zh-CN" w:bidi="zh-CN"/>
              </w:rPr>
              <w:t>金属边角料：项目金属材料加工过程会产生金属边角料，产生量约占使用</w:t>
            </w:r>
            <w:r>
              <w:rPr>
                <w:rFonts w:hint="default" w:ascii="Times New Roman" w:hAnsi="Times New Roman" w:eastAsia="宋体" w:cs="Times New Roman"/>
                <w:color w:val="auto"/>
                <w:sz w:val="24"/>
                <w:highlight w:val="none"/>
                <w:lang w:eastAsia="zh-CN" w:bidi="zh-CN"/>
              </w:rPr>
              <w:t>量的1‰</w:t>
            </w:r>
            <w:r>
              <w:rPr>
                <w:rFonts w:ascii="Times New Roman" w:hAnsi="Times New Roman" w:eastAsia="宋体" w:cs="Times New Roman"/>
                <w:color w:val="auto"/>
                <w:sz w:val="24"/>
                <w:highlight w:val="none"/>
                <w:lang w:eastAsia="zh-CN" w:bidi="zh-CN"/>
              </w:rPr>
              <w:t>，项目金属边角料产生量</w:t>
            </w:r>
            <w:r>
              <w:rPr>
                <w:rFonts w:hint="eastAsia" w:cs="Times New Roman"/>
                <w:color w:val="auto"/>
                <w:sz w:val="24"/>
                <w:highlight w:val="none"/>
                <w:lang w:val="en-US" w:eastAsia="zh-CN" w:bidi="zh-CN"/>
              </w:rPr>
              <w:t>约</w:t>
            </w:r>
            <w:r>
              <w:rPr>
                <w:rFonts w:hint="eastAsia" w:ascii="Times New Roman" w:hAnsi="Times New Roman" w:eastAsia="宋体" w:cs="Times New Roman"/>
                <w:snapToGrid w:val="0"/>
                <w:color w:val="auto"/>
                <w:sz w:val="24"/>
                <w:szCs w:val="21"/>
                <w:highlight w:val="none"/>
                <w:lang w:val="en-US" w:eastAsia="zh-CN" w:bidi="zh-CN"/>
              </w:rPr>
              <w:t>为</w:t>
            </w:r>
            <w:r>
              <w:rPr>
                <w:rFonts w:hint="eastAsia" w:cs="Times New Roman"/>
                <w:snapToGrid w:val="0"/>
                <w:color w:val="auto"/>
                <w:sz w:val="24"/>
                <w:szCs w:val="21"/>
                <w:highlight w:val="none"/>
                <w:lang w:val="en-US" w:eastAsia="zh-CN" w:bidi="zh-CN"/>
              </w:rPr>
              <w:t>5.17</w:t>
            </w:r>
            <w:r>
              <w:rPr>
                <w:rFonts w:hint="eastAsia" w:ascii="Times New Roman" w:hAnsi="Times New Roman" w:eastAsia="宋体" w:cs="Times New Roman"/>
                <w:snapToGrid w:val="0"/>
                <w:color w:val="auto"/>
                <w:sz w:val="24"/>
                <w:szCs w:val="21"/>
                <w:highlight w:val="none"/>
                <w:lang w:val="en-US" w:eastAsia="zh-CN" w:bidi="zh-CN"/>
              </w:rPr>
              <w:t>t/a，本项</w:t>
            </w:r>
            <w:r>
              <w:rPr>
                <w:rFonts w:hint="eastAsia" w:ascii="Times New Roman" w:hAnsi="Times New Roman" w:eastAsia="宋体" w:cs="Times New Roman"/>
                <w:color w:val="auto"/>
                <w:sz w:val="24"/>
                <w:highlight w:val="none"/>
                <w:lang w:eastAsia="zh-CN" w:bidi="zh-CN"/>
              </w:rPr>
              <w:t>目</w:t>
            </w:r>
            <w:r>
              <w:rPr>
                <w:rFonts w:ascii="Times New Roman" w:hAnsi="Times New Roman" w:eastAsia="宋体" w:cs="Times New Roman"/>
                <w:color w:val="auto"/>
                <w:sz w:val="24"/>
                <w:highlight w:val="none"/>
                <w:lang w:eastAsia="zh-CN" w:bidi="zh-CN"/>
              </w:rPr>
              <w:t>金属边角料经收集</w:t>
            </w:r>
            <w:r>
              <w:rPr>
                <w:rFonts w:hint="eastAsia" w:ascii="Times New Roman" w:hAnsi="Times New Roman" w:eastAsia="宋体" w:cs="Times New Roman"/>
                <w:color w:val="auto"/>
                <w:sz w:val="24"/>
                <w:highlight w:val="none"/>
                <w:lang w:eastAsia="zh-CN" w:bidi="zh-CN"/>
              </w:rPr>
              <w:t>处理</w:t>
            </w:r>
            <w:r>
              <w:rPr>
                <w:rFonts w:ascii="Times New Roman" w:hAnsi="Times New Roman" w:eastAsia="宋体" w:cs="Times New Roman"/>
                <w:color w:val="auto"/>
                <w:sz w:val="24"/>
                <w:highlight w:val="none"/>
                <w:lang w:eastAsia="zh-CN" w:bidi="zh-CN"/>
              </w:rPr>
              <w:t>后</w:t>
            </w:r>
            <w:r>
              <w:rPr>
                <w:rFonts w:hint="eastAsia" w:ascii="Times New Roman" w:hAnsi="Times New Roman" w:eastAsia="宋体" w:cs="Times New Roman"/>
                <w:color w:val="auto"/>
                <w:sz w:val="24"/>
                <w:highlight w:val="none"/>
                <w:lang w:eastAsia="zh-CN" w:bidi="zh-CN"/>
              </w:rPr>
              <w:t>可按一般固废外售给金属冶炼企业。</w:t>
            </w:r>
          </w:p>
          <w:p w14:paraId="6E8D90E5">
            <w:pPr>
              <w:pStyle w:val="14"/>
              <w:keepNext w:val="0"/>
              <w:keepLines w:val="0"/>
              <w:pageBreakBefore w:val="0"/>
              <w:widowControl/>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snapToGrid w:val="0"/>
                <w:color w:val="auto"/>
                <w:sz w:val="24"/>
                <w:szCs w:val="21"/>
                <w:highlight w:val="none"/>
                <w:lang w:val="en-US" w:eastAsia="zh-CN" w:bidi="zh-CN"/>
              </w:rPr>
            </w:pPr>
            <w:r>
              <w:rPr>
                <w:rFonts w:hint="default" w:ascii="Times New Roman" w:hAnsi="Times New Roman" w:eastAsia="宋体" w:cs="Times New Roman"/>
                <w:snapToGrid w:val="0"/>
                <w:color w:val="auto"/>
                <w:sz w:val="24"/>
                <w:szCs w:val="21"/>
                <w:highlight w:val="none"/>
                <w:lang w:val="en-US" w:eastAsia="zh-CN" w:bidi="ar-SA"/>
              </w:rPr>
              <w:t>②</w:t>
            </w:r>
            <w:r>
              <w:rPr>
                <w:rFonts w:hint="eastAsia" w:ascii="Times New Roman" w:hAnsi="Times New Roman" w:eastAsia="宋体" w:cs="Times New Roman"/>
                <w:snapToGrid w:val="0"/>
                <w:color w:val="auto"/>
                <w:sz w:val="24"/>
                <w:szCs w:val="21"/>
                <w:highlight w:val="none"/>
                <w:lang w:val="en-US" w:eastAsia="zh-CN" w:bidi="ar-SA"/>
              </w:rPr>
              <w:t>焊渣：</w:t>
            </w:r>
            <w:r>
              <w:rPr>
                <w:rFonts w:ascii="Times New Roman" w:hAnsi="Times New Roman" w:eastAsia="宋体" w:cs="Times New Roman"/>
                <w:snapToGrid w:val="0"/>
                <w:color w:val="auto"/>
                <w:sz w:val="24"/>
                <w:szCs w:val="21"/>
                <w:highlight w:val="none"/>
                <w:lang w:val="en-US" w:eastAsia="zh-CN" w:bidi="zh-CN"/>
              </w:rPr>
              <w:t>项目焊接过程会产生焊渣，焊渣产生系数为焊接材料的15%，则焊渣的产生量为</w:t>
            </w:r>
            <w:r>
              <w:rPr>
                <w:rFonts w:hint="eastAsia" w:ascii="Times New Roman" w:hAnsi="Times New Roman" w:eastAsia="宋体" w:cs="Times New Roman"/>
                <w:snapToGrid w:val="0"/>
                <w:color w:val="auto"/>
                <w:sz w:val="24"/>
                <w:szCs w:val="21"/>
                <w:highlight w:val="none"/>
                <w:lang w:val="en-US" w:eastAsia="zh-CN" w:bidi="zh-CN"/>
              </w:rPr>
              <w:t>2.</w:t>
            </w:r>
            <w:r>
              <w:rPr>
                <w:rFonts w:hint="eastAsia" w:cs="Times New Roman"/>
                <w:snapToGrid w:val="0"/>
                <w:color w:val="auto"/>
                <w:sz w:val="24"/>
                <w:szCs w:val="21"/>
                <w:highlight w:val="none"/>
                <w:lang w:val="en-US" w:eastAsia="zh-CN" w:bidi="zh-CN"/>
              </w:rPr>
              <w:t>1</w:t>
            </w:r>
            <w:r>
              <w:rPr>
                <w:rFonts w:ascii="Times New Roman" w:hAnsi="Times New Roman" w:eastAsia="宋体" w:cs="Times New Roman"/>
                <w:snapToGrid w:val="0"/>
                <w:color w:val="auto"/>
                <w:sz w:val="24"/>
                <w:szCs w:val="21"/>
                <w:highlight w:val="none"/>
                <w:lang w:val="en-US" w:eastAsia="zh-CN" w:bidi="zh-CN"/>
              </w:rPr>
              <w:t>t/a，焊渣经收集后</w:t>
            </w:r>
            <w:r>
              <w:rPr>
                <w:rFonts w:hint="eastAsia" w:ascii="Times New Roman" w:hAnsi="Times New Roman" w:eastAsia="宋体" w:cs="Times New Roman"/>
                <w:snapToGrid w:val="0"/>
                <w:color w:val="auto"/>
                <w:sz w:val="24"/>
                <w:szCs w:val="21"/>
                <w:highlight w:val="none"/>
                <w:lang w:val="en-US" w:eastAsia="zh-CN" w:bidi="zh-CN"/>
              </w:rPr>
              <w:t>委托外单位处置。</w:t>
            </w:r>
          </w:p>
          <w:p w14:paraId="641F22CD">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eastAsia="宋体" w:cs="Times New Roman"/>
                <w:snapToGrid w:val="0"/>
                <w:color w:val="auto"/>
                <w:sz w:val="24"/>
                <w:szCs w:val="21"/>
                <w:highlight w:val="none"/>
                <w:lang w:val="en-US" w:eastAsia="zh-CN" w:bidi="ar-SA"/>
              </w:rPr>
              <w:t>③</w:t>
            </w:r>
            <w:r>
              <w:rPr>
                <w:rFonts w:hint="eastAsia" w:ascii="Times New Roman" w:hAnsi="Times New Roman" w:eastAsia="宋体" w:cs="Times New Roman"/>
                <w:snapToGrid w:val="0"/>
                <w:color w:val="auto"/>
                <w:sz w:val="24"/>
                <w:szCs w:val="21"/>
                <w:highlight w:val="none"/>
                <w:lang w:val="en-US" w:eastAsia="zh-CN" w:bidi="ar-SA"/>
              </w:rPr>
              <w:t>布袋除尘器收尘：根据前文分析，项目布袋除尘器收集粉尘产生量约为</w:t>
            </w:r>
            <w:r>
              <w:rPr>
                <w:rFonts w:hint="eastAsia" w:cs="Times New Roman"/>
                <w:snapToGrid w:val="0"/>
                <w:color w:val="auto"/>
                <w:sz w:val="24"/>
                <w:szCs w:val="21"/>
                <w:highlight w:val="none"/>
                <w:lang w:val="en-US" w:eastAsia="zh-CN" w:bidi="ar-SA"/>
              </w:rPr>
              <w:t>11.163</w:t>
            </w:r>
            <w:r>
              <w:rPr>
                <w:rFonts w:hint="eastAsia" w:ascii="Times New Roman" w:hAnsi="Times New Roman" w:eastAsia="宋体" w:cs="Times New Roman"/>
                <w:snapToGrid w:val="0"/>
                <w:color w:val="auto"/>
                <w:sz w:val="24"/>
                <w:szCs w:val="21"/>
                <w:highlight w:val="none"/>
                <w:lang w:val="en-US" w:eastAsia="zh-CN" w:bidi="ar-SA"/>
              </w:rPr>
              <w:t>t/a，粉尘经收集后</w:t>
            </w:r>
            <w:r>
              <w:rPr>
                <w:rFonts w:hint="eastAsia" w:ascii="Times New Roman" w:hAnsi="Times New Roman" w:eastAsia="宋体" w:cs="Times New Roman"/>
                <w:snapToGrid w:val="0"/>
                <w:color w:val="auto"/>
                <w:sz w:val="24"/>
                <w:szCs w:val="21"/>
                <w:highlight w:val="none"/>
                <w:lang w:val="en-US" w:eastAsia="zh-CN" w:bidi="zh-CN"/>
              </w:rPr>
              <w:t>委托外单位处置</w:t>
            </w:r>
            <w:r>
              <w:rPr>
                <w:rFonts w:hint="eastAsia" w:ascii="Times New Roman" w:hAnsi="Times New Roman" w:eastAsia="宋体" w:cs="Times New Roman"/>
                <w:snapToGrid w:val="0"/>
                <w:color w:val="auto"/>
                <w:sz w:val="24"/>
                <w:szCs w:val="21"/>
                <w:highlight w:val="none"/>
                <w:lang w:val="en-US" w:eastAsia="zh-CN" w:bidi="ar-SA"/>
              </w:rPr>
              <w:t>。</w:t>
            </w:r>
          </w:p>
          <w:p w14:paraId="6B7A5A96">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snapToGrid w:val="0"/>
                <w:color w:val="auto"/>
                <w:sz w:val="24"/>
                <w:szCs w:val="21"/>
                <w:highlight w:val="none"/>
                <w:lang w:val="en-US" w:eastAsia="zh-CN" w:bidi="ar-SA"/>
              </w:rPr>
            </w:pPr>
            <w:r>
              <w:rPr>
                <w:rFonts w:hint="eastAsia" w:ascii="Times New Roman" w:hAnsi="Times New Roman" w:eastAsia="宋体" w:cs="Times New Roman"/>
                <w:snapToGrid w:val="0"/>
                <w:color w:val="auto"/>
                <w:sz w:val="24"/>
                <w:szCs w:val="21"/>
                <w:highlight w:val="none"/>
                <w:lang w:val="en-US" w:eastAsia="zh-CN" w:bidi="ar-SA"/>
              </w:rPr>
              <w:t>④滤芯收尘：项目喷塑过程在密闭喷塑房内进行，粉尘产生量根据前文分析产生量约</w:t>
            </w:r>
            <w:r>
              <w:rPr>
                <w:rFonts w:hint="eastAsia" w:cs="Times New Roman"/>
                <w:snapToGrid w:val="0"/>
                <w:color w:val="auto"/>
                <w:sz w:val="24"/>
                <w:szCs w:val="21"/>
                <w:highlight w:val="none"/>
                <w:lang w:val="en-US" w:eastAsia="zh-CN" w:bidi="ar-SA"/>
              </w:rPr>
              <w:t>43.384</w:t>
            </w:r>
            <w:r>
              <w:rPr>
                <w:rFonts w:hint="eastAsia" w:ascii="Times New Roman" w:hAnsi="Times New Roman" w:eastAsia="宋体" w:cs="Times New Roman"/>
                <w:snapToGrid w:val="0"/>
                <w:color w:val="auto"/>
                <w:sz w:val="24"/>
                <w:szCs w:val="21"/>
                <w:highlight w:val="none"/>
                <w:lang w:val="en-US" w:eastAsia="zh-CN" w:bidi="ar-SA"/>
              </w:rPr>
              <w:t>t/a，粉尘收集后回用生产。</w:t>
            </w:r>
          </w:p>
          <w:p w14:paraId="0DB8F866">
            <w:pPr>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（2）危险废物</w:t>
            </w:r>
          </w:p>
          <w:p w14:paraId="047F64FB">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color w:val="auto"/>
                <w:highlight w:val="none"/>
              </w:rPr>
            </w:pPr>
            <w:r>
              <w:rPr>
                <w:rFonts w:hint="default" w:ascii="Times New Roman" w:hAnsi="Times New Roman" w:eastAsia="宋体" w:cs="Times New Roman"/>
                <w:color w:val="auto"/>
                <w:sz w:val="24"/>
                <w:szCs w:val="24"/>
                <w:highlight w:val="none"/>
              </w:rPr>
              <w:t>①</w:t>
            </w:r>
            <w:r>
              <w:rPr>
                <w:rFonts w:hint="eastAsia" w:ascii="Times New Roman" w:hAnsi="Times New Roman" w:eastAsia="宋体" w:cs="Times New Roman"/>
                <w:color w:val="auto"/>
                <w:sz w:val="24"/>
                <w:szCs w:val="24"/>
                <w:highlight w:val="none"/>
                <w:lang w:val="en-US" w:eastAsia="zh-CN"/>
              </w:rPr>
              <w:t>废过滤棉：</w:t>
            </w:r>
            <w:r>
              <w:rPr>
                <w:rFonts w:ascii="Times New Roman" w:hAnsi="Times New Roman" w:eastAsia="宋体" w:cs="Times New Roman"/>
                <w:color w:val="auto"/>
                <w:sz w:val="24"/>
                <w:lang w:eastAsia="zh-CN" w:bidi="zh-CN"/>
              </w:rPr>
              <w:t>项目过滤棉装置主要用于去除漆雾，</w:t>
            </w:r>
            <w:r>
              <w:rPr>
                <w:rFonts w:hint="eastAsia" w:cs="Times New Roman"/>
                <w:color w:val="auto"/>
                <w:sz w:val="24"/>
                <w:szCs w:val="24"/>
                <w:highlight w:val="none"/>
                <w:lang w:val="en-US" w:eastAsia="zh-CN"/>
              </w:rPr>
              <w:t>根据物料平衡分析，</w:t>
            </w:r>
            <w:r>
              <w:rPr>
                <w:rFonts w:hint="default" w:ascii="Times New Roman" w:hAnsi="Times New Roman" w:eastAsia="宋体" w:cs="Times New Roman"/>
                <w:color w:val="auto"/>
                <w:sz w:val="24"/>
                <w:szCs w:val="24"/>
                <w:highlight w:val="none"/>
              </w:rPr>
              <w:t>约</w:t>
            </w:r>
            <w:r>
              <w:rPr>
                <w:rFonts w:hint="eastAsia" w:cs="Times New Roman"/>
                <w:color w:val="auto"/>
                <w:sz w:val="24"/>
                <w:szCs w:val="24"/>
                <w:highlight w:val="none"/>
                <w:lang w:val="en-US" w:eastAsia="zh-CN"/>
              </w:rPr>
              <w:t>16.71</w:t>
            </w:r>
            <w:r>
              <w:rPr>
                <w:rFonts w:hint="default" w:ascii="Times New Roman" w:hAnsi="Times New Roman" w:eastAsia="宋体" w:cs="Times New Roman"/>
                <w:color w:val="auto"/>
                <w:sz w:val="24"/>
                <w:szCs w:val="24"/>
                <w:highlight w:val="none"/>
              </w:rPr>
              <w:t>t/</w:t>
            </w:r>
            <w:r>
              <w:rPr>
                <w:rFonts w:hint="eastAsia" w:cs="Times New Roman"/>
                <w:color w:val="auto"/>
                <w:sz w:val="24"/>
                <w:szCs w:val="24"/>
                <w:highlight w:val="none"/>
                <w:lang w:val="en-US" w:eastAsia="zh-CN"/>
              </w:rPr>
              <w:t>a</w:t>
            </w:r>
            <w:r>
              <w:rPr>
                <w:rFonts w:ascii="Times New Roman" w:hAnsi="Times New Roman" w:eastAsia="宋体" w:cs="Times New Roman"/>
                <w:color w:val="auto"/>
                <w:sz w:val="24"/>
                <w:lang w:eastAsia="zh-CN" w:bidi="zh-CN"/>
              </w:rPr>
              <w:t>漆渣被吸附到过滤棉上</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sz w:val="24"/>
                <w:szCs w:val="24"/>
                <w:lang w:val="en-US" w:eastAsia="zh-CN"/>
              </w:rPr>
              <w:t>过滤棉密度</w:t>
            </w:r>
            <w:r>
              <w:rPr>
                <w:rFonts w:hint="default" w:ascii="Times New Roman" w:hAnsi="Times New Roman" w:eastAsia="宋体" w:cs="Times New Roman"/>
                <w:sz w:val="24"/>
                <w:szCs w:val="24"/>
              </w:rPr>
              <w:t>约为250g/m²。干式过滤吸附漆雾的能力2kg/m²干式过滤</w:t>
            </w:r>
            <w:r>
              <w:rPr>
                <w:rFonts w:hint="eastAsia" w:ascii="Times New Roman" w:hAnsi="Times New Roman" w:eastAsia="宋体" w:cs="Times New Roman"/>
                <w:sz w:val="24"/>
                <w:szCs w:val="24"/>
                <w:lang w:eastAsia="zh-CN"/>
              </w:rPr>
              <w:t>，</w:t>
            </w:r>
            <w:r>
              <w:rPr>
                <w:rFonts w:ascii="Times New Roman" w:hAnsi="Times New Roman" w:eastAsia="宋体" w:cs="Times New Roman"/>
                <w:color w:val="auto"/>
                <w:sz w:val="24"/>
                <w:lang w:eastAsia="zh-CN" w:bidi="zh-CN"/>
              </w:rPr>
              <w:t>废过滤棉的产生量约为</w:t>
            </w:r>
            <w:r>
              <w:rPr>
                <w:rFonts w:hint="eastAsia" w:ascii="Times New Roman" w:hAnsi="Times New Roman" w:eastAsia="宋体" w:cs="Times New Roman"/>
                <w:color w:val="auto"/>
                <w:sz w:val="24"/>
                <w:lang w:val="en-US" w:eastAsia="zh-CN" w:bidi="zh-CN"/>
              </w:rPr>
              <w:t>2.1t/a</w:t>
            </w:r>
            <w:r>
              <w:rPr>
                <w:rFonts w:hint="eastAsia" w:ascii="Times New Roman" w:hAnsi="Times New Roman" w:eastAsia="宋体" w:cs="Times New Roman"/>
                <w:color w:val="auto"/>
                <w:sz w:val="24"/>
                <w:lang w:eastAsia="zh-CN" w:bidi="zh-CN"/>
              </w:rPr>
              <w:t>，</w:t>
            </w:r>
            <w:r>
              <w:rPr>
                <w:rFonts w:hint="default" w:ascii="Times New Roman" w:hAnsi="Times New Roman" w:eastAsia="宋体" w:cs="Times New Roman"/>
                <w:color w:val="auto"/>
                <w:sz w:val="24"/>
                <w:szCs w:val="24"/>
                <w:highlight w:val="none"/>
              </w:rPr>
              <w:t>本项目的废过滤棉产生量约为</w:t>
            </w:r>
            <w:r>
              <w:rPr>
                <w:rFonts w:hint="eastAsia" w:cs="Times New Roman"/>
                <w:color w:val="auto"/>
                <w:sz w:val="24"/>
                <w:szCs w:val="24"/>
                <w:highlight w:val="none"/>
                <w:lang w:val="en-US" w:eastAsia="zh-CN"/>
              </w:rPr>
              <w:t>18.27</w:t>
            </w:r>
            <w:r>
              <w:rPr>
                <w:rFonts w:hint="default" w:ascii="Times New Roman" w:hAnsi="Times New Roman" w:eastAsia="宋体" w:cs="Times New Roman"/>
                <w:color w:val="auto"/>
                <w:sz w:val="24"/>
                <w:szCs w:val="24"/>
                <w:highlight w:val="none"/>
              </w:rPr>
              <w:t>t/a（含吸附的漆雾量），经查《国家危险废物名录（202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版）》，为危险固废，废物类别HW49（900-041-49），委托有资质单位收集处理。</w:t>
            </w:r>
          </w:p>
          <w:p w14:paraId="6F1A51D0">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napToGrid w:val="0"/>
                <w:color w:val="auto"/>
                <w:sz w:val="24"/>
                <w:szCs w:val="21"/>
                <w:highlight w:val="none"/>
                <w:lang w:val="en-US" w:eastAsia="zh-CN" w:bidi="ar-SA"/>
              </w:rPr>
              <w:t>②</w:t>
            </w:r>
            <w:r>
              <w:rPr>
                <w:rFonts w:hint="default" w:ascii="Times New Roman" w:hAnsi="Times New Roman" w:eastAsia="宋体" w:cs="Times New Roman"/>
                <w:color w:val="auto"/>
                <w:sz w:val="24"/>
                <w:szCs w:val="24"/>
                <w:highlight w:val="none"/>
              </w:rPr>
              <w:t>废活性炭</w:t>
            </w:r>
          </w:p>
          <w:p w14:paraId="01F707C6">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highlight w:val="none"/>
                <w:lang w:val="en-US" w:eastAsia="zh-CN"/>
              </w:rPr>
              <w:t>项目活性炭需要量与应吸附废气量的比例为1:0.25。根据前文分析，本项目废气处理设施活性炭箱吸附非甲烷总烃为</w:t>
            </w:r>
            <w:r>
              <w:rPr>
                <w:rFonts w:hint="eastAsia" w:cs="Times New Roman"/>
                <w:color w:val="auto"/>
                <w:sz w:val="24"/>
                <w:highlight w:val="none"/>
                <w:lang w:val="en-US" w:eastAsia="zh-CN"/>
              </w:rPr>
              <w:t>5.019</w:t>
            </w:r>
            <w:r>
              <w:rPr>
                <w:rFonts w:hint="default" w:ascii="Times New Roman" w:hAnsi="Times New Roman" w:cs="Times New Roman"/>
                <w:color w:val="auto"/>
                <w:sz w:val="24"/>
                <w:highlight w:val="none"/>
                <w:lang w:val="en-US" w:eastAsia="zh-CN"/>
              </w:rPr>
              <w:t>t</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a，则需活性炭量为</w:t>
            </w:r>
            <w:r>
              <w:rPr>
                <w:rFonts w:hint="eastAsia" w:cs="Times New Roman"/>
                <w:color w:val="auto"/>
                <w:sz w:val="24"/>
                <w:highlight w:val="none"/>
                <w:lang w:val="en-US" w:eastAsia="zh-CN"/>
              </w:rPr>
              <w:t>20.1</w:t>
            </w:r>
            <w:r>
              <w:rPr>
                <w:rFonts w:hint="default" w:ascii="Times New Roman" w:hAnsi="Times New Roman" w:cs="Times New Roman"/>
                <w:color w:val="auto"/>
                <w:sz w:val="24"/>
                <w:highlight w:val="none"/>
                <w:lang w:val="en-US" w:eastAsia="zh-CN"/>
              </w:rPr>
              <w:t>t/a</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则项目废活性炭产生量约为25.12t/a。</w:t>
            </w:r>
            <w:r>
              <w:rPr>
                <w:rFonts w:hint="default" w:ascii="Times New Roman" w:hAnsi="Times New Roman" w:eastAsia="宋体" w:cs="Times New Roman"/>
                <w:color w:val="auto"/>
                <w:sz w:val="24"/>
                <w:highlight w:val="none"/>
              </w:rPr>
              <w:t>根据《国家危险废物名录》</w:t>
            </w:r>
            <w:r>
              <w:rPr>
                <w:rFonts w:hint="eastAsia" w:cs="Times New Roman"/>
                <w:color w:val="auto"/>
                <w:sz w:val="24"/>
                <w:highlight w:val="none"/>
                <w:lang w:eastAsia="zh-CN"/>
              </w:rPr>
              <w:t>（</w:t>
            </w:r>
            <w:r>
              <w:rPr>
                <w:rFonts w:hint="eastAsia" w:cs="Times New Roman"/>
                <w:color w:val="auto"/>
                <w:sz w:val="24"/>
                <w:highlight w:val="none"/>
                <w:lang w:val="en-US" w:eastAsia="zh-CN"/>
              </w:rPr>
              <w:t>2025版</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，废活性炭属于危险废物，废物类别HW49，废物代码900-039-49，经收集后</w:t>
            </w:r>
            <w:r>
              <w:rPr>
                <w:rFonts w:hint="eastAsia" w:cs="Times New Roman"/>
                <w:color w:val="auto"/>
                <w:sz w:val="24"/>
                <w:highlight w:val="none"/>
                <w:lang w:val="en-US" w:eastAsia="zh-CN"/>
              </w:rPr>
              <w:t>由薄膜包裹缠绕后存放密闭包装桶内并</w:t>
            </w:r>
            <w:r>
              <w:rPr>
                <w:rFonts w:hint="default" w:ascii="Times New Roman" w:hAnsi="Times New Roman" w:eastAsia="宋体" w:cs="Times New Roman"/>
                <w:color w:val="auto"/>
                <w:sz w:val="24"/>
                <w:highlight w:val="none"/>
              </w:rPr>
              <w:t>暂存于危险废物暂存</w:t>
            </w:r>
            <w:r>
              <w:rPr>
                <w:rFonts w:hint="eastAsia" w:cs="Times New Roman"/>
                <w:color w:val="auto"/>
                <w:sz w:val="24"/>
                <w:highlight w:val="none"/>
                <w:lang w:val="en-US" w:eastAsia="zh-CN"/>
              </w:rPr>
              <w:t>间</w:t>
            </w:r>
            <w:r>
              <w:rPr>
                <w:rFonts w:hint="default" w:ascii="Times New Roman" w:hAnsi="Times New Roman" w:eastAsia="宋体" w:cs="Times New Roman"/>
                <w:color w:val="auto"/>
                <w:sz w:val="24"/>
                <w:highlight w:val="none"/>
              </w:rPr>
              <w:t>，由有资质单位进行处理。</w:t>
            </w:r>
          </w:p>
          <w:p w14:paraId="5CFFFE54">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snapToGrid w:val="0"/>
                <w:color w:val="auto"/>
                <w:sz w:val="24"/>
                <w:szCs w:val="21"/>
                <w:highlight w:val="none"/>
                <w:lang w:val="en-US" w:eastAsia="zh-CN" w:bidi="ar-SA"/>
              </w:rPr>
              <w:t>③</w:t>
            </w:r>
            <w:r>
              <w:rPr>
                <w:rFonts w:ascii="Times New Roman" w:hAnsi="Times New Roman" w:eastAsia="宋体" w:cs="Times New Roman"/>
                <w:color w:val="auto"/>
                <w:sz w:val="24"/>
                <w:highlight w:val="none"/>
                <w:lang w:eastAsia="zh-CN" w:bidi="zh-CN"/>
              </w:rPr>
              <w:t>废</w:t>
            </w:r>
            <w:r>
              <w:rPr>
                <w:rFonts w:hint="eastAsia" w:ascii="Times New Roman" w:hAnsi="Times New Roman" w:eastAsia="宋体" w:cs="Times New Roman"/>
                <w:color w:val="auto"/>
                <w:sz w:val="24"/>
                <w:highlight w:val="none"/>
                <w:lang w:val="en-US" w:eastAsia="zh-CN" w:bidi="zh-CN"/>
              </w:rPr>
              <w:t>水性</w:t>
            </w:r>
            <w:r>
              <w:rPr>
                <w:rFonts w:ascii="Times New Roman" w:hAnsi="Times New Roman" w:eastAsia="宋体" w:cs="Times New Roman"/>
                <w:color w:val="auto"/>
                <w:sz w:val="24"/>
                <w:highlight w:val="none"/>
                <w:lang w:eastAsia="zh-CN" w:bidi="zh-CN"/>
              </w:rPr>
              <w:t>漆桶：根据企业提供的资料，项目一年共产生</w:t>
            </w:r>
            <w:r>
              <w:rPr>
                <w:rFonts w:hint="eastAsia" w:cs="Times New Roman"/>
                <w:color w:val="auto"/>
                <w:sz w:val="24"/>
                <w:highlight w:val="none"/>
                <w:lang w:val="en-US" w:eastAsia="zh-CN" w:bidi="zh-CN"/>
              </w:rPr>
              <w:t>1782</w:t>
            </w:r>
            <w:r>
              <w:rPr>
                <w:rFonts w:ascii="Times New Roman" w:hAnsi="Times New Roman" w:eastAsia="宋体" w:cs="Times New Roman"/>
                <w:color w:val="auto"/>
                <w:sz w:val="24"/>
                <w:highlight w:val="none"/>
                <w:lang w:eastAsia="zh-CN" w:bidi="zh-CN"/>
              </w:rPr>
              <w:t>个废涂料桶，其中涂料桶约为1.5kg/个，则废漆桶产生量为</w:t>
            </w:r>
            <w:r>
              <w:rPr>
                <w:rFonts w:hint="eastAsia" w:cs="Times New Roman"/>
                <w:color w:val="auto"/>
                <w:sz w:val="24"/>
                <w:highlight w:val="none"/>
                <w:lang w:val="en-US" w:eastAsia="zh-CN" w:bidi="zh-CN"/>
              </w:rPr>
              <w:t>2.673</w:t>
            </w:r>
            <w:r>
              <w:rPr>
                <w:rFonts w:ascii="Times New Roman" w:hAnsi="Times New Roman" w:eastAsia="宋体" w:cs="Times New Roman"/>
                <w:color w:val="auto"/>
                <w:sz w:val="24"/>
                <w:highlight w:val="none"/>
                <w:lang w:eastAsia="zh-CN" w:bidi="zh-CN"/>
              </w:rPr>
              <w:t>t/a</w:t>
            </w:r>
            <w:r>
              <w:rPr>
                <w:rFonts w:hint="eastAsia" w:ascii="Times New Roman" w:hAnsi="Times New Roman" w:eastAsia="宋体" w:cs="Times New Roman"/>
                <w:color w:val="auto"/>
                <w:sz w:val="24"/>
                <w:highlight w:val="none"/>
                <w:lang w:val="en-US" w:eastAsia="zh-CN" w:bidi="zh-CN"/>
              </w:rPr>
              <w:t>，</w:t>
            </w:r>
            <w:r>
              <w:rPr>
                <w:rFonts w:hint="eastAsia" w:ascii="Times New Roman" w:hAnsi="Times New Roman" w:eastAsia="宋体" w:cs="Times New Roman"/>
                <w:color w:val="auto"/>
                <w:sz w:val="24"/>
                <w:highlight w:val="none"/>
                <w:lang w:eastAsia="zh-CN" w:bidi="zh-CN"/>
              </w:rPr>
              <w:t>类别为HW49</w:t>
            </w:r>
            <w:r>
              <w:rPr>
                <w:rFonts w:hint="eastAsia" w:cs="Times New Roman"/>
                <w:color w:val="auto"/>
                <w:sz w:val="24"/>
                <w:highlight w:val="none"/>
                <w:lang w:eastAsia="zh-CN" w:bidi="zh-CN"/>
              </w:rPr>
              <w:t>，</w:t>
            </w:r>
            <w:r>
              <w:rPr>
                <w:rFonts w:hint="eastAsia" w:ascii="Times New Roman" w:hAnsi="Times New Roman" w:eastAsia="宋体" w:cs="Times New Roman"/>
                <w:color w:val="auto"/>
                <w:sz w:val="24"/>
                <w:highlight w:val="none"/>
                <w:lang w:eastAsia="zh-CN" w:bidi="zh-CN"/>
              </w:rPr>
              <w:t>900-041-49，</w:t>
            </w:r>
            <w:r>
              <w:rPr>
                <w:rFonts w:ascii="Times New Roman" w:hAnsi="Times New Roman" w:eastAsia="宋体" w:cs="Times New Roman"/>
                <w:color w:val="auto"/>
                <w:sz w:val="24"/>
                <w:highlight w:val="none"/>
                <w:lang w:eastAsia="zh-CN" w:bidi="zh-CN"/>
              </w:rPr>
              <w:t>废</w:t>
            </w:r>
            <w:r>
              <w:rPr>
                <w:rFonts w:hint="eastAsia" w:ascii="Times New Roman" w:hAnsi="Times New Roman" w:eastAsia="宋体" w:cs="Times New Roman"/>
                <w:color w:val="auto"/>
                <w:sz w:val="24"/>
                <w:highlight w:val="none"/>
                <w:lang w:val="en-US" w:eastAsia="zh-CN" w:bidi="zh-CN"/>
              </w:rPr>
              <w:t>水性</w:t>
            </w:r>
            <w:r>
              <w:rPr>
                <w:rFonts w:ascii="Times New Roman" w:hAnsi="Times New Roman" w:eastAsia="宋体" w:cs="Times New Roman"/>
                <w:color w:val="auto"/>
                <w:sz w:val="24"/>
                <w:highlight w:val="none"/>
                <w:lang w:eastAsia="zh-CN" w:bidi="zh-CN"/>
              </w:rPr>
              <w:t>漆桶经收集后，暂存于厂区危废暂存库，</w:t>
            </w:r>
            <w:r>
              <w:rPr>
                <w:rFonts w:hint="eastAsia" w:ascii="宋体" w:hAnsi="宋体" w:eastAsia="宋体" w:cs="宋体"/>
                <w:color w:val="auto"/>
                <w:sz w:val="24"/>
                <w:szCs w:val="24"/>
                <w:highlight w:val="none"/>
                <w:lang w:eastAsia="zh-CN"/>
              </w:rPr>
              <w:t>委托有资质单位处置。</w:t>
            </w:r>
          </w:p>
          <w:p w14:paraId="0BB583AF">
            <w:pPr>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④漆渣：根据前文物料分析，项目漆渣年产</w:t>
            </w:r>
            <w:r>
              <w:rPr>
                <w:rFonts w:hint="eastAsia" w:cs="Times New Roman"/>
                <w:color w:val="auto"/>
                <w:sz w:val="24"/>
                <w:highlight w:val="none"/>
                <w:lang w:val="en-US" w:eastAsia="zh-CN"/>
              </w:rPr>
              <w:t>0.849</w:t>
            </w:r>
            <w:r>
              <w:rPr>
                <w:rFonts w:hint="eastAsia" w:ascii="Times New Roman" w:hAnsi="Times New Roman" w:eastAsia="宋体" w:cs="Times New Roman"/>
                <w:color w:val="auto"/>
                <w:sz w:val="24"/>
                <w:highlight w:val="none"/>
                <w:lang w:val="en-US" w:eastAsia="zh-CN"/>
              </w:rPr>
              <w:t>t/a。漆渣属于危险废物，危废类别为</w:t>
            </w:r>
            <w:r>
              <w:rPr>
                <w:rFonts w:hint="eastAsia" w:ascii="Times New Roman" w:hAnsi="Times New Roman" w:eastAsia="宋体" w:cs="Times New Roman"/>
                <w:color w:val="auto"/>
                <w:sz w:val="24"/>
                <w:highlight w:val="none"/>
                <w:lang w:eastAsia="zh-CN" w:bidi="zh-CN"/>
              </w:rPr>
              <w:t>HW49</w:t>
            </w:r>
            <w:r>
              <w:rPr>
                <w:rFonts w:hint="eastAsia" w:cs="Times New Roman"/>
                <w:color w:val="auto"/>
                <w:sz w:val="24"/>
                <w:highlight w:val="none"/>
                <w:lang w:eastAsia="zh-CN" w:bidi="zh-CN"/>
              </w:rPr>
              <w:t>，</w:t>
            </w:r>
            <w:r>
              <w:rPr>
                <w:rFonts w:hint="eastAsia" w:ascii="Times New Roman" w:hAnsi="Times New Roman" w:eastAsia="宋体" w:cs="Times New Roman"/>
                <w:color w:val="auto"/>
                <w:sz w:val="24"/>
                <w:highlight w:val="none"/>
                <w:lang w:eastAsia="zh-CN" w:bidi="zh-CN"/>
              </w:rPr>
              <w:t>900-041-49，</w:t>
            </w:r>
            <w:r>
              <w:rPr>
                <w:rFonts w:hint="eastAsia" w:ascii="Times New Roman" w:hAnsi="Times New Roman" w:eastAsia="宋体" w:cs="Times New Roman"/>
                <w:color w:val="auto"/>
                <w:sz w:val="24"/>
                <w:highlight w:val="none"/>
                <w:lang w:val="en-US" w:eastAsia="zh-CN" w:bidi="zh-CN"/>
              </w:rPr>
              <w:t>漆渣经收集后暂存于危险废物暂存间，委托有资质单位进行处置。</w:t>
            </w:r>
          </w:p>
          <w:p w14:paraId="4F8C0B1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highlight w:val="none"/>
                <w:lang w:val="en-US" w:bidi="zh-CN"/>
              </w:rPr>
            </w:pPr>
            <w:r>
              <w:rPr>
                <w:rFonts w:hint="eastAsia" w:cs="Times New Roman"/>
                <w:color w:val="auto"/>
                <w:sz w:val="24"/>
                <w:highlight w:val="none"/>
                <w:lang w:val="en-US" w:eastAsia="zh-CN"/>
              </w:rPr>
              <w:t>⑤</w:t>
            </w:r>
            <w:r>
              <w:rPr>
                <w:rFonts w:hint="eastAsia" w:cs="Times New Roman"/>
                <w:color w:val="auto"/>
                <w:sz w:val="24"/>
                <w:highlight w:val="none"/>
                <w:lang w:val="en-US" w:bidi="zh-CN"/>
              </w:rPr>
              <w:t>废机油</w:t>
            </w:r>
          </w:p>
          <w:p w14:paraId="08BD687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lang w:bidi="zh-CN"/>
              </w:rPr>
              <w:t>本项目设备维护保养时产生的废机油，年产生量约</w:t>
            </w:r>
            <w:r>
              <w:rPr>
                <w:rFonts w:hint="eastAsia" w:cs="Times New Roman"/>
                <w:color w:val="auto"/>
                <w:sz w:val="24"/>
                <w:highlight w:val="none"/>
                <w:lang w:val="en-US" w:bidi="zh-CN"/>
              </w:rPr>
              <w:t>1</w:t>
            </w:r>
            <w:r>
              <w:rPr>
                <w:rFonts w:hint="default" w:ascii="Times New Roman" w:hAnsi="Times New Roman" w:eastAsia="宋体" w:cs="Times New Roman"/>
                <w:color w:val="auto"/>
                <w:sz w:val="24"/>
                <w:highlight w:val="none"/>
                <w:lang w:bidi="zh-CN"/>
              </w:rPr>
              <w:t>t/a。经查《国家危险废物名录（202</w:t>
            </w:r>
            <w:r>
              <w:rPr>
                <w:rFonts w:hint="eastAsia" w:cs="Times New Roman"/>
                <w:color w:val="auto"/>
                <w:sz w:val="24"/>
                <w:highlight w:val="none"/>
                <w:lang w:val="en-US" w:bidi="zh-CN"/>
              </w:rPr>
              <w:t>5</w:t>
            </w:r>
            <w:r>
              <w:rPr>
                <w:rFonts w:hint="default" w:ascii="Times New Roman" w:hAnsi="Times New Roman" w:eastAsia="宋体" w:cs="Times New Roman"/>
                <w:color w:val="auto"/>
                <w:sz w:val="24"/>
                <w:highlight w:val="none"/>
                <w:lang w:bidi="zh-CN"/>
              </w:rPr>
              <w:t>版）》，为危险固废，废物类别为HW08</w:t>
            </w:r>
            <w:r>
              <w:rPr>
                <w:rFonts w:hint="default" w:ascii="Times New Roman" w:hAnsi="Times New Roman" w:cs="Times New Roman"/>
                <w:color w:val="auto"/>
                <w:sz w:val="24"/>
                <w:highlight w:val="none"/>
                <w:lang w:bidi="zh-CN"/>
              </w:rPr>
              <w:t>，</w:t>
            </w:r>
            <w:r>
              <w:rPr>
                <w:rFonts w:hint="default" w:ascii="Times New Roman" w:hAnsi="Times New Roman" w:eastAsia="宋体" w:cs="Times New Roman"/>
                <w:color w:val="auto"/>
                <w:sz w:val="24"/>
                <w:highlight w:val="none"/>
                <w:lang w:bidi="zh-CN"/>
              </w:rPr>
              <w:t>900-249-08，委托有资质单位收集处理。</w:t>
            </w:r>
          </w:p>
          <w:p w14:paraId="1F4C5B7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highlight w:val="none"/>
                <w:lang w:bidi="zh-CN"/>
              </w:rPr>
            </w:pPr>
            <w:r>
              <w:rPr>
                <w:rFonts w:hint="eastAsia" w:ascii="Times New Roman" w:hAnsi="Times New Roman" w:cs="Times New Roman"/>
                <w:color w:val="auto"/>
                <w:sz w:val="24"/>
                <w:highlight w:val="none"/>
                <w:lang w:val="en-US" w:bidi="zh-CN"/>
              </w:rPr>
              <w:t>⑥</w:t>
            </w:r>
            <w:r>
              <w:rPr>
                <w:rFonts w:hint="default" w:ascii="Times New Roman" w:hAnsi="Times New Roman" w:eastAsia="宋体" w:cs="Times New Roman"/>
                <w:color w:val="auto"/>
                <w:sz w:val="24"/>
                <w:highlight w:val="none"/>
                <w:lang w:bidi="zh-CN"/>
              </w:rPr>
              <w:t>废机油桶</w:t>
            </w:r>
          </w:p>
          <w:p w14:paraId="6F0C852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highlight w:val="none"/>
                <w:lang w:val="en-US" w:eastAsia="zh-CN" w:bidi="zh-CN"/>
              </w:rPr>
            </w:pPr>
            <w:r>
              <w:rPr>
                <w:rFonts w:hint="default" w:ascii="Times New Roman" w:hAnsi="Times New Roman" w:eastAsia="宋体" w:cs="Times New Roman"/>
                <w:color w:val="auto"/>
                <w:sz w:val="24"/>
                <w:highlight w:val="none"/>
                <w:lang w:bidi="zh-CN"/>
              </w:rPr>
              <w:t>根据原料使用量，项目一年共产生</w:t>
            </w:r>
            <w:r>
              <w:rPr>
                <w:rFonts w:hint="eastAsia" w:cs="Times New Roman"/>
                <w:color w:val="auto"/>
                <w:sz w:val="24"/>
                <w:highlight w:val="none"/>
                <w:lang w:val="en-US" w:bidi="zh-CN"/>
              </w:rPr>
              <w:t>20</w:t>
            </w:r>
            <w:r>
              <w:rPr>
                <w:rFonts w:hint="default" w:ascii="Times New Roman" w:hAnsi="Times New Roman" w:eastAsia="宋体" w:cs="Times New Roman"/>
                <w:color w:val="auto"/>
                <w:sz w:val="24"/>
                <w:highlight w:val="none"/>
                <w:lang w:bidi="zh-CN"/>
              </w:rPr>
              <w:t>个废机油桶，平均每个包装重约5kg，则废机油桶产生量为0.</w:t>
            </w:r>
            <w:r>
              <w:rPr>
                <w:rFonts w:hint="eastAsia" w:cs="Times New Roman"/>
                <w:color w:val="auto"/>
                <w:sz w:val="24"/>
                <w:highlight w:val="none"/>
                <w:lang w:val="en-US" w:bidi="zh-CN"/>
              </w:rPr>
              <w:t>1</w:t>
            </w:r>
            <w:r>
              <w:rPr>
                <w:rFonts w:hint="default" w:ascii="Times New Roman" w:hAnsi="Times New Roman" w:eastAsia="宋体" w:cs="Times New Roman"/>
                <w:color w:val="auto"/>
                <w:sz w:val="24"/>
                <w:highlight w:val="none"/>
                <w:lang w:bidi="zh-CN"/>
              </w:rPr>
              <w:t>t/a，废油桶属于危险物质，危废类别为HW08，900-249-08，废</w:t>
            </w:r>
            <w:r>
              <w:rPr>
                <w:rFonts w:hint="default" w:ascii="Times New Roman" w:hAnsi="Times New Roman" w:eastAsia="宋体" w:cs="Times New Roman"/>
                <w:color w:val="auto"/>
                <w:sz w:val="24"/>
                <w:highlight w:val="none"/>
                <w:lang w:val="en-US" w:bidi="zh-CN"/>
              </w:rPr>
              <w:t>机</w:t>
            </w:r>
            <w:r>
              <w:rPr>
                <w:rFonts w:hint="default" w:ascii="Times New Roman" w:hAnsi="Times New Roman" w:eastAsia="宋体" w:cs="Times New Roman"/>
                <w:color w:val="auto"/>
                <w:sz w:val="24"/>
                <w:highlight w:val="none"/>
                <w:lang w:bidi="zh-CN"/>
              </w:rPr>
              <w:t>油桶经收集后，暂存于厂区危废暂存库，委托有资质单位处置。</w:t>
            </w:r>
          </w:p>
          <w:p w14:paraId="50689B8F">
            <w:pPr>
              <w:pageBreakBefore w:val="0"/>
              <w:overflowPunct/>
              <w:topLinePunct w:val="0"/>
              <w:bidi w:val="0"/>
              <w:adjustRightInd/>
              <w:snapToGrid/>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⑦脱脂和无铬钝化槽渣、污水处理措施污泥</w:t>
            </w:r>
          </w:p>
          <w:p w14:paraId="6B59E3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槽渣主要来源于喷涂前处理中的脱脂、无铬钝化工序，产生量约0.2t/a；污泥主要来源于脱脂废水、无铬钝化废水沉淀后产生的污泥，污泥由自建污水处理沉淀/气浮工序产生，定期由员工将污水处理站中的污泥取出，通过编织袋过滤其中水分，其过程均在脱脂过滤沉淀池处进行，避免产生的废水外溢，项目污泥类比同类型项目，产生量约为0.8t/a。因此，槽渣及污泥总产生量为1t/a，根据《国家危险废物名录》（2025）中要求脱脂、无铬钝化槽渣及污泥属于“HW17，3336-064-17金属或塑料表面酸（碱）洗、除油、除锈、洗涤、磷化、抛光等工艺产生的废腐蚀液、废洗涤液、废槽液、槽渣和废水处理污泥。”因此，本项目环评要求采用专用防腐容器收集，暂存于危险废物暂存间，并交由有资质的单位处置。</w:t>
            </w:r>
          </w:p>
          <w:p w14:paraId="32F92E08">
            <w:pPr>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（3）生活垃圾</w:t>
            </w:r>
          </w:p>
          <w:p w14:paraId="141C05D0">
            <w:pPr>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本项目职工定员</w:t>
            </w:r>
            <w:r>
              <w:rPr>
                <w:rFonts w:hint="eastAsia" w:cs="Times New Roman"/>
                <w:color w:val="auto"/>
                <w:sz w:val="24"/>
                <w:highlight w:val="none"/>
                <w:lang w:val="en-US" w:eastAsia="zh-CN"/>
              </w:rPr>
              <w:t>120</w:t>
            </w:r>
            <w:r>
              <w:rPr>
                <w:rFonts w:hint="default" w:ascii="Times New Roman" w:hAnsi="Times New Roman" w:eastAsia="宋体" w:cs="Times New Roman"/>
                <w:color w:val="auto"/>
                <w:sz w:val="24"/>
                <w:highlight w:val="none"/>
              </w:rPr>
              <w:t>人，按0.5kg/人•d计算，则生活垃圾产生量</w:t>
            </w:r>
            <w:r>
              <w:rPr>
                <w:rFonts w:hint="eastAsia" w:cs="Times New Roman"/>
                <w:color w:val="auto"/>
                <w:sz w:val="24"/>
                <w:highlight w:val="none"/>
                <w:lang w:val="en-US" w:eastAsia="zh-CN"/>
              </w:rPr>
              <w:t>18</w:t>
            </w:r>
            <w:r>
              <w:rPr>
                <w:rFonts w:hint="default" w:ascii="Times New Roman" w:hAnsi="Times New Roman" w:eastAsia="宋体" w:cs="Times New Roman"/>
                <w:color w:val="auto"/>
                <w:sz w:val="24"/>
                <w:highlight w:val="none"/>
              </w:rPr>
              <w:t>t/a，集中收集后交由环卫部门统一清运处理。</w:t>
            </w:r>
          </w:p>
          <w:p w14:paraId="711009C1">
            <w:pPr>
              <w:pageBreakBefore w:val="0"/>
              <w:overflowPunct/>
              <w:topLinePunct w:val="0"/>
              <w:bidi w:val="0"/>
              <w:adjustRightInd/>
              <w:snapToGrid/>
              <w:spacing w:line="360" w:lineRule="auto"/>
              <w:ind w:left="160" w:right="239" w:firstLine="480"/>
              <w:rPr>
                <w:rFonts w:hint="default" w:ascii="Times New Roman" w:hAnsi="Times New Roman" w:eastAsia="宋体" w:cs="Times New Roman"/>
                <w:color w:val="auto"/>
                <w:sz w:val="24"/>
                <w:highlight w:val="none"/>
                <w:lang w:bidi="zh-CN"/>
              </w:rPr>
            </w:pPr>
            <w:r>
              <w:rPr>
                <w:rFonts w:hint="default" w:ascii="Times New Roman" w:hAnsi="Times New Roman" w:eastAsia="宋体" w:cs="Times New Roman"/>
                <w:color w:val="auto"/>
                <w:sz w:val="24"/>
                <w:highlight w:val="none"/>
                <w:lang w:bidi="zh-CN"/>
              </w:rPr>
              <w:t>项目运营期固体废物产生情况见表4-1</w:t>
            </w:r>
            <w:r>
              <w:rPr>
                <w:rFonts w:hint="eastAsia" w:cs="Times New Roman"/>
                <w:color w:val="auto"/>
                <w:sz w:val="24"/>
                <w:highlight w:val="none"/>
                <w:lang w:val="en-US" w:bidi="zh-CN"/>
              </w:rPr>
              <w:t>5</w:t>
            </w:r>
            <w:r>
              <w:rPr>
                <w:rFonts w:hint="default" w:ascii="Times New Roman" w:hAnsi="Times New Roman" w:eastAsia="宋体" w:cs="Times New Roman"/>
                <w:color w:val="auto"/>
                <w:sz w:val="24"/>
                <w:highlight w:val="none"/>
                <w:lang w:bidi="zh-CN"/>
              </w:rPr>
              <w:t>。</w:t>
            </w:r>
          </w:p>
          <w:p w14:paraId="0BF0543B">
            <w:pPr>
              <w:pageBreakBefore w:val="0"/>
              <w:overflowPunct/>
              <w:topLinePunct w:val="0"/>
              <w:bidi w:val="0"/>
              <w:adjustRightInd/>
              <w:snapToGrid/>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表4-1</w:t>
            </w:r>
            <w:r>
              <w:rPr>
                <w:rFonts w:hint="eastAsia" w:cs="Times New Roman"/>
                <w:b/>
                <w:bCs/>
                <w:color w:val="auto"/>
                <w:sz w:val="24"/>
                <w:highlight w:val="none"/>
                <w:lang w:val="en-US" w:eastAsia="zh-CN"/>
              </w:rPr>
              <w:t>5</w:t>
            </w:r>
            <w:r>
              <w:rPr>
                <w:rFonts w:hint="eastAsia"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本项目固废产生情况汇总表  单位：t/a</w:t>
            </w:r>
          </w:p>
          <w:tbl>
            <w:tblPr>
              <w:tblStyle w:val="25"/>
              <w:tblW w:w="499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5"/>
              <w:gridCol w:w="737"/>
              <w:gridCol w:w="816"/>
              <w:gridCol w:w="504"/>
              <w:gridCol w:w="586"/>
              <w:gridCol w:w="873"/>
              <w:gridCol w:w="598"/>
              <w:gridCol w:w="991"/>
              <w:gridCol w:w="995"/>
              <w:gridCol w:w="522"/>
              <w:gridCol w:w="1152"/>
            </w:tblGrid>
            <w:tr w14:paraId="41539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60CB280B">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455" w:type="pct"/>
                  <w:tcBorders>
                    <w:tl2br w:val="nil"/>
                    <w:tr2bl w:val="nil"/>
                  </w:tcBorders>
                  <w:noWrap w:val="0"/>
                  <w:vAlign w:val="center"/>
                </w:tcPr>
                <w:p w14:paraId="7AB65569">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固废名称</w:t>
                  </w:r>
                </w:p>
              </w:tc>
              <w:tc>
                <w:tcPr>
                  <w:tcW w:w="504" w:type="pct"/>
                  <w:tcBorders>
                    <w:tl2br w:val="nil"/>
                    <w:tr2bl w:val="nil"/>
                  </w:tcBorders>
                  <w:noWrap w:val="0"/>
                  <w:vAlign w:val="center"/>
                </w:tcPr>
                <w:p w14:paraId="1B1C1695">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产生工序</w:t>
                  </w:r>
                </w:p>
              </w:tc>
              <w:tc>
                <w:tcPr>
                  <w:tcW w:w="311" w:type="pct"/>
                  <w:tcBorders>
                    <w:tl2br w:val="nil"/>
                    <w:tr2bl w:val="nil"/>
                  </w:tcBorders>
                  <w:noWrap w:val="0"/>
                  <w:vAlign w:val="center"/>
                </w:tcPr>
                <w:p w14:paraId="6254E217">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属性</w:t>
                  </w:r>
                </w:p>
              </w:tc>
              <w:tc>
                <w:tcPr>
                  <w:tcW w:w="362" w:type="pct"/>
                  <w:tcBorders>
                    <w:tl2br w:val="nil"/>
                    <w:tr2bl w:val="nil"/>
                  </w:tcBorders>
                  <w:noWrap w:val="0"/>
                  <w:vAlign w:val="center"/>
                </w:tcPr>
                <w:p w14:paraId="12F2696D">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形态</w:t>
                  </w:r>
                </w:p>
              </w:tc>
              <w:tc>
                <w:tcPr>
                  <w:tcW w:w="539" w:type="pct"/>
                  <w:tcBorders>
                    <w:tl2br w:val="nil"/>
                    <w:tr2bl w:val="nil"/>
                  </w:tcBorders>
                  <w:noWrap w:val="0"/>
                  <w:vAlign w:val="center"/>
                </w:tcPr>
                <w:p w14:paraId="375267B8">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主要成分</w:t>
                  </w:r>
                </w:p>
              </w:tc>
              <w:tc>
                <w:tcPr>
                  <w:tcW w:w="369" w:type="pct"/>
                  <w:tcBorders>
                    <w:tl2br w:val="nil"/>
                    <w:tr2bl w:val="nil"/>
                  </w:tcBorders>
                  <w:noWrap w:val="0"/>
                  <w:vAlign w:val="center"/>
                </w:tcPr>
                <w:p w14:paraId="7EFC5CC9">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产生量</w:t>
                  </w:r>
                  <w:r>
                    <w:rPr>
                      <w:rFonts w:hint="eastAsia" w:ascii="Times New Roman" w:hAnsi="Times New Roman" w:eastAsia="宋体" w:cs="Times New Roman"/>
                      <w:color w:val="auto"/>
                      <w:szCs w:val="21"/>
                      <w:highlight w:val="none"/>
                      <w:lang w:val="en-US" w:eastAsia="zh-CN"/>
                    </w:rPr>
                    <w:t>t/a</w:t>
                  </w:r>
                </w:p>
              </w:tc>
              <w:tc>
                <w:tcPr>
                  <w:tcW w:w="612" w:type="pct"/>
                  <w:tcBorders>
                    <w:tl2br w:val="nil"/>
                    <w:tr2bl w:val="nil"/>
                  </w:tcBorders>
                  <w:noWrap w:val="0"/>
                  <w:vAlign w:val="center"/>
                </w:tcPr>
                <w:p w14:paraId="7103538C">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废物类别</w:t>
                  </w:r>
                </w:p>
              </w:tc>
              <w:tc>
                <w:tcPr>
                  <w:tcW w:w="614" w:type="pct"/>
                  <w:tcBorders>
                    <w:tl2br w:val="nil"/>
                    <w:tr2bl w:val="nil"/>
                  </w:tcBorders>
                  <w:noWrap w:val="0"/>
                  <w:vAlign w:val="center"/>
                </w:tcPr>
                <w:p w14:paraId="47D74C42">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废物代码</w:t>
                  </w:r>
                </w:p>
              </w:tc>
              <w:tc>
                <w:tcPr>
                  <w:tcW w:w="322" w:type="pct"/>
                  <w:tcBorders>
                    <w:tl2br w:val="nil"/>
                    <w:tr2bl w:val="nil"/>
                  </w:tcBorders>
                  <w:noWrap w:val="0"/>
                  <w:vAlign w:val="center"/>
                </w:tcPr>
                <w:p w14:paraId="0FA65E7A">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危险特性</w:t>
                  </w:r>
                </w:p>
              </w:tc>
              <w:tc>
                <w:tcPr>
                  <w:tcW w:w="711" w:type="pct"/>
                  <w:tcBorders>
                    <w:tl2br w:val="nil"/>
                    <w:tr2bl w:val="nil"/>
                  </w:tcBorders>
                  <w:noWrap w:val="0"/>
                  <w:vAlign w:val="center"/>
                </w:tcPr>
                <w:p w14:paraId="018BD99A">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利用处置方式</w:t>
                  </w:r>
                </w:p>
              </w:tc>
            </w:tr>
            <w:tr w14:paraId="0B985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20BA577B">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455" w:type="pct"/>
                  <w:tcBorders>
                    <w:tl2br w:val="nil"/>
                    <w:tr2bl w:val="nil"/>
                  </w:tcBorders>
                  <w:noWrap w:val="0"/>
                  <w:vAlign w:val="center"/>
                </w:tcPr>
                <w:p w14:paraId="3EE2F652">
                  <w:pPr>
                    <w:pageBreakBefore w:val="0"/>
                    <w:kinsoku/>
                    <w:overflowPunct/>
                    <w:topLinePunct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lang w:eastAsia="zh-CN"/>
                    </w:rPr>
                    <w:t>金属边角料</w:t>
                  </w:r>
                </w:p>
              </w:tc>
              <w:tc>
                <w:tcPr>
                  <w:tcW w:w="504" w:type="pct"/>
                  <w:tcBorders>
                    <w:tl2br w:val="nil"/>
                    <w:tr2bl w:val="nil"/>
                  </w:tcBorders>
                  <w:noWrap w:val="0"/>
                  <w:vAlign w:val="center"/>
                </w:tcPr>
                <w:p w14:paraId="64335D2A">
                  <w:pPr>
                    <w:pageBreakBefore w:val="0"/>
                    <w:kinsoku/>
                    <w:overflowPunct/>
                    <w:topLinePunct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rPr>
                    <w:t>原料</w:t>
                  </w:r>
                  <w:r>
                    <w:rPr>
                      <w:rFonts w:ascii="Times New Roman" w:hAnsi="Times New Roman" w:eastAsia="宋体" w:cs="Times New Roman"/>
                      <w:color w:val="auto"/>
                      <w:highlight w:val="none"/>
                      <w:lang w:eastAsia="zh-CN"/>
                    </w:rPr>
                    <w:t>加工</w:t>
                  </w:r>
                </w:p>
              </w:tc>
              <w:tc>
                <w:tcPr>
                  <w:tcW w:w="311" w:type="pct"/>
                  <w:tcBorders>
                    <w:tl2br w:val="nil"/>
                    <w:tr2bl w:val="nil"/>
                  </w:tcBorders>
                  <w:noWrap w:val="0"/>
                  <w:vAlign w:val="center"/>
                </w:tcPr>
                <w:p w14:paraId="28A53DEB">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一般固废</w:t>
                  </w:r>
                </w:p>
              </w:tc>
              <w:tc>
                <w:tcPr>
                  <w:tcW w:w="362" w:type="pct"/>
                  <w:tcBorders>
                    <w:tl2br w:val="nil"/>
                    <w:tr2bl w:val="nil"/>
                  </w:tcBorders>
                  <w:noWrap w:val="0"/>
                  <w:vAlign w:val="center"/>
                </w:tcPr>
                <w:p w14:paraId="58F545FA">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0A33BC20">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lang w:eastAsia="zh-CN"/>
                    </w:rPr>
                    <w:t>钢材</w:t>
                  </w:r>
                </w:p>
              </w:tc>
              <w:tc>
                <w:tcPr>
                  <w:tcW w:w="369" w:type="pct"/>
                  <w:tcBorders>
                    <w:tl2br w:val="nil"/>
                    <w:tr2bl w:val="nil"/>
                  </w:tcBorders>
                  <w:noWrap w:val="0"/>
                  <w:vAlign w:val="center"/>
                </w:tcPr>
                <w:p w14:paraId="7797F4D4">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snapToGrid w:val="0"/>
                      <w:color w:val="auto"/>
                      <w:sz w:val="21"/>
                      <w:szCs w:val="18"/>
                      <w:highlight w:val="none"/>
                      <w:lang w:val="en-US" w:eastAsia="zh-CN" w:bidi="zh-CN"/>
                    </w:rPr>
                    <w:t>5.17</w:t>
                  </w:r>
                </w:p>
              </w:tc>
              <w:tc>
                <w:tcPr>
                  <w:tcW w:w="612" w:type="pct"/>
                  <w:tcBorders>
                    <w:tl2br w:val="nil"/>
                    <w:tr2bl w:val="nil"/>
                  </w:tcBorders>
                  <w:noWrap w:val="0"/>
                  <w:vAlign w:val="center"/>
                </w:tcPr>
                <w:p w14:paraId="22C8C9E2">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614" w:type="pct"/>
                  <w:tcBorders>
                    <w:tl2br w:val="nil"/>
                    <w:tr2bl w:val="nil"/>
                  </w:tcBorders>
                  <w:noWrap w:val="0"/>
                  <w:vAlign w:val="center"/>
                </w:tcPr>
                <w:p w14:paraId="3DA660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900</w:t>
                  </w:r>
                  <w:r>
                    <w:rPr>
                      <w:rFonts w:hint="default" w:ascii="Times New Roman" w:hAnsi="Times New Roman" w:eastAsia="宋体" w:cs="Times New Roman"/>
                      <w:b w:val="0"/>
                      <w:bCs w:val="0"/>
                      <w:color w:val="auto"/>
                      <w:szCs w:val="21"/>
                      <w:highlight w:val="none"/>
                    </w:rPr>
                    <w:t>-999-99</w:t>
                  </w:r>
                </w:p>
              </w:tc>
              <w:tc>
                <w:tcPr>
                  <w:tcW w:w="322" w:type="pct"/>
                  <w:tcBorders>
                    <w:tl2br w:val="nil"/>
                    <w:tr2bl w:val="nil"/>
                  </w:tcBorders>
                  <w:noWrap w:val="0"/>
                  <w:vAlign w:val="center"/>
                </w:tcPr>
                <w:p w14:paraId="11E54036">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1" w:type="pct"/>
                  <w:tcBorders>
                    <w:tl2br w:val="nil"/>
                    <w:tr2bl w:val="nil"/>
                  </w:tcBorders>
                  <w:noWrap w:val="0"/>
                  <w:vAlign w:val="center"/>
                </w:tcPr>
                <w:p w14:paraId="6AC3C8D7">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统一收集后外售处理</w:t>
                  </w:r>
                </w:p>
              </w:tc>
            </w:tr>
            <w:tr w14:paraId="5FB4A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6CE10970">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455" w:type="pct"/>
                  <w:tcBorders>
                    <w:tl2br w:val="nil"/>
                    <w:tr2bl w:val="nil"/>
                  </w:tcBorders>
                  <w:noWrap w:val="0"/>
                  <w:vAlign w:val="center"/>
                </w:tcPr>
                <w:p w14:paraId="38BA4C82">
                  <w:pPr>
                    <w:pageBreakBefore w:val="0"/>
                    <w:kinsoku/>
                    <w:overflowPunct/>
                    <w:topLinePunct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lang w:eastAsia="zh-CN"/>
                    </w:rPr>
                    <w:t>焊渣</w:t>
                  </w:r>
                </w:p>
              </w:tc>
              <w:tc>
                <w:tcPr>
                  <w:tcW w:w="504" w:type="pct"/>
                  <w:tcBorders>
                    <w:tl2br w:val="nil"/>
                    <w:tr2bl w:val="nil"/>
                  </w:tcBorders>
                  <w:noWrap w:val="0"/>
                  <w:vAlign w:val="center"/>
                </w:tcPr>
                <w:p w14:paraId="5AA890D1">
                  <w:pPr>
                    <w:pageBreakBefore w:val="0"/>
                    <w:kinsoku/>
                    <w:overflowPunct/>
                    <w:topLinePunct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lang w:eastAsia="zh-CN"/>
                    </w:rPr>
                    <w:t>焊接</w:t>
                  </w:r>
                </w:p>
              </w:tc>
              <w:tc>
                <w:tcPr>
                  <w:tcW w:w="311" w:type="pct"/>
                  <w:tcBorders>
                    <w:tl2br w:val="nil"/>
                    <w:tr2bl w:val="nil"/>
                  </w:tcBorders>
                  <w:noWrap w:val="0"/>
                  <w:vAlign w:val="center"/>
                </w:tcPr>
                <w:p w14:paraId="413EEA75">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一般固废</w:t>
                  </w:r>
                </w:p>
              </w:tc>
              <w:tc>
                <w:tcPr>
                  <w:tcW w:w="362" w:type="pct"/>
                  <w:tcBorders>
                    <w:tl2br w:val="nil"/>
                    <w:tr2bl w:val="nil"/>
                  </w:tcBorders>
                  <w:noWrap w:val="0"/>
                  <w:vAlign w:val="center"/>
                </w:tcPr>
                <w:p w14:paraId="65B380C2">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0F6FB740">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lang w:eastAsia="zh-CN"/>
                    </w:rPr>
                    <w:t>金属</w:t>
                  </w:r>
                </w:p>
              </w:tc>
              <w:tc>
                <w:tcPr>
                  <w:tcW w:w="369" w:type="pct"/>
                  <w:tcBorders>
                    <w:tl2br w:val="nil"/>
                    <w:tr2bl w:val="nil"/>
                  </w:tcBorders>
                  <w:noWrap w:val="0"/>
                  <w:vAlign w:val="center"/>
                </w:tcPr>
                <w:p w14:paraId="63078628">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r>
                    <w:rPr>
                      <w:rFonts w:hint="eastAsia" w:cs="Times New Roman"/>
                      <w:color w:val="auto"/>
                      <w:szCs w:val="21"/>
                      <w:highlight w:val="none"/>
                      <w:lang w:val="en-US" w:eastAsia="zh-CN"/>
                    </w:rPr>
                    <w:t>1</w:t>
                  </w:r>
                </w:p>
              </w:tc>
              <w:tc>
                <w:tcPr>
                  <w:tcW w:w="612" w:type="pct"/>
                  <w:tcBorders>
                    <w:tl2br w:val="nil"/>
                    <w:tr2bl w:val="nil"/>
                  </w:tcBorders>
                  <w:noWrap w:val="0"/>
                  <w:vAlign w:val="center"/>
                </w:tcPr>
                <w:p w14:paraId="2F750E83">
                  <w:pPr>
                    <w:pStyle w:val="68"/>
                    <w:pageBreakBefore w:val="0"/>
                    <w:overflowPunct/>
                    <w:topLinePunct w:val="0"/>
                    <w:bidi w:val="0"/>
                    <w:adjustRightInd/>
                    <w:snapToGrid/>
                    <w:spacing w:line="240" w:lineRule="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614" w:type="pct"/>
                  <w:tcBorders>
                    <w:tl2br w:val="nil"/>
                    <w:tr2bl w:val="nil"/>
                  </w:tcBorders>
                  <w:noWrap w:val="0"/>
                  <w:vAlign w:val="center"/>
                </w:tcPr>
                <w:p w14:paraId="14474C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Cs w:val="21"/>
                      <w:highlight w:val="none"/>
                      <w:lang w:val="en-US" w:eastAsia="zh-CN"/>
                    </w:rPr>
                    <w:t>900</w:t>
                  </w:r>
                  <w:r>
                    <w:rPr>
                      <w:rFonts w:hint="default" w:ascii="Times New Roman" w:hAnsi="Times New Roman" w:eastAsia="宋体" w:cs="Times New Roman"/>
                      <w:b w:val="0"/>
                      <w:bCs w:val="0"/>
                      <w:color w:val="auto"/>
                      <w:szCs w:val="21"/>
                      <w:highlight w:val="none"/>
                    </w:rPr>
                    <w:t>-999-99</w:t>
                  </w:r>
                </w:p>
              </w:tc>
              <w:tc>
                <w:tcPr>
                  <w:tcW w:w="322" w:type="pct"/>
                  <w:tcBorders>
                    <w:tl2br w:val="nil"/>
                    <w:tr2bl w:val="nil"/>
                  </w:tcBorders>
                  <w:noWrap w:val="0"/>
                  <w:vAlign w:val="center"/>
                </w:tcPr>
                <w:p w14:paraId="735E6A91">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w:t>
                  </w:r>
                </w:p>
              </w:tc>
              <w:tc>
                <w:tcPr>
                  <w:tcW w:w="711" w:type="pct"/>
                  <w:tcBorders>
                    <w:tl2br w:val="nil"/>
                    <w:tr2bl w:val="nil"/>
                  </w:tcBorders>
                  <w:noWrap w:val="0"/>
                  <w:vAlign w:val="center"/>
                </w:tcPr>
                <w:p w14:paraId="038CCFBB">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统一收集</w:t>
                  </w:r>
                  <w:r>
                    <w:rPr>
                      <w:rFonts w:hint="eastAsia" w:cs="Times New Roman"/>
                      <w:color w:val="auto"/>
                      <w:szCs w:val="21"/>
                      <w:highlight w:val="none"/>
                      <w:lang w:val="en-US" w:eastAsia="zh-CN"/>
                    </w:rPr>
                    <w:t>委托外单位处置</w:t>
                  </w:r>
                </w:p>
              </w:tc>
            </w:tr>
            <w:tr w14:paraId="19BD3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2107826E">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455" w:type="pct"/>
                  <w:tcBorders>
                    <w:tl2br w:val="nil"/>
                    <w:tr2bl w:val="nil"/>
                  </w:tcBorders>
                  <w:noWrap w:val="0"/>
                  <w:vAlign w:val="center"/>
                </w:tcPr>
                <w:p w14:paraId="7CBA9AEC">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布袋除尘器收尘</w:t>
                  </w:r>
                </w:p>
              </w:tc>
              <w:tc>
                <w:tcPr>
                  <w:tcW w:w="504" w:type="pct"/>
                  <w:tcBorders>
                    <w:tl2br w:val="nil"/>
                    <w:tr2bl w:val="nil"/>
                  </w:tcBorders>
                  <w:noWrap w:val="0"/>
                  <w:vAlign w:val="center"/>
                </w:tcPr>
                <w:p w14:paraId="57D9EE5C">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废气收集</w:t>
                  </w:r>
                </w:p>
              </w:tc>
              <w:tc>
                <w:tcPr>
                  <w:tcW w:w="311" w:type="pct"/>
                  <w:tcBorders>
                    <w:tl2br w:val="nil"/>
                    <w:tr2bl w:val="nil"/>
                  </w:tcBorders>
                  <w:noWrap w:val="0"/>
                  <w:vAlign w:val="center"/>
                </w:tcPr>
                <w:p w14:paraId="5F482275">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一般固废</w:t>
                  </w:r>
                </w:p>
              </w:tc>
              <w:tc>
                <w:tcPr>
                  <w:tcW w:w="362" w:type="pct"/>
                  <w:tcBorders>
                    <w:tl2br w:val="nil"/>
                    <w:tr2bl w:val="nil"/>
                  </w:tcBorders>
                  <w:noWrap w:val="0"/>
                  <w:vAlign w:val="center"/>
                </w:tcPr>
                <w:p w14:paraId="6B83AB47">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5CF13989">
                  <w:pPr>
                    <w:pageBreakBefore w:val="0"/>
                    <w:overflowPunct/>
                    <w:topLinePunct w:val="0"/>
                    <w:autoSpaceDE w:val="0"/>
                    <w:autoSpaceDN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金属</w:t>
                  </w:r>
                </w:p>
              </w:tc>
              <w:tc>
                <w:tcPr>
                  <w:tcW w:w="369" w:type="pct"/>
                  <w:tcBorders>
                    <w:tl2br w:val="nil"/>
                    <w:tr2bl w:val="nil"/>
                  </w:tcBorders>
                  <w:noWrap w:val="0"/>
                  <w:vAlign w:val="center"/>
                </w:tcPr>
                <w:p w14:paraId="069CC1AE">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11.163</w:t>
                  </w:r>
                </w:p>
              </w:tc>
              <w:tc>
                <w:tcPr>
                  <w:tcW w:w="612" w:type="pct"/>
                  <w:tcBorders>
                    <w:tl2br w:val="nil"/>
                    <w:tr2bl w:val="nil"/>
                  </w:tcBorders>
                  <w:noWrap w:val="0"/>
                  <w:vAlign w:val="center"/>
                </w:tcPr>
                <w:p w14:paraId="1957965E">
                  <w:pPr>
                    <w:pStyle w:val="68"/>
                    <w:pageBreakBefore w:val="0"/>
                    <w:overflowPunct/>
                    <w:topLinePunct w:val="0"/>
                    <w:bidi w:val="0"/>
                    <w:adjustRightInd/>
                    <w:snapToGrid/>
                    <w:spacing w:line="240" w:lineRule="auto"/>
                    <w:rPr>
                      <w:rFonts w:hint="default" w:cs="Times New Roman"/>
                      <w:color w:val="auto"/>
                      <w:highlight w:val="none"/>
                      <w:lang w:val="en-US" w:eastAsia="zh-CN"/>
                    </w:rPr>
                  </w:pPr>
                  <w:r>
                    <w:rPr>
                      <w:rFonts w:hint="eastAsia" w:cs="Times New Roman"/>
                      <w:color w:val="auto"/>
                      <w:highlight w:val="none"/>
                      <w:lang w:val="en-US" w:eastAsia="zh-CN"/>
                    </w:rPr>
                    <w:t>/</w:t>
                  </w:r>
                </w:p>
              </w:tc>
              <w:tc>
                <w:tcPr>
                  <w:tcW w:w="614" w:type="pct"/>
                  <w:tcBorders>
                    <w:tl2br w:val="nil"/>
                    <w:tr2bl w:val="nil"/>
                  </w:tcBorders>
                  <w:noWrap w:val="0"/>
                  <w:vAlign w:val="center"/>
                </w:tcPr>
                <w:p w14:paraId="2E0D93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eastAsia="zh-CN" w:bidi="ar"/>
                    </w:rPr>
                  </w:pPr>
                  <w:r>
                    <w:rPr>
                      <w:rFonts w:hint="default" w:ascii="Times New Roman" w:hAnsi="Times New Roman" w:cs="Times New Roman"/>
                      <w:b w:val="0"/>
                      <w:bCs w:val="0"/>
                      <w:color w:val="auto"/>
                      <w:szCs w:val="21"/>
                      <w:highlight w:val="none"/>
                    </w:rPr>
                    <w:t>900-999-66</w:t>
                  </w:r>
                </w:p>
              </w:tc>
              <w:tc>
                <w:tcPr>
                  <w:tcW w:w="322" w:type="pct"/>
                  <w:tcBorders>
                    <w:tl2br w:val="nil"/>
                    <w:tr2bl w:val="nil"/>
                  </w:tcBorders>
                  <w:noWrap w:val="0"/>
                  <w:vAlign w:val="center"/>
                </w:tcPr>
                <w:p w14:paraId="2E2CB43F">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11" w:type="pct"/>
                  <w:tcBorders>
                    <w:tl2br w:val="nil"/>
                    <w:tr2bl w:val="nil"/>
                  </w:tcBorders>
                  <w:noWrap w:val="0"/>
                  <w:vAlign w:val="center"/>
                </w:tcPr>
                <w:p w14:paraId="03615574">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统一收集</w:t>
                  </w:r>
                  <w:r>
                    <w:rPr>
                      <w:rFonts w:hint="eastAsia" w:cs="Times New Roman"/>
                      <w:color w:val="auto"/>
                      <w:szCs w:val="21"/>
                      <w:highlight w:val="none"/>
                      <w:lang w:val="en-US" w:eastAsia="zh-CN"/>
                    </w:rPr>
                    <w:t>委托外单位处置</w:t>
                  </w:r>
                </w:p>
              </w:tc>
            </w:tr>
            <w:tr w14:paraId="19FAC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jc w:val="center"/>
              </w:trPr>
              <w:tc>
                <w:tcPr>
                  <w:tcW w:w="195" w:type="pct"/>
                  <w:tcBorders>
                    <w:tl2br w:val="nil"/>
                    <w:tr2bl w:val="nil"/>
                  </w:tcBorders>
                  <w:noWrap w:val="0"/>
                  <w:vAlign w:val="center"/>
                </w:tcPr>
                <w:p w14:paraId="698DA9A7">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455" w:type="pct"/>
                  <w:tcBorders>
                    <w:tl2br w:val="nil"/>
                    <w:tr2bl w:val="nil"/>
                  </w:tcBorders>
                  <w:noWrap w:val="0"/>
                  <w:vAlign w:val="center"/>
                </w:tcPr>
                <w:p w14:paraId="22AE1257">
                  <w:pPr>
                    <w:pStyle w:val="62"/>
                    <w:pageBreakBefore w:val="0"/>
                    <w:overflowPunct/>
                    <w:topLinePunct w:val="0"/>
                    <w:bidi w:val="0"/>
                    <w:adjustRightInd/>
                    <w:snapToGrid/>
                    <w:jc w:val="center"/>
                    <w:rPr>
                      <w:rFonts w:ascii="Times New Roman" w:hAnsi="Times New Roman" w:eastAsia="宋体" w:cs="Times New Roman"/>
                      <w:color w:val="auto"/>
                      <w:highlight w:val="none"/>
                      <w:lang w:eastAsia="zh-CN"/>
                    </w:rPr>
                  </w:pPr>
                  <w:r>
                    <w:rPr>
                      <w:rFonts w:hint="eastAsia" w:ascii="Times New Roman" w:hAnsi="Times New Roman" w:cs="Times New Roman"/>
                      <w:color w:val="auto"/>
                      <w:sz w:val="21"/>
                      <w:szCs w:val="21"/>
                      <w:highlight w:val="none"/>
                      <w:lang w:val="en-US" w:eastAsia="zh-CN"/>
                    </w:rPr>
                    <w:t>滤芯收集尘</w:t>
                  </w:r>
                </w:p>
              </w:tc>
              <w:tc>
                <w:tcPr>
                  <w:tcW w:w="504" w:type="pct"/>
                  <w:tcBorders>
                    <w:tl2br w:val="nil"/>
                    <w:tr2bl w:val="nil"/>
                  </w:tcBorders>
                  <w:noWrap w:val="0"/>
                  <w:vAlign w:val="center"/>
                </w:tcPr>
                <w:p w14:paraId="42524781">
                  <w:pPr>
                    <w:pStyle w:val="62"/>
                    <w:pageBreakBefore w:val="0"/>
                    <w:overflowPunct/>
                    <w:topLinePunct w:val="0"/>
                    <w:bidi w:val="0"/>
                    <w:adjustRightInd/>
                    <w:snapToGrid/>
                    <w:jc w:val="center"/>
                    <w:rPr>
                      <w:rFonts w:ascii="Times New Roman" w:hAnsi="Times New Roman" w:eastAsia="宋体" w:cs="Times New Roman"/>
                      <w:color w:val="auto"/>
                      <w:highlight w:val="none"/>
                      <w:lang w:eastAsia="zh-CN"/>
                    </w:rPr>
                  </w:pPr>
                  <w:r>
                    <w:rPr>
                      <w:rFonts w:hint="eastAsia" w:ascii="Times New Roman" w:hAnsi="Times New Roman" w:cs="Times New Roman"/>
                      <w:color w:val="auto"/>
                      <w:sz w:val="21"/>
                      <w:szCs w:val="21"/>
                      <w:highlight w:val="none"/>
                      <w:lang w:val="en-US" w:eastAsia="zh-CN"/>
                    </w:rPr>
                    <w:t>喷塑</w:t>
                  </w:r>
                </w:p>
              </w:tc>
              <w:tc>
                <w:tcPr>
                  <w:tcW w:w="311" w:type="pct"/>
                  <w:tcBorders>
                    <w:tl2br w:val="nil"/>
                    <w:tr2bl w:val="nil"/>
                  </w:tcBorders>
                  <w:noWrap w:val="0"/>
                  <w:vAlign w:val="center"/>
                </w:tcPr>
                <w:p w14:paraId="22222775">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一般固废</w:t>
                  </w:r>
                </w:p>
              </w:tc>
              <w:tc>
                <w:tcPr>
                  <w:tcW w:w="362" w:type="pct"/>
                  <w:tcBorders>
                    <w:tl2br w:val="nil"/>
                    <w:tr2bl w:val="nil"/>
                  </w:tcBorders>
                  <w:noWrap w:val="0"/>
                  <w:vAlign w:val="center"/>
                </w:tcPr>
                <w:p w14:paraId="5CDE473B">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7314B3DD">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塑粉</w:t>
                  </w:r>
                </w:p>
              </w:tc>
              <w:tc>
                <w:tcPr>
                  <w:tcW w:w="369" w:type="pct"/>
                  <w:tcBorders>
                    <w:tl2br w:val="nil"/>
                    <w:tr2bl w:val="nil"/>
                  </w:tcBorders>
                  <w:noWrap w:val="0"/>
                  <w:vAlign w:val="center"/>
                </w:tcPr>
                <w:p w14:paraId="05F67DE6">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43.384</w:t>
                  </w:r>
                </w:p>
              </w:tc>
              <w:tc>
                <w:tcPr>
                  <w:tcW w:w="612" w:type="pct"/>
                  <w:tcBorders>
                    <w:tl2br w:val="nil"/>
                    <w:tr2bl w:val="nil"/>
                  </w:tcBorders>
                  <w:noWrap w:val="0"/>
                  <w:vAlign w:val="center"/>
                </w:tcPr>
                <w:p w14:paraId="6321F75C">
                  <w:pPr>
                    <w:pStyle w:val="68"/>
                    <w:pageBreakBefore w:val="0"/>
                    <w:overflowPunct/>
                    <w:topLinePunct w:val="0"/>
                    <w:bidi w:val="0"/>
                    <w:adjustRightInd/>
                    <w:snapToGrid/>
                    <w:spacing w:line="240" w:lineRule="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614" w:type="pct"/>
                  <w:tcBorders>
                    <w:tl2br w:val="nil"/>
                    <w:tr2bl w:val="nil"/>
                  </w:tcBorders>
                  <w:noWrap w:val="0"/>
                  <w:vAlign w:val="center"/>
                </w:tcPr>
                <w:p w14:paraId="09416AA3">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b w:val="0"/>
                      <w:bCs w:val="0"/>
                      <w:color w:val="auto"/>
                      <w:szCs w:val="21"/>
                      <w:highlight w:val="none"/>
                    </w:rPr>
                    <w:t>900-999-66</w:t>
                  </w:r>
                </w:p>
              </w:tc>
              <w:tc>
                <w:tcPr>
                  <w:tcW w:w="322" w:type="pct"/>
                  <w:tcBorders>
                    <w:tl2br w:val="nil"/>
                    <w:tr2bl w:val="nil"/>
                  </w:tcBorders>
                  <w:noWrap w:val="0"/>
                  <w:vAlign w:val="center"/>
                </w:tcPr>
                <w:p w14:paraId="15E8C068">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11" w:type="pct"/>
                  <w:tcBorders>
                    <w:tl2br w:val="nil"/>
                    <w:tr2bl w:val="nil"/>
                  </w:tcBorders>
                  <w:noWrap w:val="0"/>
                  <w:vAlign w:val="center"/>
                </w:tcPr>
                <w:p w14:paraId="0098E153">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回用于生产</w:t>
                  </w:r>
                </w:p>
              </w:tc>
            </w:tr>
            <w:tr w14:paraId="35114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5F218964">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455" w:type="pct"/>
                  <w:tcBorders>
                    <w:tl2br w:val="nil"/>
                    <w:tr2bl w:val="nil"/>
                  </w:tcBorders>
                  <w:noWrap w:val="0"/>
                  <w:vAlign w:val="center"/>
                </w:tcPr>
                <w:p w14:paraId="0B5799B8">
                  <w:pPr>
                    <w:pageBreakBefore w:val="0"/>
                    <w:kinsoku/>
                    <w:overflowPunct/>
                    <w:topLinePunct w:val="0"/>
                    <w:bidi w:val="0"/>
                    <w:adjustRightInd/>
                    <w:snapToGrid/>
                    <w:jc w:val="center"/>
                    <w:rPr>
                      <w:rFonts w:hint="eastAsia" w:ascii="Times New Roman" w:hAnsi="Times New Roman" w:cs="Times New Roman"/>
                      <w:color w:val="auto"/>
                      <w:sz w:val="21"/>
                      <w:szCs w:val="21"/>
                      <w:highlight w:val="none"/>
                      <w:lang w:val="en-US" w:eastAsia="zh-CN"/>
                    </w:rPr>
                  </w:pPr>
                  <w:r>
                    <w:rPr>
                      <w:rFonts w:ascii="Times New Roman" w:hAnsi="Times New Roman" w:eastAsia="宋体" w:cs="Times New Roman"/>
                      <w:color w:val="auto"/>
                      <w:highlight w:val="none"/>
                      <w:lang w:eastAsia="zh-CN"/>
                    </w:rPr>
                    <w:t>废过滤棉</w:t>
                  </w:r>
                </w:p>
              </w:tc>
              <w:tc>
                <w:tcPr>
                  <w:tcW w:w="504" w:type="pct"/>
                  <w:tcBorders>
                    <w:tl2br w:val="nil"/>
                    <w:tr2bl w:val="nil"/>
                  </w:tcBorders>
                  <w:noWrap w:val="0"/>
                  <w:vAlign w:val="center"/>
                </w:tcPr>
                <w:p w14:paraId="2DFA22E7">
                  <w:pPr>
                    <w:pageBreakBefore w:val="0"/>
                    <w:kinsoku/>
                    <w:overflowPunct/>
                    <w:topLinePunct w:val="0"/>
                    <w:bidi w:val="0"/>
                    <w:adjustRightInd/>
                    <w:snapToGrid/>
                    <w:jc w:val="center"/>
                    <w:rPr>
                      <w:rFonts w:hint="eastAsia" w:ascii="Times New Roman" w:hAnsi="Times New Roman" w:cs="Times New Roman"/>
                      <w:color w:val="auto"/>
                      <w:sz w:val="21"/>
                      <w:szCs w:val="21"/>
                      <w:highlight w:val="none"/>
                      <w:lang w:val="en-US" w:eastAsia="zh-CN"/>
                    </w:rPr>
                  </w:pPr>
                  <w:r>
                    <w:rPr>
                      <w:rFonts w:ascii="Times New Roman" w:hAnsi="Times New Roman" w:eastAsia="宋体" w:cs="Times New Roman"/>
                      <w:color w:val="auto"/>
                      <w:highlight w:val="none"/>
                      <w:lang w:eastAsia="zh-CN"/>
                    </w:rPr>
                    <w:t>喷漆</w:t>
                  </w:r>
                </w:p>
              </w:tc>
              <w:tc>
                <w:tcPr>
                  <w:tcW w:w="311" w:type="pct"/>
                  <w:tcBorders>
                    <w:tl2br w:val="nil"/>
                    <w:tr2bl w:val="nil"/>
                  </w:tcBorders>
                  <w:noWrap w:val="0"/>
                  <w:vAlign w:val="center"/>
                </w:tcPr>
                <w:p w14:paraId="08724F3D">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危险废物</w:t>
                  </w:r>
                </w:p>
              </w:tc>
              <w:tc>
                <w:tcPr>
                  <w:tcW w:w="362" w:type="pct"/>
                  <w:tcBorders>
                    <w:tl2br w:val="nil"/>
                    <w:tr2bl w:val="nil"/>
                  </w:tcBorders>
                  <w:noWrap w:val="0"/>
                  <w:vAlign w:val="center"/>
                </w:tcPr>
                <w:p w14:paraId="198734C9">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660136BC">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漆雾</w:t>
                  </w:r>
                </w:p>
              </w:tc>
              <w:tc>
                <w:tcPr>
                  <w:tcW w:w="369" w:type="pct"/>
                  <w:tcBorders>
                    <w:tl2br w:val="nil"/>
                    <w:tr2bl w:val="nil"/>
                  </w:tcBorders>
                  <w:noWrap w:val="0"/>
                  <w:vAlign w:val="center"/>
                </w:tcPr>
                <w:p w14:paraId="63DF827C">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18.27</w:t>
                  </w:r>
                </w:p>
              </w:tc>
              <w:tc>
                <w:tcPr>
                  <w:tcW w:w="612" w:type="pct"/>
                  <w:tcBorders>
                    <w:tl2br w:val="nil"/>
                    <w:tr2bl w:val="nil"/>
                  </w:tcBorders>
                  <w:noWrap w:val="0"/>
                  <w:vAlign w:val="center"/>
                </w:tcPr>
                <w:p w14:paraId="224BE30B">
                  <w:pPr>
                    <w:pageBreakBefore w:val="0"/>
                    <w:kinsoku/>
                    <w:overflowPunct/>
                    <w:topLinePunct w:val="0"/>
                    <w:bidi w:val="0"/>
                    <w:adjustRightInd/>
                    <w:snapToGrid/>
                    <w:jc w:val="center"/>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HW49</w:t>
                  </w:r>
                </w:p>
              </w:tc>
              <w:tc>
                <w:tcPr>
                  <w:tcW w:w="614" w:type="pct"/>
                  <w:tcBorders>
                    <w:tl2br w:val="nil"/>
                    <w:tr2bl w:val="nil"/>
                  </w:tcBorders>
                  <w:noWrap w:val="0"/>
                  <w:vAlign w:val="center"/>
                </w:tcPr>
                <w:p w14:paraId="27D89663">
                  <w:pPr>
                    <w:pageBreakBefore w:val="0"/>
                    <w:kinsoku/>
                    <w:overflowPunct/>
                    <w:topLinePunct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lang w:eastAsia="zh-CN"/>
                    </w:rPr>
                    <w:t>900-041-49</w:t>
                  </w:r>
                </w:p>
              </w:tc>
              <w:tc>
                <w:tcPr>
                  <w:tcW w:w="322" w:type="pct"/>
                  <w:tcBorders>
                    <w:tl2br w:val="nil"/>
                    <w:tr2bl w:val="nil"/>
                  </w:tcBorders>
                  <w:noWrap w:val="0"/>
                  <w:vAlign w:val="center"/>
                </w:tcPr>
                <w:p w14:paraId="12B632B3">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highlight w:val="none"/>
                    </w:rPr>
                    <w:t>T/In</w:t>
                  </w:r>
                </w:p>
              </w:tc>
              <w:tc>
                <w:tcPr>
                  <w:tcW w:w="711" w:type="pct"/>
                  <w:vMerge w:val="restart"/>
                  <w:tcBorders>
                    <w:tl2br w:val="nil"/>
                    <w:tr2bl w:val="nil"/>
                  </w:tcBorders>
                  <w:noWrap w:val="0"/>
                  <w:vAlign w:val="center"/>
                </w:tcPr>
                <w:p w14:paraId="4FF8DCA5">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委托有资质单位处置</w:t>
                  </w:r>
                </w:p>
              </w:tc>
            </w:tr>
            <w:tr w14:paraId="76D10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149B9DBF">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455" w:type="pct"/>
                  <w:tcBorders>
                    <w:tl2br w:val="nil"/>
                    <w:tr2bl w:val="nil"/>
                  </w:tcBorders>
                  <w:noWrap w:val="0"/>
                  <w:vAlign w:val="center"/>
                </w:tcPr>
                <w:p w14:paraId="27C33E72">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废活性炭</w:t>
                  </w:r>
                </w:p>
              </w:tc>
              <w:tc>
                <w:tcPr>
                  <w:tcW w:w="504" w:type="pct"/>
                  <w:tcBorders>
                    <w:tl2br w:val="nil"/>
                    <w:tr2bl w:val="nil"/>
                  </w:tcBorders>
                  <w:noWrap w:val="0"/>
                  <w:vAlign w:val="center"/>
                </w:tcPr>
                <w:p w14:paraId="6AEE6197">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废气收集</w:t>
                  </w:r>
                </w:p>
              </w:tc>
              <w:tc>
                <w:tcPr>
                  <w:tcW w:w="311" w:type="pct"/>
                  <w:tcBorders>
                    <w:tl2br w:val="nil"/>
                    <w:tr2bl w:val="nil"/>
                  </w:tcBorders>
                  <w:noWrap w:val="0"/>
                  <w:vAlign w:val="center"/>
                </w:tcPr>
                <w:p w14:paraId="4E63ECAA">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362" w:type="pct"/>
                  <w:tcBorders>
                    <w:tl2br w:val="nil"/>
                    <w:tr2bl w:val="nil"/>
                  </w:tcBorders>
                  <w:noWrap w:val="0"/>
                  <w:vAlign w:val="center"/>
                </w:tcPr>
                <w:p w14:paraId="45A66D08">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272E750D">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有机废气、活性炭</w:t>
                  </w:r>
                </w:p>
              </w:tc>
              <w:tc>
                <w:tcPr>
                  <w:tcW w:w="369" w:type="pct"/>
                  <w:tcBorders>
                    <w:tl2br w:val="nil"/>
                    <w:tr2bl w:val="nil"/>
                  </w:tcBorders>
                  <w:noWrap w:val="0"/>
                  <w:vAlign w:val="center"/>
                </w:tcPr>
                <w:p w14:paraId="57A27A9E">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25.12</w:t>
                  </w:r>
                </w:p>
              </w:tc>
              <w:tc>
                <w:tcPr>
                  <w:tcW w:w="612" w:type="pct"/>
                  <w:tcBorders>
                    <w:tl2br w:val="nil"/>
                    <w:tr2bl w:val="nil"/>
                  </w:tcBorders>
                  <w:noWrap w:val="0"/>
                  <w:vAlign w:val="center"/>
                </w:tcPr>
                <w:p w14:paraId="6BA4F4C7">
                  <w:pPr>
                    <w:pageBreakBefore w:val="0"/>
                    <w:overflowPunct/>
                    <w:topLinePunct w:val="0"/>
                    <w:bidi w:val="0"/>
                    <w:adjustRightInd/>
                    <w:snapToGrid/>
                    <w:spacing w:line="36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HW49</w:t>
                  </w:r>
                </w:p>
              </w:tc>
              <w:tc>
                <w:tcPr>
                  <w:tcW w:w="614" w:type="pct"/>
                  <w:tcBorders>
                    <w:tl2br w:val="nil"/>
                    <w:tr2bl w:val="nil"/>
                  </w:tcBorders>
                  <w:noWrap w:val="0"/>
                  <w:vAlign w:val="center"/>
                </w:tcPr>
                <w:p w14:paraId="6BE4A5A0">
                  <w:pPr>
                    <w:pageBreakBefore w:val="0"/>
                    <w:overflowPunct/>
                    <w:topLinePunct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900-039-49</w:t>
                  </w:r>
                </w:p>
              </w:tc>
              <w:tc>
                <w:tcPr>
                  <w:tcW w:w="322" w:type="pct"/>
                  <w:tcBorders>
                    <w:tl2br w:val="nil"/>
                    <w:tr2bl w:val="nil"/>
                  </w:tcBorders>
                  <w:noWrap w:val="0"/>
                  <w:vAlign w:val="center"/>
                </w:tcPr>
                <w:p w14:paraId="54E66F29">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w:t>
                  </w:r>
                </w:p>
              </w:tc>
              <w:tc>
                <w:tcPr>
                  <w:tcW w:w="711" w:type="pct"/>
                  <w:vMerge w:val="continue"/>
                  <w:tcBorders>
                    <w:tl2br w:val="nil"/>
                    <w:tr2bl w:val="nil"/>
                  </w:tcBorders>
                  <w:noWrap w:val="0"/>
                  <w:vAlign w:val="center"/>
                </w:tcPr>
                <w:p w14:paraId="41B194FA">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p>
              </w:tc>
            </w:tr>
            <w:tr w14:paraId="64508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611DDBC1">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w:t>
                  </w:r>
                </w:p>
              </w:tc>
              <w:tc>
                <w:tcPr>
                  <w:tcW w:w="455" w:type="pct"/>
                  <w:tcBorders>
                    <w:tl2br w:val="nil"/>
                    <w:tr2bl w:val="nil"/>
                  </w:tcBorders>
                  <w:noWrap w:val="0"/>
                  <w:vAlign w:val="center"/>
                </w:tcPr>
                <w:p w14:paraId="08B209B0">
                  <w:pPr>
                    <w:pageBreakBefore w:val="0"/>
                    <w:kinsoku/>
                    <w:overflowPunct/>
                    <w:topLinePunct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lang w:eastAsia="zh-CN"/>
                    </w:rPr>
                    <w:t>废</w:t>
                  </w:r>
                  <w:r>
                    <w:rPr>
                      <w:rFonts w:hint="eastAsia" w:ascii="Times New Roman" w:hAnsi="Times New Roman" w:eastAsia="宋体" w:cs="Times New Roman"/>
                      <w:color w:val="auto"/>
                      <w:highlight w:val="none"/>
                      <w:lang w:val="en-US" w:eastAsia="zh-CN"/>
                    </w:rPr>
                    <w:t>水性</w:t>
                  </w:r>
                  <w:r>
                    <w:rPr>
                      <w:rFonts w:ascii="Times New Roman" w:hAnsi="Times New Roman" w:eastAsia="宋体" w:cs="Times New Roman"/>
                      <w:color w:val="auto"/>
                      <w:highlight w:val="none"/>
                      <w:lang w:eastAsia="zh-CN"/>
                    </w:rPr>
                    <w:t>漆桶</w:t>
                  </w:r>
                </w:p>
              </w:tc>
              <w:tc>
                <w:tcPr>
                  <w:tcW w:w="504" w:type="pct"/>
                  <w:tcBorders>
                    <w:tl2br w:val="nil"/>
                    <w:tr2bl w:val="nil"/>
                  </w:tcBorders>
                  <w:noWrap w:val="0"/>
                  <w:vAlign w:val="center"/>
                </w:tcPr>
                <w:p w14:paraId="1C94A674">
                  <w:pPr>
                    <w:pageBreakBefore w:val="0"/>
                    <w:kinsoku/>
                    <w:overflowPunct/>
                    <w:topLinePunct w:val="0"/>
                    <w:bidi w:val="0"/>
                    <w:adjustRightInd/>
                    <w:snapToGrid/>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lang w:eastAsia="zh-CN"/>
                    </w:rPr>
                    <w:t>喷漆</w:t>
                  </w:r>
                </w:p>
              </w:tc>
              <w:tc>
                <w:tcPr>
                  <w:tcW w:w="311" w:type="pct"/>
                  <w:tcBorders>
                    <w:tl2br w:val="nil"/>
                    <w:tr2bl w:val="nil"/>
                  </w:tcBorders>
                  <w:noWrap w:val="0"/>
                  <w:vAlign w:val="center"/>
                </w:tcPr>
                <w:p w14:paraId="31C02D9D">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362" w:type="pct"/>
                  <w:tcBorders>
                    <w:tl2br w:val="nil"/>
                    <w:tr2bl w:val="nil"/>
                  </w:tcBorders>
                  <w:noWrap w:val="0"/>
                  <w:vAlign w:val="center"/>
                </w:tcPr>
                <w:p w14:paraId="2AB94BBD">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5465AC76">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水性漆</w:t>
                  </w:r>
                </w:p>
              </w:tc>
              <w:tc>
                <w:tcPr>
                  <w:tcW w:w="369" w:type="pct"/>
                  <w:tcBorders>
                    <w:tl2br w:val="nil"/>
                    <w:tr2bl w:val="nil"/>
                  </w:tcBorders>
                  <w:noWrap w:val="0"/>
                  <w:vAlign w:val="center"/>
                </w:tcPr>
                <w:p w14:paraId="76B9836F">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2.673</w:t>
                  </w:r>
                </w:p>
              </w:tc>
              <w:tc>
                <w:tcPr>
                  <w:tcW w:w="612" w:type="pct"/>
                  <w:tcBorders>
                    <w:tl2br w:val="nil"/>
                    <w:tr2bl w:val="nil"/>
                  </w:tcBorders>
                  <w:noWrap w:val="0"/>
                  <w:vAlign w:val="center"/>
                </w:tcPr>
                <w:p w14:paraId="37C05A7E">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en-US" w:bidi="ar-SA"/>
                    </w:rPr>
                    <w:t>49</w:t>
                  </w:r>
                </w:p>
              </w:tc>
              <w:tc>
                <w:tcPr>
                  <w:tcW w:w="614" w:type="pct"/>
                  <w:tcBorders>
                    <w:tl2br w:val="nil"/>
                    <w:tr2bl w:val="nil"/>
                  </w:tcBorders>
                  <w:noWrap w:val="0"/>
                  <w:vAlign w:val="center"/>
                </w:tcPr>
                <w:p w14:paraId="66F5E078">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9</w:t>
                  </w:r>
                  <w:r>
                    <w:rPr>
                      <w:rFonts w:hint="default" w:ascii="Times New Roman" w:hAnsi="Times New Roman" w:eastAsia="宋体" w:cs="Times New Roman"/>
                      <w:color w:val="auto"/>
                      <w:szCs w:val="21"/>
                      <w:highlight w:val="none"/>
                      <w:lang w:val="en-US" w:eastAsia="en-US" w:bidi="ar"/>
                    </w:rPr>
                    <w:t>00-041-49</w:t>
                  </w:r>
                </w:p>
              </w:tc>
              <w:tc>
                <w:tcPr>
                  <w:tcW w:w="322" w:type="pct"/>
                  <w:tcBorders>
                    <w:tl2br w:val="nil"/>
                    <w:tr2bl w:val="nil"/>
                  </w:tcBorders>
                  <w:noWrap w:val="0"/>
                  <w:vAlign w:val="center"/>
                </w:tcPr>
                <w:p w14:paraId="72A38429">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w:t>
                  </w:r>
                </w:p>
              </w:tc>
              <w:tc>
                <w:tcPr>
                  <w:tcW w:w="711" w:type="pct"/>
                  <w:vMerge w:val="continue"/>
                  <w:tcBorders>
                    <w:tl2br w:val="nil"/>
                    <w:tr2bl w:val="nil"/>
                  </w:tcBorders>
                  <w:noWrap w:val="0"/>
                  <w:vAlign w:val="center"/>
                </w:tcPr>
                <w:p w14:paraId="30A83EA0">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p>
              </w:tc>
            </w:tr>
            <w:tr w14:paraId="7F36D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627BF813">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w:t>
                  </w:r>
                </w:p>
              </w:tc>
              <w:tc>
                <w:tcPr>
                  <w:tcW w:w="455" w:type="pct"/>
                  <w:tcBorders>
                    <w:tl2br w:val="nil"/>
                    <w:tr2bl w:val="nil"/>
                  </w:tcBorders>
                  <w:noWrap w:val="0"/>
                  <w:vAlign w:val="center"/>
                </w:tcPr>
                <w:p w14:paraId="7504F0AD">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漆渣</w:t>
                  </w:r>
                </w:p>
              </w:tc>
              <w:tc>
                <w:tcPr>
                  <w:tcW w:w="504" w:type="pct"/>
                  <w:tcBorders>
                    <w:tl2br w:val="nil"/>
                    <w:tr2bl w:val="nil"/>
                  </w:tcBorders>
                  <w:noWrap w:val="0"/>
                  <w:vAlign w:val="center"/>
                </w:tcPr>
                <w:p w14:paraId="70810FC5">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喷漆</w:t>
                  </w:r>
                </w:p>
              </w:tc>
              <w:tc>
                <w:tcPr>
                  <w:tcW w:w="311" w:type="pct"/>
                  <w:tcBorders>
                    <w:tl2br w:val="nil"/>
                    <w:tr2bl w:val="nil"/>
                  </w:tcBorders>
                  <w:noWrap w:val="0"/>
                  <w:vAlign w:val="center"/>
                </w:tcPr>
                <w:p w14:paraId="66579BE3">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362" w:type="pct"/>
                  <w:tcBorders>
                    <w:tl2br w:val="nil"/>
                    <w:tr2bl w:val="nil"/>
                  </w:tcBorders>
                  <w:noWrap w:val="0"/>
                  <w:vAlign w:val="center"/>
                </w:tcPr>
                <w:p w14:paraId="73895480">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7D739D94">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水性漆</w:t>
                  </w:r>
                </w:p>
              </w:tc>
              <w:tc>
                <w:tcPr>
                  <w:tcW w:w="369" w:type="pct"/>
                  <w:tcBorders>
                    <w:tl2br w:val="nil"/>
                    <w:tr2bl w:val="nil"/>
                  </w:tcBorders>
                  <w:noWrap w:val="0"/>
                  <w:vAlign w:val="center"/>
                </w:tcPr>
                <w:p w14:paraId="2B78412B">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0.849</w:t>
                  </w:r>
                </w:p>
              </w:tc>
              <w:tc>
                <w:tcPr>
                  <w:tcW w:w="612" w:type="pct"/>
                  <w:tcBorders>
                    <w:tl2br w:val="nil"/>
                    <w:tr2bl w:val="nil"/>
                  </w:tcBorders>
                  <w:noWrap w:val="0"/>
                  <w:vAlign w:val="center"/>
                </w:tcPr>
                <w:p w14:paraId="0DFBB0D9">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en-US" w:bidi="ar-SA"/>
                    </w:rPr>
                    <w:t>49</w:t>
                  </w:r>
                </w:p>
              </w:tc>
              <w:tc>
                <w:tcPr>
                  <w:tcW w:w="614" w:type="pct"/>
                  <w:tcBorders>
                    <w:tl2br w:val="nil"/>
                    <w:tr2bl w:val="nil"/>
                  </w:tcBorders>
                  <w:noWrap w:val="0"/>
                  <w:vAlign w:val="center"/>
                </w:tcPr>
                <w:p w14:paraId="0403B6C4">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9</w:t>
                  </w:r>
                  <w:r>
                    <w:rPr>
                      <w:rFonts w:hint="default" w:ascii="Times New Roman" w:hAnsi="Times New Roman" w:eastAsia="宋体" w:cs="Times New Roman"/>
                      <w:color w:val="auto"/>
                      <w:szCs w:val="21"/>
                      <w:highlight w:val="none"/>
                      <w:lang w:val="en-US" w:eastAsia="en-US" w:bidi="ar"/>
                    </w:rPr>
                    <w:t>00-041-49</w:t>
                  </w:r>
                </w:p>
              </w:tc>
              <w:tc>
                <w:tcPr>
                  <w:tcW w:w="322" w:type="pct"/>
                  <w:tcBorders>
                    <w:tl2br w:val="nil"/>
                    <w:tr2bl w:val="nil"/>
                  </w:tcBorders>
                  <w:noWrap w:val="0"/>
                  <w:vAlign w:val="center"/>
                </w:tcPr>
                <w:p w14:paraId="0DC3B698">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highlight w:val="none"/>
                    </w:rPr>
                    <w:t>T/In</w:t>
                  </w:r>
                </w:p>
              </w:tc>
              <w:tc>
                <w:tcPr>
                  <w:tcW w:w="711" w:type="pct"/>
                  <w:vMerge w:val="continue"/>
                  <w:tcBorders>
                    <w:tl2br w:val="nil"/>
                    <w:tr2bl w:val="nil"/>
                  </w:tcBorders>
                  <w:noWrap w:val="0"/>
                  <w:vAlign w:val="center"/>
                </w:tcPr>
                <w:p w14:paraId="749C0889">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p>
              </w:tc>
            </w:tr>
            <w:tr w14:paraId="6CE91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jc w:val="center"/>
              </w:trPr>
              <w:tc>
                <w:tcPr>
                  <w:tcW w:w="195" w:type="pct"/>
                  <w:tcBorders>
                    <w:tl2br w:val="nil"/>
                    <w:tr2bl w:val="nil"/>
                  </w:tcBorders>
                  <w:noWrap w:val="0"/>
                  <w:vAlign w:val="center"/>
                </w:tcPr>
                <w:p w14:paraId="6C5B0540">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w:t>
                  </w:r>
                </w:p>
              </w:tc>
              <w:tc>
                <w:tcPr>
                  <w:tcW w:w="455" w:type="pct"/>
                  <w:tcBorders>
                    <w:tl2br w:val="nil"/>
                    <w:tr2bl w:val="nil"/>
                  </w:tcBorders>
                  <w:noWrap w:val="0"/>
                  <w:vAlign w:val="center"/>
                </w:tcPr>
                <w:p w14:paraId="72869631">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槽渣及污泥</w:t>
                  </w:r>
                </w:p>
              </w:tc>
              <w:tc>
                <w:tcPr>
                  <w:tcW w:w="504" w:type="pct"/>
                  <w:tcBorders>
                    <w:tl2br w:val="nil"/>
                    <w:tr2bl w:val="nil"/>
                  </w:tcBorders>
                  <w:noWrap w:val="0"/>
                  <w:vAlign w:val="center"/>
                </w:tcPr>
                <w:p w14:paraId="500F2075">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废水处理</w:t>
                  </w:r>
                </w:p>
              </w:tc>
              <w:tc>
                <w:tcPr>
                  <w:tcW w:w="311" w:type="pct"/>
                  <w:tcBorders>
                    <w:tl2br w:val="nil"/>
                    <w:tr2bl w:val="nil"/>
                  </w:tcBorders>
                  <w:noWrap w:val="0"/>
                  <w:vAlign w:val="center"/>
                </w:tcPr>
                <w:p w14:paraId="0C09FE90">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362" w:type="pct"/>
                  <w:tcBorders>
                    <w:tl2br w:val="nil"/>
                    <w:tr2bl w:val="nil"/>
                  </w:tcBorders>
                  <w:noWrap w:val="0"/>
                  <w:vAlign w:val="center"/>
                </w:tcPr>
                <w:p w14:paraId="14E349A1">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半固体</w:t>
                  </w:r>
                </w:p>
              </w:tc>
              <w:tc>
                <w:tcPr>
                  <w:tcW w:w="539" w:type="pct"/>
                  <w:tcBorders>
                    <w:tl2br w:val="nil"/>
                    <w:tr2bl w:val="nil"/>
                  </w:tcBorders>
                  <w:noWrap w:val="0"/>
                  <w:vAlign w:val="center"/>
                </w:tcPr>
                <w:p w14:paraId="72393BFE">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含油废物</w:t>
                  </w:r>
                </w:p>
              </w:tc>
              <w:tc>
                <w:tcPr>
                  <w:tcW w:w="369" w:type="pct"/>
                  <w:tcBorders>
                    <w:tl2br w:val="nil"/>
                    <w:tr2bl w:val="nil"/>
                  </w:tcBorders>
                  <w:noWrap w:val="0"/>
                  <w:vAlign w:val="center"/>
                </w:tcPr>
                <w:p w14:paraId="25893894">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12" w:type="pct"/>
                  <w:tcBorders>
                    <w:tl2br w:val="nil"/>
                    <w:tr2bl w:val="nil"/>
                  </w:tcBorders>
                  <w:noWrap w:val="0"/>
                  <w:vAlign w:val="center"/>
                </w:tcPr>
                <w:p w14:paraId="62ECCCE6">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zh-CN" w:bidi="ar-SA"/>
                    </w:rPr>
                    <w:t>17</w:t>
                  </w:r>
                </w:p>
              </w:tc>
              <w:tc>
                <w:tcPr>
                  <w:tcW w:w="614" w:type="pct"/>
                  <w:tcBorders>
                    <w:tl2br w:val="nil"/>
                    <w:tr2bl w:val="nil"/>
                  </w:tcBorders>
                  <w:noWrap w:val="0"/>
                  <w:vAlign w:val="center"/>
                </w:tcPr>
                <w:p w14:paraId="554D5476">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336-064-17</w:t>
                  </w:r>
                </w:p>
              </w:tc>
              <w:tc>
                <w:tcPr>
                  <w:tcW w:w="322" w:type="pct"/>
                  <w:tcBorders>
                    <w:tl2br w:val="nil"/>
                    <w:tr2bl w:val="nil"/>
                  </w:tcBorders>
                  <w:noWrap w:val="0"/>
                  <w:vAlign w:val="center"/>
                </w:tcPr>
                <w:p w14:paraId="7912080D">
                  <w:pPr>
                    <w:pageBreakBefore w:val="0"/>
                    <w:overflowPunct/>
                    <w:topLinePunct w:val="0"/>
                    <w:autoSpaceDE w:val="0"/>
                    <w:autoSpaceDN w:val="0"/>
                    <w:bidi w:val="0"/>
                    <w:adjustRightInd/>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T/In</w:t>
                  </w:r>
                </w:p>
              </w:tc>
              <w:tc>
                <w:tcPr>
                  <w:tcW w:w="711" w:type="pct"/>
                  <w:vMerge w:val="continue"/>
                  <w:tcBorders>
                    <w:tl2br w:val="nil"/>
                    <w:tr2bl w:val="nil"/>
                  </w:tcBorders>
                  <w:noWrap w:val="0"/>
                  <w:vAlign w:val="center"/>
                </w:tcPr>
                <w:p w14:paraId="5A19823E">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p>
              </w:tc>
            </w:tr>
            <w:tr w14:paraId="29093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jc w:val="center"/>
              </w:trPr>
              <w:tc>
                <w:tcPr>
                  <w:tcW w:w="195" w:type="pct"/>
                  <w:tcBorders>
                    <w:tl2br w:val="nil"/>
                    <w:tr2bl w:val="nil"/>
                  </w:tcBorders>
                  <w:noWrap w:val="0"/>
                  <w:vAlign w:val="center"/>
                </w:tcPr>
                <w:p w14:paraId="3ACDC45C">
                  <w:pPr>
                    <w:pageBreakBefore w:val="0"/>
                    <w:overflowPunct/>
                    <w:topLinePunct w:val="0"/>
                    <w:autoSpaceDE w:val="0"/>
                    <w:autoSpaceDN w:val="0"/>
                    <w:bidi w:val="0"/>
                    <w:adjustRightInd/>
                    <w:snapToGrid/>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10</w:t>
                  </w:r>
                </w:p>
              </w:tc>
              <w:tc>
                <w:tcPr>
                  <w:tcW w:w="455" w:type="pct"/>
                  <w:tcBorders>
                    <w:tl2br w:val="nil"/>
                    <w:tr2bl w:val="nil"/>
                  </w:tcBorders>
                  <w:noWrap w:val="0"/>
                  <w:vAlign w:val="center"/>
                </w:tcPr>
                <w:p w14:paraId="12264C97">
                  <w:pPr>
                    <w:pageBreakBefore w:val="0"/>
                    <w:kinsoku/>
                    <w:overflowPunct/>
                    <w:topLinePunct w:val="0"/>
                    <w:bidi w:val="0"/>
                    <w:adjustRightInd/>
                    <w:snapToGrid/>
                    <w:jc w:val="center"/>
                    <w:rPr>
                      <w:rFonts w:hint="default" w:cs="Times New Roman"/>
                      <w:color w:val="auto"/>
                      <w:highlight w:val="none"/>
                      <w:lang w:val="en-US" w:eastAsia="zh-CN"/>
                    </w:rPr>
                  </w:pPr>
                  <w:r>
                    <w:rPr>
                      <w:rFonts w:hint="eastAsia" w:cs="Times New Roman"/>
                      <w:color w:val="auto"/>
                      <w:highlight w:val="none"/>
                      <w:lang w:val="en-US" w:eastAsia="zh-CN"/>
                    </w:rPr>
                    <w:t>废机油</w:t>
                  </w:r>
                </w:p>
              </w:tc>
              <w:tc>
                <w:tcPr>
                  <w:tcW w:w="504" w:type="pct"/>
                  <w:tcBorders>
                    <w:tl2br w:val="nil"/>
                    <w:tr2bl w:val="nil"/>
                  </w:tcBorders>
                  <w:noWrap w:val="0"/>
                  <w:vAlign w:val="center"/>
                </w:tcPr>
                <w:p w14:paraId="2A8F2B6D">
                  <w:pPr>
                    <w:pageBreakBefore w:val="0"/>
                    <w:kinsoku/>
                    <w:overflowPunct/>
                    <w:topLinePunct w:val="0"/>
                    <w:bidi w:val="0"/>
                    <w:adjustRightInd/>
                    <w:snapToGrid/>
                    <w:jc w:val="center"/>
                    <w:rPr>
                      <w:rFonts w:hint="default" w:cs="Times New Roman"/>
                      <w:color w:val="auto"/>
                      <w:highlight w:val="none"/>
                      <w:lang w:val="en-US" w:eastAsia="zh-CN"/>
                    </w:rPr>
                  </w:pPr>
                  <w:r>
                    <w:rPr>
                      <w:rFonts w:hint="eastAsia" w:cs="Times New Roman"/>
                      <w:color w:val="auto"/>
                      <w:highlight w:val="none"/>
                      <w:lang w:val="en-US" w:eastAsia="zh-CN"/>
                    </w:rPr>
                    <w:t>维修保养</w:t>
                  </w:r>
                </w:p>
              </w:tc>
              <w:tc>
                <w:tcPr>
                  <w:tcW w:w="311" w:type="pct"/>
                  <w:tcBorders>
                    <w:tl2br w:val="nil"/>
                    <w:tr2bl w:val="nil"/>
                  </w:tcBorders>
                  <w:noWrap w:val="0"/>
                  <w:vAlign w:val="center"/>
                </w:tcPr>
                <w:p w14:paraId="3237F2CA">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362" w:type="pct"/>
                  <w:tcBorders>
                    <w:tl2br w:val="nil"/>
                    <w:tr2bl w:val="nil"/>
                  </w:tcBorders>
                  <w:noWrap w:val="0"/>
                  <w:vAlign w:val="center"/>
                </w:tcPr>
                <w:p w14:paraId="0C9DD0AD">
                  <w:pPr>
                    <w:pageBreakBefore w:val="0"/>
                    <w:overflowPunct/>
                    <w:topLinePunct w:val="0"/>
                    <w:autoSpaceDE w:val="0"/>
                    <w:autoSpaceDN w:val="0"/>
                    <w:bidi w:val="0"/>
                    <w:adjustRightInd/>
                    <w:snapToGrid/>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液态</w:t>
                  </w:r>
                </w:p>
              </w:tc>
              <w:tc>
                <w:tcPr>
                  <w:tcW w:w="539" w:type="pct"/>
                  <w:tcBorders>
                    <w:tl2br w:val="nil"/>
                    <w:tr2bl w:val="nil"/>
                  </w:tcBorders>
                  <w:noWrap w:val="0"/>
                  <w:vAlign w:val="center"/>
                </w:tcPr>
                <w:p w14:paraId="58623A7D">
                  <w:pPr>
                    <w:pageBreakBefore w:val="0"/>
                    <w:overflowPunct/>
                    <w:topLinePunct w:val="0"/>
                    <w:autoSpaceDE w:val="0"/>
                    <w:autoSpaceDN w:val="0"/>
                    <w:bidi w:val="0"/>
                    <w:adjustRightInd/>
                    <w:snapToGrid/>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矿物油</w:t>
                  </w:r>
                </w:p>
              </w:tc>
              <w:tc>
                <w:tcPr>
                  <w:tcW w:w="369" w:type="pct"/>
                  <w:tcBorders>
                    <w:tl2br w:val="nil"/>
                    <w:tr2bl w:val="nil"/>
                  </w:tcBorders>
                  <w:noWrap w:val="0"/>
                  <w:vAlign w:val="center"/>
                </w:tcPr>
                <w:p w14:paraId="19A76219">
                  <w:pPr>
                    <w:pageBreakBefore w:val="0"/>
                    <w:overflowPunct/>
                    <w:topLinePunct w:val="0"/>
                    <w:autoSpaceDE w:val="0"/>
                    <w:autoSpaceDN w:val="0"/>
                    <w:bidi w:val="0"/>
                    <w:adjustRightInd/>
                    <w:snapToGrid/>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w:t>
                  </w:r>
                </w:p>
              </w:tc>
              <w:tc>
                <w:tcPr>
                  <w:tcW w:w="612" w:type="pct"/>
                  <w:tcBorders>
                    <w:tl2br w:val="nil"/>
                    <w:tr2bl w:val="nil"/>
                  </w:tcBorders>
                  <w:noWrap w:val="0"/>
                  <w:vAlign w:val="center"/>
                </w:tcPr>
                <w:p w14:paraId="46A40B44">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HW08</w:t>
                  </w:r>
                </w:p>
              </w:tc>
              <w:tc>
                <w:tcPr>
                  <w:tcW w:w="614" w:type="pct"/>
                  <w:tcBorders>
                    <w:tl2br w:val="nil"/>
                    <w:tr2bl w:val="nil"/>
                  </w:tcBorders>
                  <w:noWrap w:val="0"/>
                  <w:vAlign w:val="center"/>
                </w:tcPr>
                <w:p w14:paraId="2C5C453A">
                  <w:pPr>
                    <w:pageBreakBefore w:val="0"/>
                    <w:overflowPunct/>
                    <w:topLinePunct w:val="0"/>
                    <w:bidi w:val="0"/>
                    <w:adjustRightInd/>
                    <w:snapToGrid/>
                    <w:jc w:val="center"/>
                    <w:rPr>
                      <w:rFonts w:hint="default"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900-249-08</w:t>
                  </w:r>
                </w:p>
              </w:tc>
              <w:tc>
                <w:tcPr>
                  <w:tcW w:w="322" w:type="pct"/>
                  <w:tcBorders>
                    <w:tl2br w:val="nil"/>
                    <w:tr2bl w:val="nil"/>
                  </w:tcBorders>
                  <w:noWrap w:val="0"/>
                  <w:vAlign w:val="center"/>
                </w:tcPr>
                <w:p w14:paraId="1BBFB97B">
                  <w:pPr>
                    <w:pageBreakBefore w:val="0"/>
                    <w:overflowPunct/>
                    <w:topLinePunct w:val="0"/>
                    <w:autoSpaceDE w:val="0"/>
                    <w:autoSpaceDN w:val="0"/>
                    <w:bidi w:val="0"/>
                    <w:adjustRightInd/>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T/In</w:t>
                  </w:r>
                </w:p>
              </w:tc>
              <w:tc>
                <w:tcPr>
                  <w:tcW w:w="711" w:type="pct"/>
                  <w:vMerge w:val="continue"/>
                  <w:tcBorders>
                    <w:tl2br w:val="nil"/>
                    <w:tr2bl w:val="nil"/>
                  </w:tcBorders>
                  <w:noWrap w:val="0"/>
                  <w:vAlign w:val="center"/>
                </w:tcPr>
                <w:p w14:paraId="7C24D6AC">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p>
              </w:tc>
            </w:tr>
            <w:tr w14:paraId="2297A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jc w:val="center"/>
              </w:trPr>
              <w:tc>
                <w:tcPr>
                  <w:tcW w:w="195" w:type="pct"/>
                  <w:tcBorders>
                    <w:tl2br w:val="nil"/>
                    <w:tr2bl w:val="nil"/>
                  </w:tcBorders>
                  <w:noWrap w:val="0"/>
                  <w:vAlign w:val="center"/>
                </w:tcPr>
                <w:p w14:paraId="73FDA4F3">
                  <w:pPr>
                    <w:pageBreakBefore w:val="0"/>
                    <w:overflowPunct/>
                    <w:topLinePunct w:val="0"/>
                    <w:autoSpaceDE w:val="0"/>
                    <w:autoSpaceDN w:val="0"/>
                    <w:bidi w:val="0"/>
                    <w:adjustRightInd/>
                    <w:snapToGrid/>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11</w:t>
                  </w:r>
                </w:p>
              </w:tc>
              <w:tc>
                <w:tcPr>
                  <w:tcW w:w="455" w:type="pct"/>
                  <w:tcBorders>
                    <w:tl2br w:val="nil"/>
                    <w:tr2bl w:val="nil"/>
                  </w:tcBorders>
                  <w:noWrap w:val="0"/>
                  <w:vAlign w:val="center"/>
                </w:tcPr>
                <w:p w14:paraId="61F35181">
                  <w:pPr>
                    <w:pageBreakBefore w:val="0"/>
                    <w:kinsoku/>
                    <w:overflowPunct/>
                    <w:topLinePunct w:val="0"/>
                    <w:bidi w:val="0"/>
                    <w:adjustRightInd/>
                    <w:snapToGrid/>
                    <w:jc w:val="center"/>
                    <w:rPr>
                      <w:rFonts w:hint="default" w:cs="Times New Roman"/>
                      <w:color w:val="auto"/>
                      <w:highlight w:val="none"/>
                      <w:lang w:val="en-US" w:eastAsia="zh-CN"/>
                    </w:rPr>
                  </w:pPr>
                  <w:r>
                    <w:rPr>
                      <w:rFonts w:hint="eastAsia" w:cs="Times New Roman"/>
                      <w:color w:val="auto"/>
                      <w:highlight w:val="none"/>
                      <w:lang w:val="en-US" w:eastAsia="zh-CN"/>
                    </w:rPr>
                    <w:t>废机油桶</w:t>
                  </w:r>
                </w:p>
              </w:tc>
              <w:tc>
                <w:tcPr>
                  <w:tcW w:w="504" w:type="pct"/>
                  <w:tcBorders>
                    <w:tl2br w:val="nil"/>
                    <w:tr2bl w:val="nil"/>
                  </w:tcBorders>
                  <w:noWrap w:val="0"/>
                  <w:vAlign w:val="center"/>
                </w:tcPr>
                <w:p w14:paraId="6A45D62B">
                  <w:pPr>
                    <w:pageBreakBefore w:val="0"/>
                    <w:kinsoku/>
                    <w:overflowPunct/>
                    <w:topLinePunct w:val="0"/>
                    <w:bidi w:val="0"/>
                    <w:adjustRightInd/>
                    <w:snapToGrid/>
                    <w:jc w:val="center"/>
                    <w:rPr>
                      <w:rFonts w:hint="eastAsia" w:cs="Times New Roman"/>
                      <w:color w:val="auto"/>
                      <w:highlight w:val="none"/>
                      <w:lang w:val="en-US" w:eastAsia="zh-CN"/>
                    </w:rPr>
                  </w:pPr>
                  <w:r>
                    <w:rPr>
                      <w:rFonts w:hint="eastAsia" w:cs="Times New Roman"/>
                      <w:color w:val="auto"/>
                      <w:highlight w:val="none"/>
                      <w:lang w:val="en-US" w:eastAsia="zh-CN"/>
                    </w:rPr>
                    <w:t>维修保养</w:t>
                  </w:r>
                </w:p>
              </w:tc>
              <w:tc>
                <w:tcPr>
                  <w:tcW w:w="311" w:type="pct"/>
                  <w:tcBorders>
                    <w:tl2br w:val="nil"/>
                    <w:tr2bl w:val="nil"/>
                  </w:tcBorders>
                  <w:noWrap w:val="0"/>
                  <w:vAlign w:val="center"/>
                </w:tcPr>
                <w:p w14:paraId="726D1864">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362" w:type="pct"/>
                  <w:tcBorders>
                    <w:tl2br w:val="nil"/>
                    <w:tr2bl w:val="nil"/>
                  </w:tcBorders>
                  <w:noWrap w:val="0"/>
                  <w:vAlign w:val="center"/>
                </w:tcPr>
                <w:p w14:paraId="475FB25F">
                  <w:pPr>
                    <w:pageBreakBefore w:val="0"/>
                    <w:overflowPunct/>
                    <w:topLinePunct w:val="0"/>
                    <w:autoSpaceDE w:val="0"/>
                    <w:autoSpaceDN w:val="0"/>
                    <w:bidi w:val="0"/>
                    <w:adjustRightInd/>
                    <w:snapToGrid/>
                    <w:jc w:val="center"/>
                    <w:rPr>
                      <w:rFonts w:hint="eastAsia" w:cs="Times New Roman"/>
                      <w:color w:val="auto"/>
                      <w:szCs w:val="21"/>
                      <w:highlight w:val="none"/>
                      <w:lang w:val="en-US" w:eastAsia="zh-CN"/>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419D3EDF">
                  <w:pPr>
                    <w:pageBreakBefore w:val="0"/>
                    <w:overflowPunct/>
                    <w:topLinePunct w:val="0"/>
                    <w:autoSpaceDE w:val="0"/>
                    <w:autoSpaceDN w:val="0"/>
                    <w:bidi w:val="0"/>
                    <w:adjustRightInd/>
                    <w:snapToGrid/>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矿物油</w:t>
                  </w:r>
                </w:p>
              </w:tc>
              <w:tc>
                <w:tcPr>
                  <w:tcW w:w="369" w:type="pct"/>
                  <w:tcBorders>
                    <w:tl2br w:val="nil"/>
                    <w:tr2bl w:val="nil"/>
                  </w:tcBorders>
                  <w:noWrap w:val="0"/>
                  <w:vAlign w:val="center"/>
                </w:tcPr>
                <w:p w14:paraId="4A829452">
                  <w:pPr>
                    <w:pageBreakBefore w:val="0"/>
                    <w:overflowPunct/>
                    <w:topLinePunct w:val="0"/>
                    <w:autoSpaceDE w:val="0"/>
                    <w:autoSpaceDN w:val="0"/>
                    <w:bidi w:val="0"/>
                    <w:adjustRightInd/>
                    <w:snapToGrid/>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0.1</w:t>
                  </w:r>
                </w:p>
              </w:tc>
              <w:tc>
                <w:tcPr>
                  <w:tcW w:w="612" w:type="pct"/>
                  <w:tcBorders>
                    <w:tl2br w:val="nil"/>
                    <w:tr2bl w:val="nil"/>
                  </w:tcBorders>
                  <w:noWrap w:val="0"/>
                  <w:vAlign w:val="center"/>
                </w:tcPr>
                <w:p w14:paraId="582EFFFC">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zh-CN" w:bidi="ar-SA"/>
                    </w:rPr>
                    <w:t>HW08</w:t>
                  </w:r>
                </w:p>
              </w:tc>
              <w:tc>
                <w:tcPr>
                  <w:tcW w:w="614" w:type="pct"/>
                  <w:tcBorders>
                    <w:tl2br w:val="nil"/>
                    <w:tr2bl w:val="nil"/>
                  </w:tcBorders>
                  <w:noWrap w:val="0"/>
                  <w:vAlign w:val="center"/>
                </w:tcPr>
                <w:p w14:paraId="1E20B82C">
                  <w:pPr>
                    <w:pageBreakBefore w:val="0"/>
                    <w:overflowPunct/>
                    <w:topLinePunct w:val="0"/>
                    <w:bidi w:val="0"/>
                    <w:adjustRightInd/>
                    <w:snapToGrid/>
                    <w:jc w:val="center"/>
                    <w:rPr>
                      <w:rFonts w:hint="eastAsia"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900-249-08</w:t>
                  </w:r>
                </w:p>
              </w:tc>
              <w:tc>
                <w:tcPr>
                  <w:tcW w:w="322" w:type="pct"/>
                  <w:tcBorders>
                    <w:tl2br w:val="nil"/>
                    <w:tr2bl w:val="nil"/>
                  </w:tcBorders>
                  <w:noWrap w:val="0"/>
                  <w:vAlign w:val="center"/>
                </w:tcPr>
                <w:p w14:paraId="4FBD9389">
                  <w:pPr>
                    <w:pageBreakBefore w:val="0"/>
                    <w:overflowPunct/>
                    <w:topLinePunct w:val="0"/>
                    <w:autoSpaceDE w:val="0"/>
                    <w:autoSpaceDN w:val="0"/>
                    <w:bidi w:val="0"/>
                    <w:adjustRightInd/>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T/In</w:t>
                  </w:r>
                </w:p>
              </w:tc>
              <w:tc>
                <w:tcPr>
                  <w:tcW w:w="711" w:type="pct"/>
                  <w:vMerge w:val="continue"/>
                  <w:tcBorders>
                    <w:tl2br w:val="nil"/>
                    <w:tr2bl w:val="nil"/>
                  </w:tcBorders>
                  <w:noWrap w:val="0"/>
                  <w:vAlign w:val="center"/>
                </w:tcPr>
                <w:p w14:paraId="6B73016B">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p>
              </w:tc>
            </w:tr>
            <w:tr w14:paraId="1270B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5" w:type="pct"/>
                  <w:tcBorders>
                    <w:tl2br w:val="nil"/>
                    <w:tr2bl w:val="nil"/>
                  </w:tcBorders>
                  <w:noWrap w:val="0"/>
                  <w:vAlign w:val="center"/>
                </w:tcPr>
                <w:p w14:paraId="4E7963B7">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w:t>
                  </w:r>
                </w:p>
              </w:tc>
              <w:tc>
                <w:tcPr>
                  <w:tcW w:w="455" w:type="pct"/>
                  <w:tcBorders>
                    <w:tl2br w:val="nil"/>
                    <w:tr2bl w:val="nil"/>
                  </w:tcBorders>
                  <w:noWrap w:val="0"/>
                  <w:vAlign w:val="center"/>
                </w:tcPr>
                <w:p w14:paraId="097A0A3C">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w:t>
                  </w:r>
                </w:p>
              </w:tc>
              <w:tc>
                <w:tcPr>
                  <w:tcW w:w="504" w:type="pct"/>
                  <w:tcBorders>
                    <w:tl2br w:val="nil"/>
                    <w:tr2bl w:val="nil"/>
                  </w:tcBorders>
                  <w:noWrap w:val="0"/>
                  <w:vAlign w:val="center"/>
                </w:tcPr>
                <w:p w14:paraId="5347646E">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办公生活</w:t>
                  </w:r>
                </w:p>
              </w:tc>
              <w:tc>
                <w:tcPr>
                  <w:tcW w:w="311" w:type="pct"/>
                  <w:tcBorders>
                    <w:tl2br w:val="nil"/>
                    <w:tr2bl w:val="nil"/>
                  </w:tcBorders>
                  <w:noWrap w:val="0"/>
                  <w:vAlign w:val="center"/>
                </w:tcPr>
                <w:p w14:paraId="128F5949">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62" w:type="pct"/>
                  <w:tcBorders>
                    <w:tl2br w:val="nil"/>
                    <w:tr2bl w:val="nil"/>
                  </w:tcBorders>
                  <w:noWrap w:val="0"/>
                  <w:vAlign w:val="center"/>
                </w:tcPr>
                <w:p w14:paraId="34CABB54">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539" w:type="pct"/>
                  <w:tcBorders>
                    <w:tl2br w:val="nil"/>
                    <w:tr2bl w:val="nil"/>
                  </w:tcBorders>
                  <w:noWrap w:val="0"/>
                  <w:vAlign w:val="center"/>
                </w:tcPr>
                <w:p w14:paraId="28E3036F">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果皮、纸屑</w:t>
                  </w:r>
                </w:p>
              </w:tc>
              <w:tc>
                <w:tcPr>
                  <w:tcW w:w="369" w:type="pct"/>
                  <w:tcBorders>
                    <w:tl2br w:val="nil"/>
                    <w:tr2bl w:val="nil"/>
                  </w:tcBorders>
                  <w:noWrap w:val="0"/>
                  <w:vAlign w:val="center"/>
                </w:tcPr>
                <w:p w14:paraId="602AA36F">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18</w:t>
                  </w:r>
                </w:p>
              </w:tc>
              <w:tc>
                <w:tcPr>
                  <w:tcW w:w="612" w:type="pct"/>
                  <w:tcBorders>
                    <w:tl2br w:val="nil"/>
                    <w:tr2bl w:val="nil"/>
                  </w:tcBorders>
                  <w:noWrap w:val="0"/>
                  <w:vAlign w:val="center"/>
                </w:tcPr>
                <w:p w14:paraId="3E57561D">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14" w:type="pct"/>
                  <w:tcBorders>
                    <w:tl2br w:val="nil"/>
                    <w:tr2bl w:val="nil"/>
                  </w:tcBorders>
                  <w:noWrap w:val="0"/>
                  <w:vAlign w:val="center"/>
                </w:tcPr>
                <w:p w14:paraId="6E4322DE">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322" w:type="pct"/>
                  <w:tcBorders>
                    <w:tl2br w:val="nil"/>
                    <w:tr2bl w:val="nil"/>
                  </w:tcBorders>
                  <w:noWrap w:val="0"/>
                  <w:vAlign w:val="center"/>
                </w:tcPr>
                <w:p w14:paraId="35CFBDB1">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1" w:type="pct"/>
                  <w:tcBorders>
                    <w:tl2br w:val="nil"/>
                    <w:tr2bl w:val="nil"/>
                  </w:tcBorders>
                  <w:noWrap w:val="0"/>
                  <w:vAlign w:val="center"/>
                </w:tcPr>
                <w:p w14:paraId="6523111E">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委托环卫部门处置</w:t>
                  </w:r>
                </w:p>
              </w:tc>
            </w:tr>
          </w:tbl>
          <w:p w14:paraId="4FEFFE08">
            <w:pPr>
              <w:pageBreakBefore w:val="0"/>
              <w:overflowPunct/>
              <w:topLinePunct w:val="0"/>
              <w:bidi w:val="0"/>
              <w:adjustRightInd/>
              <w:snapToGrid/>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表4-1</w:t>
            </w:r>
            <w:r>
              <w:rPr>
                <w:rFonts w:hint="eastAsia" w:cs="Times New Roman"/>
                <w:b/>
                <w:bCs/>
                <w:color w:val="auto"/>
                <w:sz w:val="24"/>
                <w:highlight w:val="none"/>
                <w:lang w:val="en-US" w:eastAsia="zh-CN"/>
              </w:rPr>
              <w:t>6</w:t>
            </w:r>
            <w:r>
              <w:rPr>
                <w:rFonts w:hint="eastAsia"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危险废物汇总表</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13"/>
              <w:gridCol w:w="776"/>
              <w:gridCol w:w="1197"/>
              <w:gridCol w:w="845"/>
              <w:gridCol w:w="1002"/>
              <w:gridCol w:w="429"/>
              <w:gridCol w:w="782"/>
              <w:gridCol w:w="555"/>
              <w:gridCol w:w="582"/>
              <w:gridCol w:w="582"/>
            </w:tblGrid>
            <w:tr w14:paraId="5E25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263" w:type="pct"/>
                  <w:vAlign w:val="center"/>
                </w:tcPr>
                <w:p w14:paraId="7BBB0603">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序号</w:t>
                  </w:r>
                </w:p>
              </w:tc>
              <w:tc>
                <w:tcPr>
                  <w:tcW w:w="564" w:type="pct"/>
                  <w:vAlign w:val="center"/>
                </w:tcPr>
                <w:p w14:paraId="50E2972D">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危险废物名称</w:t>
                  </w:r>
                </w:p>
              </w:tc>
              <w:tc>
                <w:tcPr>
                  <w:tcW w:w="479" w:type="pct"/>
                  <w:vAlign w:val="center"/>
                </w:tcPr>
                <w:p w14:paraId="1FCE7D61">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危险废物类别</w:t>
                  </w:r>
                </w:p>
              </w:tc>
              <w:tc>
                <w:tcPr>
                  <w:tcW w:w="739" w:type="pct"/>
                  <w:vAlign w:val="center"/>
                </w:tcPr>
                <w:p w14:paraId="4FACB885">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危险废物代码</w:t>
                  </w:r>
                </w:p>
              </w:tc>
              <w:tc>
                <w:tcPr>
                  <w:tcW w:w="522" w:type="pct"/>
                  <w:vAlign w:val="center"/>
                </w:tcPr>
                <w:p w14:paraId="302FAEB1">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产生量</w:t>
                  </w:r>
                  <w:r>
                    <w:rPr>
                      <w:rFonts w:hint="default" w:ascii="Times New Roman" w:hAnsi="Times New Roman" w:cs="Times New Roman"/>
                      <w:b w:val="0"/>
                      <w:bCs w:val="0"/>
                      <w:color w:val="auto"/>
                      <w:kern w:val="2"/>
                      <w:sz w:val="21"/>
                      <w:szCs w:val="21"/>
                      <w:highlight w:val="none"/>
                      <w:lang w:val="zh-CN"/>
                    </w:rPr>
                    <w:t>（t/a）</w:t>
                  </w:r>
                </w:p>
              </w:tc>
              <w:tc>
                <w:tcPr>
                  <w:tcW w:w="619" w:type="pct"/>
                  <w:vAlign w:val="center"/>
                </w:tcPr>
                <w:p w14:paraId="304D971D">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产生工序及装置</w:t>
                  </w:r>
                </w:p>
              </w:tc>
              <w:tc>
                <w:tcPr>
                  <w:tcW w:w="265" w:type="pct"/>
                  <w:vAlign w:val="center"/>
                </w:tcPr>
                <w:p w14:paraId="2BAB1312">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形态</w:t>
                  </w:r>
                </w:p>
              </w:tc>
              <w:tc>
                <w:tcPr>
                  <w:tcW w:w="483" w:type="pct"/>
                  <w:vAlign w:val="center"/>
                </w:tcPr>
                <w:p w14:paraId="5D0763B7">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有害成分</w:t>
                  </w:r>
                </w:p>
              </w:tc>
              <w:tc>
                <w:tcPr>
                  <w:tcW w:w="343" w:type="pct"/>
                  <w:vAlign w:val="center"/>
                </w:tcPr>
                <w:p w14:paraId="7F895CF0">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产废周期</w:t>
                  </w:r>
                </w:p>
              </w:tc>
              <w:tc>
                <w:tcPr>
                  <w:tcW w:w="359" w:type="pct"/>
                  <w:vAlign w:val="center"/>
                </w:tcPr>
                <w:p w14:paraId="53BF4DE2">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危险特性</w:t>
                  </w:r>
                </w:p>
              </w:tc>
              <w:tc>
                <w:tcPr>
                  <w:tcW w:w="359" w:type="pct"/>
                  <w:vAlign w:val="center"/>
                </w:tcPr>
                <w:p w14:paraId="6D1BCA1D">
                  <w:pPr>
                    <w:pStyle w:val="67"/>
                    <w:pageBreakBefore w:val="0"/>
                    <w:overflowPunct/>
                    <w:topLinePunct w:val="0"/>
                    <w:bidi w:val="0"/>
                    <w:adjustRightInd/>
                    <w:snapToGrid/>
                    <w:spacing w:line="240" w:lineRule="auto"/>
                    <w:rPr>
                      <w:b w:val="0"/>
                      <w:bCs w:val="0"/>
                      <w:color w:val="auto"/>
                      <w:kern w:val="2"/>
                      <w:sz w:val="21"/>
                      <w:szCs w:val="21"/>
                      <w:highlight w:val="none"/>
                      <w:lang w:val="zh-CN"/>
                    </w:rPr>
                  </w:pPr>
                  <w:r>
                    <w:rPr>
                      <w:b w:val="0"/>
                      <w:bCs w:val="0"/>
                      <w:color w:val="auto"/>
                      <w:kern w:val="2"/>
                      <w:sz w:val="21"/>
                      <w:szCs w:val="21"/>
                      <w:highlight w:val="none"/>
                      <w:lang w:val="zh-CN"/>
                    </w:rPr>
                    <w:t>污染防治措施</w:t>
                  </w:r>
                </w:p>
              </w:tc>
            </w:tr>
            <w:tr w14:paraId="0B92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63" w:type="pct"/>
                  <w:vAlign w:val="center"/>
                </w:tcPr>
                <w:p w14:paraId="676E6282">
                  <w:pPr>
                    <w:pStyle w:val="54"/>
                    <w:pageBreakBefore w:val="0"/>
                    <w:overflowPunct/>
                    <w:topLinePunct w:val="0"/>
                    <w:bidi w:val="0"/>
                    <w:adjustRightInd/>
                    <w:snapToGrid/>
                    <w:spacing w:beforeLines="0" w:afterLines="0" w:line="240" w:lineRule="auto"/>
                    <w:ind w:left="0" w:leftChars="0" w:firstLine="0" w:firstLineChars="0"/>
                    <w:rPr>
                      <w:rFonts w:ascii="Times New Roman"/>
                      <w:b w:val="0"/>
                      <w:bCs w:val="0"/>
                      <w:color w:val="auto"/>
                      <w:highlight w:val="none"/>
                    </w:rPr>
                  </w:pPr>
                  <w:r>
                    <w:rPr>
                      <w:rFonts w:ascii="Times New Roman"/>
                      <w:b w:val="0"/>
                      <w:bCs w:val="0"/>
                      <w:color w:val="auto"/>
                      <w:highlight w:val="none"/>
                    </w:rPr>
                    <w:t>1</w:t>
                  </w:r>
                </w:p>
              </w:tc>
              <w:tc>
                <w:tcPr>
                  <w:tcW w:w="564" w:type="pct"/>
                  <w:vAlign w:val="center"/>
                </w:tcPr>
                <w:p w14:paraId="10C5FC2E">
                  <w:pPr>
                    <w:pageBreakBefore w:val="0"/>
                    <w:kinsoku/>
                    <w:overflowPunct/>
                    <w:topLinePunct w:val="0"/>
                    <w:bidi w:val="0"/>
                    <w:adjustRightInd/>
                    <w:snapToGrid/>
                    <w:jc w:val="center"/>
                    <w:rPr>
                      <w:rFonts w:ascii="Times New Roman" w:hAnsi="Times New Roman" w:cs="Times New Roman"/>
                      <w:b w:val="0"/>
                      <w:bCs w:val="0"/>
                      <w:color w:val="auto"/>
                      <w:highlight w:val="none"/>
                    </w:rPr>
                  </w:pPr>
                  <w:r>
                    <w:rPr>
                      <w:rFonts w:ascii="Times New Roman" w:hAnsi="Times New Roman" w:eastAsia="宋体" w:cs="Times New Roman"/>
                      <w:color w:val="auto"/>
                      <w:highlight w:val="none"/>
                      <w:lang w:eastAsia="zh-CN"/>
                    </w:rPr>
                    <w:t>废过滤棉</w:t>
                  </w:r>
                </w:p>
              </w:tc>
              <w:tc>
                <w:tcPr>
                  <w:tcW w:w="479" w:type="pct"/>
                  <w:vAlign w:val="center"/>
                </w:tcPr>
                <w:p w14:paraId="16683A38">
                  <w:pPr>
                    <w:pageBreakBefore w:val="0"/>
                    <w:kinsoku/>
                    <w:overflowPunct/>
                    <w:topLinePunct w:val="0"/>
                    <w:bidi w:val="0"/>
                    <w:adjustRightInd/>
                    <w:snapToGrid/>
                    <w:jc w:val="center"/>
                    <w:rPr>
                      <w:b w:val="0"/>
                      <w:bCs w:val="0"/>
                      <w:color w:val="auto"/>
                      <w:highlight w:val="none"/>
                    </w:rPr>
                  </w:pPr>
                  <w:r>
                    <w:rPr>
                      <w:rFonts w:ascii="Times New Roman" w:hAnsi="Times New Roman" w:eastAsia="宋体" w:cs="Times New Roman"/>
                      <w:color w:val="auto"/>
                      <w:highlight w:val="none"/>
                      <w:lang w:eastAsia="zh-CN"/>
                    </w:rPr>
                    <w:t>HW49</w:t>
                  </w:r>
                </w:p>
              </w:tc>
              <w:tc>
                <w:tcPr>
                  <w:tcW w:w="739" w:type="pct"/>
                  <w:vAlign w:val="center"/>
                </w:tcPr>
                <w:p w14:paraId="378E3117">
                  <w:pPr>
                    <w:pageBreakBefore w:val="0"/>
                    <w:kinsoku/>
                    <w:overflowPunct/>
                    <w:topLinePunct w:val="0"/>
                    <w:bidi w:val="0"/>
                    <w:adjustRightInd/>
                    <w:snapToGrid/>
                    <w:jc w:val="center"/>
                    <w:rPr>
                      <w:b w:val="0"/>
                      <w:bCs w:val="0"/>
                      <w:color w:val="auto"/>
                      <w:highlight w:val="none"/>
                    </w:rPr>
                  </w:pPr>
                  <w:r>
                    <w:rPr>
                      <w:rFonts w:ascii="Times New Roman" w:hAnsi="Times New Roman" w:eastAsia="宋体" w:cs="Times New Roman"/>
                      <w:color w:val="auto"/>
                      <w:highlight w:val="none"/>
                      <w:lang w:eastAsia="zh-CN"/>
                    </w:rPr>
                    <w:t>900-041-49</w:t>
                  </w:r>
                </w:p>
              </w:tc>
              <w:tc>
                <w:tcPr>
                  <w:tcW w:w="845" w:type="dxa"/>
                  <w:vAlign w:val="center"/>
                </w:tcPr>
                <w:p w14:paraId="64FE026A">
                  <w:pPr>
                    <w:pageBreakBefore w:val="0"/>
                    <w:overflowPunct/>
                    <w:topLinePunct w:val="0"/>
                    <w:autoSpaceDE w:val="0"/>
                    <w:autoSpaceDN w:val="0"/>
                    <w:bidi w:val="0"/>
                    <w:adjustRightInd/>
                    <w:snapToGrid/>
                    <w:jc w:val="center"/>
                    <w:rPr>
                      <w:b w:val="0"/>
                      <w:bCs w:val="0"/>
                      <w:color w:val="auto"/>
                      <w:highlight w:val="none"/>
                    </w:rPr>
                  </w:pPr>
                  <w:r>
                    <w:rPr>
                      <w:rFonts w:hint="eastAsia" w:cs="Times New Roman"/>
                      <w:color w:val="auto"/>
                      <w:szCs w:val="21"/>
                      <w:highlight w:val="none"/>
                      <w:lang w:val="en-US" w:eastAsia="zh-CN"/>
                    </w:rPr>
                    <w:t>18.27</w:t>
                  </w:r>
                </w:p>
              </w:tc>
              <w:tc>
                <w:tcPr>
                  <w:tcW w:w="619" w:type="pct"/>
                  <w:vAlign w:val="center"/>
                </w:tcPr>
                <w:p w14:paraId="7FAF8C26">
                  <w:pPr>
                    <w:pageBreakBefore w:val="0"/>
                    <w:kinsoku/>
                    <w:overflowPunct/>
                    <w:topLinePunct w:val="0"/>
                    <w:bidi w:val="0"/>
                    <w:adjustRightInd/>
                    <w:snapToGrid/>
                    <w:jc w:val="center"/>
                    <w:rPr>
                      <w:rFonts w:ascii="Times New Roman" w:hAnsi="Times New Roman" w:cs="Times New Roman"/>
                      <w:b w:val="0"/>
                      <w:bCs w:val="0"/>
                      <w:color w:val="auto"/>
                      <w:highlight w:val="none"/>
                    </w:rPr>
                  </w:pPr>
                  <w:r>
                    <w:rPr>
                      <w:rFonts w:ascii="Times New Roman" w:hAnsi="Times New Roman" w:eastAsia="宋体" w:cs="Times New Roman"/>
                      <w:color w:val="auto"/>
                      <w:highlight w:val="none"/>
                      <w:lang w:eastAsia="zh-CN"/>
                    </w:rPr>
                    <w:t>喷漆</w:t>
                  </w:r>
                </w:p>
              </w:tc>
              <w:tc>
                <w:tcPr>
                  <w:tcW w:w="265" w:type="pct"/>
                  <w:vAlign w:val="center"/>
                </w:tcPr>
                <w:p w14:paraId="0CA08060">
                  <w:pPr>
                    <w:pStyle w:val="54"/>
                    <w:pageBreakBefore w:val="0"/>
                    <w:overflowPunct/>
                    <w:topLinePunct w:val="0"/>
                    <w:bidi w:val="0"/>
                    <w:adjustRightInd/>
                    <w:snapToGrid/>
                    <w:spacing w:beforeLines="0" w:afterLines="0" w:line="240" w:lineRule="auto"/>
                    <w:ind w:left="0" w:leftChars="0" w:firstLine="0" w:firstLineChars="0"/>
                    <w:rPr>
                      <w:rFonts w:ascii="Times New Roman"/>
                      <w:b w:val="0"/>
                      <w:bCs w:val="0"/>
                      <w:color w:val="auto"/>
                      <w:highlight w:val="none"/>
                    </w:rPr>
                  </w:pPr>
                  <w:r>
                    <w:rPr>
                      <w:rFonts w:hint="eastAsia" w:ascii="Times New Roman"/>
                      <w:b w:val="0"/>
                      <w:bCs w:val="0"/>
                      <w:color w:val="auto"/>
                      <w:spacing w:val="2"/>
                      <w:szCs w:val="21"/>
                      <w:highlight w:val="none"/>
                    </w:rPr>
                    <w:t>固</w:t>
                  </w:r>
                  <w:r>
                    <w:rPr>
                      <w:rFonts w:ascii="Times New Roman"/>
                      <w:b w:val="0"/>
                      <w:bCs w:val="0"/>
                      <w:color w:val="auto"/>
                      <w:spacing w:val="2"/>
                      <w:szCs w:val="21"/>
                      <w:highlight w:val="none"/>
                    </w:rPr>
                    <w:t>态</w:t>
                  </w:r>
                </w:p>
              </w:tc>
              <w:tc>
                <w:tcPr>
                  <w:tcW w:w="483" w:type="pct"/>
                  <w:vAlign w:val="center"/>
                </w:tcPr>
                <w:p w14:paraId="04698C04">
                  <w:pPr>
                    <w:pageBreakBefore w:val="0"/>
                    <w:overflowPunct/>
                    <w:topLinePunct w:val="0"/>
                    <w:autoSpaceDE w:val="0"/>
                    <w:autoSpaceDN w:val="0"/>
                    <w:bidi w:val="0"/>
                    <w:adjustRightInd/>
                    <w:snapToGrid/>
                    <w:jc w:val="center"/>
                    <w:rPr>
                      <w:rFonts w:hint="eastAsia" w:ascii="Times New Roman" w:eastAsia="宋体"/>
                      <w:b w:val="0"/>
                      <w:bCs w:val="0"/>
                      <w:color w:val="auto"/>
                      <w:highlight w:val="none"/>
                      <w:lang w:val="en-US" w:eastAsia="zh-CN"/>
                    </w:rPr>
                  </w:pPr>
                  <w:r>
                    <w:rPr>
                      <w:rFonts w:hint="eastAsia" w:ascii="Times New Roman" w:hAnsi="Times New Roman" w:eastAsia="宋体" w:cs="Times New Roman"/>
                      <w:color w:val="auto"/>
                      <w:szCs w:val="21"/>
                      <w:highlight w:val="none"/>
                      <w:lang w:val="en-US" w:eastAsia="zh-CN"/>
                    </w:rPr>
                    <w:t>漆</w:t>
                  </w:r>
                  <w:r>
                    <w:rPr>
                      <w:rFonts w:hint="eastAsia" w:eastAsia="宋体"/>
                      <w:color w:val="auto"/>
                      <w:highlight w:val="none"/>
                      <w:lang w:val="en-US" w:eastAsia="zh-CN"/>
                    </w:rPr>
                    <w:t>渣</w:t>
                  </w:r>
                </w:p>
              </w:tc>
              <w:tc>
                <w:tcPr>
                  <w:tcW w:w="343" w:type="pct"/>
                  <w:vAlign w:val="center"/>
                </w:tcPr>
                <w:p w14:paraId="602D1E36">
                  <w:pPr>
                    <w:pStyle w:val="54"/>
                    <w:pageBreakBefore w:val="0"/>
                    <w:overflowPunct/>
                    <w:topLinePunct w:val="0"/>
                    <w:bidi w:val="0"/>
                    <w:adjustRightInd/>
                    <w:snapToGrid/>
                    <w:spacing w:beforeLines="0" w:afterLines="0" w:line="240" w:lineRule="auto"/>
                    <w:ind w:left="0" w:leftChars="0" w:firstLine="0" w:firstLineChars="0"/>
                    <w:rPr>
                      <w:rFonts w:ascii="Times New Roman"/>
                      <w:b w:val="0"/>
                      <w:bCs w:val="0"/>
                      <w:color w:val="auto"/>
                      <w:highlight w:val="none"/>
                    </w:rPr>
                  </w:pPr>
                  <w:r>
                    <w:rPr>
                      <w:rFonts w:hint="eastAsia" w:ascii="Times New Roman"/>
                      <w:b w:val="0"/>
                      <w:bCs w:val="0"/>
                      <w:color w:val="auto"/>
                      <w:highlight w:val="none"/>
                    </w:rPr>
                    <w:t>半年</w:t>
                  </w:r>
                </w:p>
              </w:tc>
              <w:tc>
                <w:tcPr>
                  <w:tcW w:w="359" w:type="pct"/>
                  <w:vAlign w:val="center"/>
                </w:tcPr>
                <w:p w14:paraId="3DECF6A0">
                  <w:pPr>
                    <w:pageBreakBefore w:val="0"/>
                    <w:overflowPunct/>
                    <w:topLinePunct w:val="0"/>
                    <w:autoSpaceDE w:val="0"/>
                    <w:autoSpaceDN w:val="0"/>
                    <w:bidi w:val="0"/>
                    <w:adjustRightInd/>
                    <w:snapToGrid/>
                    <w:jc w:val="center"/>
                    <w:rPr>
                      <w:rFonts w:ascii="Times New Roman"/>
                      <w:b w:val="0"/>
                      <w:bCs w:val="0"/>
                      <w:color w:val="auto"/>
                      <w:highlight w:val="none"/>
                    </w:rPr>
                  </w:pPr>
                  <w:r>
                    <w:rPr>
                      <w:rFonts w:hint="default" w:ascii="Times New Roman" w:hAnsi="Times New Roman" w:cs="Times New Roman"/>
                      <w:color w:val="auto"/>
                      <w:highlight w:val="none"/>
                    </w:rPr>
                    <w:t>T/In</w:t>
                  </w:r>
                </w:p>
              </w:tc>
              <w:tc>
                <w:tcPr>
                  <w:tcW w:w="359" w:type="pct"/>
                  <w:vAlign w:val="center"/>
                </w:tcPr>
                <w:p w14:paraId="46BE3F60">
                  <w:pPr>
                    <w:pStyle w:val="54"/>
                    <w:pageBreakBefore w:val="0"/>
                    <w:overflowPunct/>
                    <w:topLinePunct w:val="0"/>
                    <w:bidi w:val="0"/>
                    <w:adjustRightInd/>
                    <w:snapToGrid/>
                    <w:spacing w:beforeLines="0" w:afterLines="0" w:line="240" w:lineRule="auto"/>
                    <w:ind w:left="0" w:leftChars="0" w:firstLine="0" w:firstLineChars="0"/>
                    <w:rPr>
                      <w:rFonts w:ascii="Times New Roman"/>
                      <w:b w:val="0"/>
                      <w:bCs w:val="0"/>
                      <w:color w:val="auto"/>
                      <w:highlight w:val="none"/>
                    </w:rPr>
                  </w:pPr>
                  <w:r>
                    <w:rPr>
                      <w:rFonts w:hint="eastAsia" w:ascii="Times New Roman"/>
                      <w:b w:val="0"/>
                      <w:bCs w:val="0"/>
                      <w:color w:val="auto"/>
                      <w:highlight w:val="none"/>
                    </w:rPr>
                    <w:t>袋装封口</w:t>
                  </w:r>
                </w:p>
              </w:tc>
            </w:tr>
            <w:tr w14:paraId="293F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3" w:type="pct"/>
                  <w:vAlign w:val="center"/>
                </w:tcPr>
                <w:p w14:paraId="39AFB647">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eastAsia="宋体"/>
                      <w:b w:val="0"/>
                      <w:bCs w:val="0"/>
                      <w:color w:val="auto"/>
                      <w:highlight w:val="none"/>
                      <w:lang w:val="en-US" w:eastAsia="zh-CN"/>
                    </w:rPr>
                  </w:pPr>
                  <w:r>
                    <w:rPr>
                      <w:rFonts w:hint="eastAsia" w:ascii="Times New Roman"/>
                      <w:b w:val="0"/>
                      <w:bCs w:val="0"/>
                      <w:color w:val="auto"/>
                      <w:highlight w:val="none"/>
                      <w:lang w:val="en-US" w:eastAsia="zh-CN"/>
                    </w:rPr>
                    <w:t>2</w:t>
                  </w:r>
                </w:p>
              </w:tc>
              <w:tc>
                <w:tcPr>
                  <w:tcW w:w="564" w:type="pct"/>
                  <w:vAlign w:val="center"/>
                </w:tcPr>
                <w:p w14:paraId="563CB5DB">
                  <w:pPr>
                    <w:pageBreakBefore w:val="0"/>
                    <w:overflowPunct/>
                    <w:topLinePunct w:val="0"/>
                    <w:autoSpaceDE w:val="0"/>
                    <w:autoSpaceDN w:val="0"/>
                    <w:bidi w:val="0"/>
                    <w:adjustRightInd/>
                    <w:snapToGrid/>
                    <w:jc w:val="center"/>
                    <w:rPr>
                      <w:rFonts w:hint="eastAsia" w:ascii="Times New Roman" w:hAnsi="Times New Roman" w:cs="Times New Roman"/>
                      <w:b w:val="0"/>
                      <w:bCs w:val="0"/>
                      <w:color w:val="auto"/>
                      <w:sz w:val="21"/>
                      <w:szCs w:val="21"/>
                      <w:highlight w:val="none"/>
                    </w:rPr>
                  </w:pPr>
                  <w:r>
                    <w:rPr>
                      <w:rFonts w:hint="default" w:ascii="Times New Roman" w:hAnsi="Times New Roman" w:eastAsia="宋体" w:cs="Times New Roman"/>
                      <w:color w:val="auto"/>
                      <w:szCs w:val="21"/>
                      <w:highlight w:val="none"/>
                    </w:rPr>
                    <w:t>废活性炭</w:t>
                  </w:r>
                </w:p>
              </w:tc>
              <w:tc>
                <w:tcPr>
                  <w:tcW w:w="479" w:type="pct"/>
                  <w:vAlign w:val="center"/>
                </w:tcPr>
                <w:p w14:paraId="48E4E8FC">
                  <w:pPr>
                    <w:pageBreakBefore w:val="0"/>
                    <w:overflowPunct/>
                    <w:topLinePunct w:val="0"/>
                    <w:bidi w:val="0"/>
                    <w:adjustRightInd/>
                    <w:snapToGrid/>
                    <w:spacing w:line="360" w:lineRule="exact"/>
                    <w:jc w:val="center"/>
                    <w:rPr>
                      <w:b w:val="0"/>
                      <w:bCs w:val="0"/>
                      <w:color w:val="auto"/>
                      <w:spacing w:val="2"/>
                      <w:szCs w:val="21"/>
                      <w:highlight w:val="none"/>
                    </w:rPr>
                  </w:pPr>
                  <w:r>
                    <w:rPr>
                      <w:rFonts w:hint="default" w:ascii="Times New Roman" w:hAnsi="Times New Roman" w:eastAsia="宋体" w:cs="Times New Roman"/>
                      <w:color w:val="auto"/>
                      <w:szCs w:val="21"/>
                      <w:highlight w:val="none"/>
                    </w:rPr>
                    <w:t>HW49</w:t>
                  </w:r>
                </w:p>
              </w:tc>
              <w:tc>
                <w:tcPr>
                  <w:tcW w:w="739" w:type="pct"/>
                  <w:vAlign w:val="center"/>
                </w:tcPr>
                <w:p w14:paraId="7F7A8BB8">
                  <w:pPr>
                    <w:pageBreakBefore w:val="0"/>
                    <w:overflowPunct/>
                    <w:topLinePunct w:val="0"/>
                    <w:bidi w:val="0"/>
                    <w:adjustRightInd/>
                    <w:snapToGrid/>
                    <w:jc w:val="center"/>
                    <w:rPr>
                      <w:b w:val="0"/>
                      <w:bCs w:val="0"/>
                      <w:color w:val="auto"/>
                      <w:szCs w:val="21"/>
                      <w:highlight w:val="none"/>
                    </w:rPr>
                  </w:pPr>
                  <w:r>
                    <w:rPr>
                      <w:rFonts w:hint="default" w:ascii="Times New Roman" w:hAnsi="Times New Roman" w:eastAsia="宋体" w:cs="Times New Roman"/>
                      <w:color w:val="auto"/>
                      <w:szCs w:val="21"/>
                      <w:highlight w:val="none"/>
                      <w:lang w:bidi="ar"/>
                    </w:rPr>
                    <w:t>900-039-49</w:t>
                  </w:r>
                </w:p>
              </w:tc>
              <w:tc>
                <w:tcPr>
                  <w:tcW w:w="845" w:type="dxa"/>
                  <w:vAlign w:val="center"/>
                </w:tcPr>
                <w:p w14:paraId="44E1A0FA">
                  <w:pPr>
                    <w:pageBreakBefore w:val="0"/>
                    <w:overflowPunct/>
                    <w:topLinePunct w:val="0"/>
                    <w:autoSpaceDE w:val="0"/>
                    <w:autoSpaceDN w:val="0"/>
                    <w:bidi w:val="0"/>
                    <w:adjustRightInd/>
                    <w:snapToGrid/>
                    <w:jc w:val="center"/>
                    <w:rPr>
                      <w:rFonts w:hint="default" w:eastAsia="宋体"/>
                      <w:b w:val="0"/>
                      <w:bCs w:val="0"/>
                      <w:color w:val="auto"/>
                      <w:highlight w:val="none"/>
                      <w:lang w:val="en-US" w:eastAsia="zh-CN"/>
                    </w:rPr>
                  </w:pPr>
                  <w:r>
                    <w:rPr>
                      <w:rFonts w:hint="eastAsia" w:cs="Times New Roman"/>
                      <w:color w:val="auto"/>
                      <w:szCs w:val="21"/>
                      <w:highlight w:val="none"/>
                      <w:lang w:val="en-US" w:eastAsia="zh-CN"/>
                    </w:rPr>
                    <w:t>25.12</w:t>
                  </w:r>
                </w:p>
              </w:tc>
              <w:tc>
                <w:tcPr>
                  <w:tcW w:w="619" w:type="pct"/>
                  <w:vAlign w:val="center"/>
                </w:tcPr>
                <w:p w14:paraId="2A390024">
                  <w:pPr>
                    <w:pageBreakBefore w:val="0"/>
                    <w:overflowPunct/>
                    <w:topLinePunct w:val="0"/>
                    <w:autoSpaceDE w:val="0"/>
                    <w:autoSpaceDN w:val="0"/>
                    <w:bidi w:val="0"/>
                    <w:adjustRightInd/>
                    <w:snapToGrid/>
                    <w:jc w:val="center"/>
                    <w:rPr>
                      <w:rFonts w:hint="eastAsia" w:ascii="Times New Roman" w:hAnsi="Times New Roman" w:cs="Times New Roman"/>
                      <w:b w:val="0"/>
                      <w:bCs w:val="0"/>
                      <w:color w:val="auto"/>
                      <w:spacing w:val="2"/>
                      <w:kern w:val="0"/>
                      <w:sz w:val="21"/>
                      <w:szCs w:val="21"/>
                      <w:highlight w:val="none"/>
                    </w:rPr>
                  </w:pPr>
                  <w:r>
                    <w:rPr>
                      <w:rFonts w:hint="default" w:ascii="Times New Roman" w:hAnsi="Times New Roman" w:eastAsia="宋体" w:cs="Times New Roman"/>
                      <w:color w:val="auto"/>
                      <w:szCs w:val="21"/>
                      <w:highlight w:val="none"/>
                    </w:rPr>
                    <w:t>废气收集</w:t>
                  </w:r>
                </w:p>
              </w:tc>
              <w:tc>
                <w:tcPr>
                  <w:tcW w:w="265" w:type="pct"/>
                  <w:vAlign w:val="center"/>
                </w:tcPr>
                <w:p w14:paraId="60C99320">
                  <w:pPr>
                    <w:pStyle w:val="54"/>
                    <w:pageBreakBefore w:val="0"/>
                    <w:overflowPunct/>
                    <w:topLinePunct w:val="0"/>
                    <w:bidi w:val="0"/>
                    <w:adjustRightInd/>
                    <w:snapToGrid/>
                    <w:spacing w:beforeLines="0" w:afterLines="0" w:line="240" w:lineRule="auto"/>
                    <w:ind w:left="0" w:leftChars="0" w:firstLine="0" w:firstLineChars="0"/>
                    <w:rPr>
                      <w:rFonts w:hint="default" w:ascii="Times New Roman" w:eastAsia="宋体"/>
                      <w:b w:val="0"/>
                      <w:bCs w:val="0"/>
                      <w:color w:val="auto"/>
                      <w:spacing w:val="2"/>
                      <w:szCs w:val="21"/>
                      <w:highlight w:val="none"/>
                      <w:lang w:val="en-US" w:eastAsia="zh-CN"/>
                    </w:rPr>
                  </w:pPr>
                  <w:r>
                    <w:rPr>
                      <w:rFonts w:hint="eastAsia" w:ascii="Times New Roman"/>
                      <w:b w:val="0"/>
                      <w:bCs w:val="0"/>
                      <w:color w:val="auto"/>
                      <w:spacing w:val="2"/>
                      <w:szCs w:val="21"/>
                      <w:highlight w:val="none"/>
                    </w:rPr>
                    <w:t>固</w:t>
                  </w:r>
                  <w:r>
                    <w:rPr>
                      <w:rFonts w:ascii="Times New Roman"/>
                      <w:b w:val="0"/>
                      <w:bCs w:val="0"/>
                      <w:color w:val="auto"/>
                      <w:spacing w:val="2"/>
                      <w:szCs w:val="21"/>
                      <w:highlight w:val="none"/>
                    </w:rPr>
                    <w:t>态</w:t>
                  </w:r>
                </w:p>
              </w:tc>
              <w:tc>
                <w:tcPr>
                  <w:tcW w:w="483" w:type="pct"/>
                  <w:vAlign w:val="center"/>
                </w:tcPr>
                <w:p w14:paraId="3FA71CE6">
                  <w:pPr>
                    <w:pageBreakBefore w:val="0"/>
                    <w:overflowPunct/>
                    <w:topLinePunct w:val="0"/>
                    <w:autoSpaceDE w:val="0"/>
                    <w:autoSpaceDN w:val="0"/>
                    <w:bidi w:val="0"/>
                    <w:adjustRightInd/>
                    <w:snapToGrid/>
                    <w:jc w:val="center"/>
                    <w:rPr>
                      <w:rFonts w:hint="eastAsia" w:ascii="Times New Roman" w:eastAsia="宋体"/>
                      <w:b w:val="0"/>
                      <w:bCs w:val="0"/>
                      <w:color w:val="auto"/>
                      <w:highlight w:val="none"/>
                      <w:lang w:val="en-US" w:eastAsia="zh-CN"/>
                    </w:rPr>
                  </w:pPr>
                  <w:r>
                    <w:rPr>
                      <w:rFonts w:hint="default" w:ascii="Times New Roman" w:hAnsi="Times New Roman" w:eastAsia="宋体" w:cs="Times New Roman"/>
                      <w:color w:val="auto"/>
                      <w:szCs w:val="21"/>
                      <w:highlight w:val="none"/>
                    </w:rPr>
                    <w:t>有机废气、活性炭</w:t>
                  </w:r>
                </w:p>
              </w:tc>
              <w:tc>
                <w:tcPr>
                  <w:tcW w:w="343" w:type="pct"/>
                  <w:vAlign w:val="center"/>
                </w:tcPr>
                <w:p w14:paraId="460C436B">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eastAsia="宋体"/>
                      <w:b w:val="0"/>
                      <w:bCs w:val="0"/>
                      <w:color w:val="auto"/>
                      <w:highlight w:val="none"/>
                      <w:lang w:val="en-US" w:eastAsia="zh-CN"/>
                    </w:rPr>
                  </w:pPr>
                  <w:r>
                    <w:rPr>
                      <w:rFonts w:hint="eastAsia" w:ascii="Times New Roman"/>
                      <w:b w:val="0"/>
                      <w:bCs w:val="0"/>
                      <w:color w:val="auto"/>
                      <w:highlight w:val="none"/>
                    </w:rPr>
                    <w:t>半年</w:t>
                  </w:r>
                </w:p>
              </w:tc>
              <w:tc>
                <w:tcPr>
                  <w:tcW w:w="359" w:type="pct"/>
                  <w:vAlign w:val="center"/>
                </w:tcPr>
                <w:p w14:paraId="1AC27607">
                  <w:pPr>
                    <w:pageBreakBefore w:val="0"/>
                    <w:overflowPunct/>
                    <w:topLinePunct w:val="0"/>
                    <w:autoSpaceDE w:val="0"/>
                    <w:autoSpaceDN w:val="0"/>
                    <w:bidi w:val="0"/>
                    <w:adjustRightInd/>
                    <w:snapToGrid/>
                    <w:jc w:val="center"/>
                    <w:rPr>
                      <w:rFonts w:ascii="Times New Roman"/>
                      <w:b w:val="0"/>
                      <w:bCs w:val="0"/>
                      <w:color w:val="auto"/>
                      <w:highlight w:val="none"/>
                    </w:rPr>
                  </w:pPr>
                  <w:r>
                    <w:rPr>
                      <w:rFonts w:hint="default" w:ascii="Times New Roman" w:hAnsi="Times New Roman" w:eastAsia="宋体" w:cs="Times New Roman"/>
                      <w:color w:val="auto"/>
                      <w:szCs w:val="21"/>
                      <w:highlight w:val="none"/>
                    </w:rPr>
                    <w:t>T</w:t>
                  </w:r>
                </w:p>
              </w:tc>
              <w:tc>
                <w:tcPr>
                  <w:tcW w:w="359" w:type="pct"/>
                  <w:vAlign w:val="center"/>
                </w:tcPr>
                <w:p w14:paraId="62ABDD02">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eastAsia="宋体"/>
                      <w:b w:val="0"/>
                      <w:bCs w:val="0"/>
                      <w:color w:val="auto"/>
                      <w:highlight w:val="none"/>
                      <w:lang w:val="en-US" w:eastAsia="zh-CN"/>
                    </w:rPr>
                  </w:pPr>
                  <w:r>
                    <w:rPr>
                      <w:rFonts w:hint="eastAsia" w:ascii="Times New Roman"/>
                      <w:b w:val="0"/>
                      <w:bCs w:val="0"/>
                      <w:color w:val="auto"/>
                      <w:highlight w:val="none"/>
                    </w:rPr>
                    <w:t>袋装封口</w:t>
                  </w:r>
                </w:p>
              </w:tc>
            </w:tr>
            <w:tr w14:paraId="7046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3" w:type="pct"/>
                  <w:vAlign w:val="center"/>
                </w:tcPr>
                <w:p w14:paraId="623C4094">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eastAsia="宋体"/>
                      <w:b w:val="0"/>
                      <w:bCs w:val="0"/>
                      <w:color w:val="auto"/>
                      <w:highlight w:val="none"/>
                      <w:lang w:val="en-US" w:eastAsia="zh-CN"/>
                    </w:rPr>
                  </w:pPr>
                  <w:r>
                    <w:rPr>
                      <w:rFonts w:hint="eastAsia" w:ascii="Times New Roman"/>
                      <w:b w:val="0"/>
                      <w:bCs w:val="0"/>
                      <w:color w:val="auto"/>
                      <w:highlight w:val="none"/>
                      <w:lang w:val="en-US" w:eastAsia="zh-CN"/>
                    </w:rPr>
                    <w:t>3</w:t>
                  </w:r>
                </w:p>
              </w:tc>
              <w:tc>
                <w:tcPr>
                  <w:tcW w:w="564" w:type="pct"/>
                  <w:vAlign w:val="center"/>
                </w:tcPr>
                <w:p w14:paraId="6B637DC8">
                  <w:pPr>
                    <w:pageBreakBefore w:val="0"/>
                    <w:kinsoku/>
                    <w:overflowPunct/>
                    <w:topLinePunct w:val="0"/>
                    <w:bidi w:val="0"/>
                    <w:adjustRightInd/>
                    <w:snapToGrid/>
                    <w:jc w:val="center"/>
                    <w:rPr>
                      <w:rFonts w:hint="eastAsia" w:ascii="Times New Roman" w:hAnsi="Times New Roman" w:cs="Times New Roman"/>
                      <w:b w:val="0"/>
                      <w:bCs w:val="0"/>
                      <w:color w:val="auto"/>
                      <w:sz w:val="21"/>
                      <w:szCs w:val="21"/>
                      <w:highlight w:val="none"/>
                    </w:rPr>
                  </w:pPr>
                  <w:r>
                    <w:rPr>
                      <w:rFonts w:ascii="Times New Roman" w:hAnsi="Times New Roman" w:eastAsia="宋体" w:cs="Times New Roman"/>
                      <w:color w:val="auto"/>
                      <w:highlight w:val="none"/>
                      <w:lang w:eastAsia="zh-CN"/>
                    </w:rPr>
                    <w:t>废</w:t>
                  </w:r>
                  <w:r>
                    <w:rPr>
                      <w:rFonts w:hint="eastAsia" w:ascii="Times New Roman" w:hAnsi="Times New Roman" w:eastAsia="宋体" w:cs="Times New Roman"/>
                      <w:color w:val="auto"/>
                      <w:highlight w:val="none"/>
                      <w:lang w:val="en-US" w:eastAsia="zh-CN"/>
                    </w:rPr>
                    <w:t>水性</w:t>
                  </w:r>
                  <w:r>
                    <w:rPr>
                      <w:rFonts w:ascii="Times New Roman" w:hAnsi="Times New Roman" w:eastAsia="宋体" w:cs="Times New Roman"/>
                      <w:color w:val="auto"/>
                      <w:highlight w:val="none"/>
                      <w:lang w:eastAsia="zh-CN"/>
                    </w:rPr>
                    <w:t>漆桶</w:t>
                  </w:r>
                </w:p>
              </w:tc>
              <w:tc>
                <w:tcPr>
                  <w:tcW w:w="479" w:type="pct"/>
                  <w:vAlign w:val="center"/>
                </w:tcPr>
                <w:p w14:paraId="6B556F01">
                  <w:pPr>
                    <w:pStyle w:val="54"/>
                    <w:pageBreakBefore w:val="0"/>
                    <w:overflowPunct/>
                    <w:topLinePunct w:val="0"/>
                    <w:bidi w:val="0"/>
                    <w:adjustRightInd/>
                    <w:snapToGrid/>
                    <w:ind w:left="0" w:leftChars="0" w:firstLine="0" w:firstLineChars="0"/>
                    <w:jc w:val="center"/>
                    <w:rPr>
                      <w:b w:val="0"/>
                      <w:bCs w:val="0"/>
                      <w:color w:val="auto"/>
                      <w:spacing w:val="2"/>
                      <w:szCs w:val="21"/>
                      <w:highlight w:val="none"/>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en-US" w:bidi="ar-SA"/>
                    </w:rPr>
                    <w:t>49</w:t>
                  </w:r>
                </w:p>
              </w:tc>
              <w:tc>
                <w:tcPr>
                  <w:tcW w:w="739" w:type="pct"/>
                  <w:vAlign w:val="center"/>
                </w:tcPr>
                <w:p w14:paraId="10BD35F6">
                  <w:pPr>
                    <w:pageBreakBefore w:val="0"/>
                    <w:overflowPunct/>
                    <w:topLinePunct w:val="0"/>
                    <w:bidi w:val="0"/>
                    <w:adjustRightInd/>
                    <w:snapToGrid/>
                    <w:jc w:val="center"/>
                    <w:rPr>
                      <w:b w:val="0"/>
                      <w:bCs w:val="0"/>
                      <w:color w:val="auto"/>
                      <w:szCs w:val="21"/>
                      <w:highlight w:val="none"/>
                    </w:rPr>
                  </w:pPr>
                  <w:r>
                    <w:rPr>
                      <w:rFonts w:hint="default" w:ascii="Times New Roman" w:hAnsi="Times New Roman" w:eastAsia="宋体" w:cs="Times New Roman"/>
                      <w:snapToGrid w:val="0"/>
                      <w:color w:val="auto"/>
                      <w:kern w:val="0"/>
                      <w:sz w:val="21"/>
                      <w:szCs w:val="21"/>
                      <w:highlight w:val="none"/>
                      <w:lang w:val="en-US" w:eastAsia="en-US" w:bidi="ar-SA"/>
                    </w:rPr>
                    <w:t>9</w:t>
                  </w:r>
                  <w:r>
                    <w:rPr>
                      <w:rFonts w:hint="default" w:ascii="Times New Roman" w:hAnsi="Times New Roman" w:eastAsia="宋体" w:cs="Times New Roman"/>
                      <w:color w:val="auto"/>
                      <w:szCs w:val="21"/>
                      <w:highlight w:val="none"/>
                      <w:lang w:val="en-US" w:eastAsia="en-US" w:bidi="ar"/>
                    </w:rPr>
                    <w:t>00-041-49</w:t>
                  </w:r>
                </w:p>
              </w:tc>
              <w:tc>
                <w:tcPr>
                  <w:tcW w:w="845" w:type="dxa"/>
                  <w:vAlign w:val="center"/>
                </w:tcPr>
                <w:p w14:paraId="139DEF48">
                  <w:pPr>
                    <w:pageBreakBefore w:val="0"/>
                    <w:overflowPunct/>
                    <w:topLinePunct w:val="0"/>
                    <w:autoSpaceDE w:val="0"/>
                    <w:autoSpaceDN w:val="0"/>
                    <w:bidi w:val="0"/>
                    <w:adjustRightInd/>
                    <w:snapToGrid/>
                    <w:jc w:val="center"/>
                    <w:rPr>
                      <w:rFonts w:hint="default" w:eastAsia="宋体"/>
                      <w:b w:val="0"/>
                      <w:bCs w:val="0"/>
                      <w:color w:val="auto"/>
                      <w:highlight w:val="none"/>
                      <w:lang w:val="en-US" w:eastAsia="zh-CN"/>
                    </w:rPr>
                  </w:pPr>
                  <w:r>
                    <w:rPr>
                      <w:rFonts w:hint="eastAsia" w:cs="Times New Roman"/>
                      <w:color w:val="auto"/>
                      <w:szCs w:val="21"/>
                      <w:highlight w:val="none"/>
                      <w:lang w:val="en-US" w:eastAsia="zh-CN"/>
                    </w:rPr>
                    <w:t>2.673</w:t>
                  </w:r>
                </w:p>
              </w:tc>
              <w:tc>
                <w:tcPr>
                  <w:tcW w:w="619" w:type="pct"/>
                  <w:vAlign w:val="center"/>
                </w:tcPr>
                <w:p w14:paraId="2DE1056C">
                  <w:pPr>
                    <w:pageBreakBefore w:val="0"/>
                    <w:kinsoku/>
                    <w:overflowPunct/>
                    <w:topLinePunct w:val="0"/>
                    <w:bidi w:val="0"/>
                    <w:adjustRightInd/>
                    <w:snapToGrid/>
                    <w:jc w:val="center"/>
                    <w:rPr>
                      <w:rFonts w:hint="eastAsia" w:ascii="Times New Roman" w:hAnsi="Times New Roman" w:cs="Times New Roman"/>
                      <w:b w:val="0"/>
                      <w:bCs w:val="0"/>
                      <w:color w:val="auto"/>
                      <w:spacing w:val="2"/>
                      <w:kern w:val="0"/>
                      <w:sz w:val="21"/>
                      <w:szCs w:val="21"/>
                      <w:highlight w:val="none"/>
                    </w:rPr>
                  </w:pPr>
                  <w:r>
                    <w:rPr>
                      <w:rFonts w:ascii="Times New Roman" w:hAnsi="Times New Roman" w:eastAsia="宋体" w:cs="Times New Roman"/>
                      <w:color w:val="auto"/>
                      <w:highlight w:val="none"/>
                      <w:lang w:eastAsia="zh-CN"/>
                    </w:rPr>
                    <w:t>喷漆</w:t>
                  </w:r>
                </w:p>
              </w:tc>
              <w:tc>
                <w:tcPr>
                  <w:tcW w:w="265" w:type="pct"/>
                  <w:vAlign w:val="center"/>
                </w:tcPr>
                <w:p w14:paraId="548212D4">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eastAsia="宋体"/>
                      <w:b w:val="0"/>
                      <w:bCs w:val="0"/>
                      <w:color w:val="auto"/>
                      <w:spacing w:val="2"/>
                      <w:szCs w:val="21"/>
                      <w:highlight w:val="none"/>
                      <w:lang w:val="en-US" w:eastAsia="zh-CN"/>
                    </w:rPr>
                  </w:pPr>
                  <w:r>
                    <w:rPr>
                      <w:rFonts w:hint="eastAsia" w:ascii="Times New Roman"/>
                      <w:b w:val="0"/>
                      <w:bCs w:val="0"/>
                      <w:color w:val="auto"/>
                      <w:spacing w:val="2"/>
                      <w:szCs w:val="21"/>
                      <w:highlight w:val="none"/>
                      <w:lang w:val="en-US" w:eastAsia="zh-CN"/>
                    </w:rPr>
                    <w:t>固态</w:t>
                  </w:r>
                </w:p>
              </w:tc>
              <w:tc>
                <w:tcPr>
                  <w:tcW w:w="483" w:type="pct"/>
                  <w:vAlign w:val="center"/>
                </w:tcPr>
                <w:p w14:paraId="49AAEE1F">
                  <w:pPr>
                    <w:pageBreakBefore w:val="0"/>
                    <w:overflowPunct/>
                    <w:topLinePunct w:val="0"/>
                    <w:autoSpaceDE w:val="0"/>
                    <w:autoSpaceDN w:val="0"/>
                    <w:bidi w:val="0"/>
                    <w:adjustRightInd/>
                    <w:snapToGrid/>
                    <w:jc w:val="center"/>
                    <w:rPr>
                      <w:rFonts w:hint="eastAsia" w:ascii="Times New Roman"/>
                      <w:b w:val="0"/>
                      <w:bCs w:val="0"/>
                      <w:color w:val="auto"/>
                      <w:highlight w:val="none"/>
                    </w:rPr>
                  </w:pPr>
                  <w:r>
                    <w:rPr>
                      <w:rFonts w:hint="eastAsia" w:ascii="Times New Roman" w:hAnsi="Times New Roman" w:eastAsia="宋体" w:cs="Times New Roman"/>
                      <w:color w:val="auto"/>
                      <w:szCs w:val="21"/>
                      <w:highlight w:val="none"/>
                      <w:lang w:val="en-US" w:eastAsia="zh-CN"/>
                    </w:rPr>
                    <w:t>水性漆</w:t>
                  </w:r>
                </w:p>
              </w:tc>
              <w:tc>
                <w:tcPr>
                  <w:tcW w:w="343" w:type="pct"/>
                  <w:vAlign w:val="center"/>
                </w:tcPr>
                <w:p w14:paraId="6452654A">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rPr>
                  </w:pPr>
                  <w:r>
                    <w:rPr>
                      <w:rFonts w:hint="eastAsia" w:ascii="Times New Roman"/>
                      <w:b w:val="0"/>
                      <w:bCs w:val="0"/>
                      <w:color w:val="auto"/>
                      <w:highlight w:val="none"/>
                    </w:rPr>
                    <w:t>半年</w:t>
                  </w:r>
                </w:p>
              </w:tc>
              <w:tc>
                <w:tcPr>
                  <w:tcW w:w="359" w:type="pct"/>
                  <w:vAlign w:val="center"/>
                </w:tcPr>
                <w:p w14:paraId="0C178909">
                  <w:pPr>
                    <w:pageBreakBefore w:val="0"/>
                    <w:overflowPunct/>
                    <w:topLinePunct w:val="0"/>
                    <w:autoSpaceDE w:val="0"/>
                    <w:autoSpaceDN w:val="0"/>
                    <w:bidi w:val="0"/>
                    <w:adjustRightInd/>
                    <w:snapToGrid/>
                    <w:jc w:val="center"/>
                    <w:rPr>
                      <w:rFonts w:ascii="Times New Roman"/>
                      <w:b w:val="0"/>
                      <w:bCs w:val="0"/>
                      <w:color w:val="auto"/>
                      <w:highlight w:val="none"/>
                    </w:rPr>
                  </w:pPr>
                  <w:r>
                    <w:rPr>
                      <w:rFonts w:hint="default" w:ascii="Times New Roman" w:hAnsi="Times New Roman" w:eastAsia="宋体" w:cs="Times New Roman"/>
                      <w:color w:val="auto"/>
                      <w:szCs w:val="21"/>
                      <w:highlight w:val="none"/>
                    </w:rPr>
                    <w:t>T</w:t>
                  </w:r>
                </w:p>
              </w:tc>
              <w:tc>
                <w:tcPr>
                  <w:tcW w:w="359" w:type="pct"/>
                  <w:vAlign w:val="center"/>
                </w:tcPr>
                <w:p w14:paraId="2909F516">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rPr>
                  </w:pPr>
                  <w:r>
                    <w:rPr>
                      <w:rFonts w:hint="eastAsia" w:ascii="Times New Roman"/>
                      <w:b w:val="0"/>
                      <w:bCs w:val="0"/>
                      <w:color w:val="auto"/>
                      <w:highlight w:val="none"/>
                      <w:lang w:val="en-US" w:eastAsia="zh-CN"/>
                    </w:rPr>
                    <w:t>桶装</w:t>
                  </w:r>
                </w:p>
              </w:tc>
            </w:tr>
            <w:tr w14:paraId="24A7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3" w:type="pct"/>
                  <w:vAlign w:val="center"/>
                </w:tcPr>
                <w:p w14:paraId="2A694262">
                  <w:pPr>
                    <w:pStyle w:val="54"/>
                    <w:pageBreakBefore w:val="0"/>
                    <w:overflowPunct/>
                    <w:topLinePunct w:val="0"/>
                    <w:bidi w:val="0"/>
                    <w:adjustRightInd/>
                    <w:snapToGrid/>
                    <w:spacing w:beforeLines="0" w:afterLines="0" w:line="240" w:lineRule="auto"/>
                    <w:ind w:left="0" w:leftChars="0" w:firstLine="0" w:firstLineChars="0"/>
                    <w:rPr>
                      <w:rFonts w:hint="default" w:ascii="Times New Roman"/>
                      <w:b w:val="0"/>
                      <w:bCs w:val="0"/>
                      <w:color w:val="auto"/>
                      <w:highlight w:val="none"/>
                      <w:lang w:val="en-US" w:eastAsia="zh-CN"/>
                    </w:rPr>
                  </w:pPr>
                  <w:r>
                    <w:rPr>
                      <w:rFonts w:hint="eastAsia" w:ascii="Times New Roman"/>
                      <w:b w:val="0"/>
                      <w:bCs w:val="0"/>
                      <w:color w:val="auto"/>
                      <w:highlight w:val="none"/>
                      <w:lang w:val="en-US" w:eastAsia="zh-CN"/>
                    </w:rPr>
                    <w:t>4</w:t>
                  </w:r>
                </w:p>
              </w:tc>
              <w:tc>
                <w:tcPr>
                  <w:tcW w:w="564" w:type="pct"/>
                  <w:vAlign w:val="center"/>
                </w:tcPr>
                <w:p w14:paraId="1AA50F57">
                  <w:pPr>
                    <w:pageBreakBefore w:val="0"/>
                    <w:kinsoku/>
                    <w:overflowPunct/>
                    <w:topLinePunct w:val="0"/>
                    <w:bidi w:val="0"/>
                    <w:adjustRightInd/>
                    <w:snapToGrid/>
                    <w:jc w:val="center"/>
                    <w:rPr>
                      <w:rFonts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漆渣</w:t>
                  </w:r>
                </w:p>
              </w:tc>
              <w:tc>
                <w:tcPr>
                  <w:tcW w:w="479" w:type="pct"/>
                  <w:vAlign w:val="center"/>
                </w:tcPr>
                <w:p w14:paraId="461DC6D9">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en-US" w:bidi="ar-SA"/>
                    </w:rPr>
                    <w:t>49</w:t>
                  </w:r>
                </w:p>
              </w:tc>
              <w:tc>
                <w:tcPr>
                  <w:tcW w:w="739" w:type="pct"/>
                  <w:vAlign w:val="center"/>
                </w:tcPr>
                <w:p w14:paraId="1FF73BD2">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9</w:t>
                  </w:r>
                  <w:r>
                    <w:rPr>
                      <w:rFonts w:hint="default" w:ascii="Times New Roman" w:hAnsi="Times New Roman" w:eastAsia="宋体" w:cs="Times New Roman"/>
                      <w:color w:val="auto"/>
                      <w:szCs w:val="21"/>
                      <w:highlight w:val="none"/>
                      <w:lang w:val="en-US" w:eastAsia="en-US" w:bidi="ar"/>
                    </w:rPr>
                    <w:t>00-041-49</w:t>
                  </w:r>
                </w:p>
              </w:tc>
              <w:tc>
                <w:tcPr>
                  <w:tcW w:w="845" w:type="dxa"/>
                  <w:vAlign w:val="center"/>
                </w:tcPr>
                <w:p w14:paraId="5034C64C">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0.849</w:t>
                  </w:r>
                </w:p>
              </w:tc>
              <w:tc>
                <w:tcPr>
                  <w:tcW w:w="619" w:type="pct"/>
                  <w:vAlign w:val="center"/>
                </w:tcPr>
                <w:p w14:paraId="4E967AD1">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喷漆</w:t>
                  </w:r>
                </w:p>
              </w:tc>
              <w:tc>
                <w:tcPr>
                  <w:tcW w:w="265" w:type="pct"/>
                  <w:vAlign w:val="center"/>
                </w:tcPr>
                <w:p w14:paraId="1172A8ED">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spacing w:val="2"/>
                      <w:szCs w:val="21"/>
                      <w:highlight w:val="none"/>
                      <w:lang w:val="en-US" w:eastAsia="zh-CN"/>
                    </w:rPr>
                  </w:pPr>
                  <w:r>
                    <w:rPr>
                      <w:rFonts w:hint="eastAsia" w:ascii="Times New Roman"/>
                      <w:b w:val="0"/>
                      <w:bCs w:val="0"/>
                      <w:color w:val="auto"/>
                      <w:spacing w:val="2"/>
                      <w:szCs w:val="21"/>
                      <w:highlight w:val="none"/>
                      <w:lang w:val="en-US" w:eastAsia="zh-CN"/>
                    </w:rPr>
                    <w:t>固态</w:t>
                  </w:r>
                </w:p>
              </w:tc>
              <w:tc>
                <w:tcPr>
                  <w:tcW w:w="483" w:type="pct"/>
                  <w:vAlign w:val="center"/>
                </w:tcPr>
                <w:p w14:paraId="4C7B2682">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水性漆</w:t>
                  </w:r>
                </w:p>
              </w:tc>
              <w:tc>
                <w:tcPr>
                  <w:tcW w:w="343" w:type="pct"/>
                  <w:vAlign w:val="center"/>
                </w:tcPr>
                <w:p w14:paraId="68330FFE">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rPr>
                  </w:pPr>
                  <w:r>
                    <w:rPr>
                      <w:rFonts w:hint="eastAsia" w:ascii="Times New Roman"/>
                      <w:b w:val="0"/>
                      <w:bCs w:val="0"/>
                      <w:color w:val="auto"/>
                      <w:highlight w:val="none"/>
                    </w:rPr>
                    <w:t>半年</w:t>
                  </w:r>
                </w:p>
              </w:tc>
              <w:tc>
                <w:tcPr>
                  <w:tcW w:w="359" w:type="pct"/>
                  <w:vAlign w:val="center"/>
                </w:tcPr>
                <w:p w14:paraId="6CD40891">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highlight w:val="none"/>
                    </w:rPr>
                    <w:t>T/In</w:t>
                  </w:r>
                </w:p>
              </w:tc>
              <w:tc>
                <w:tcPr>
                  <w:tcW w:w="359" w:type="pct"/>
                  <w:vAlign w:val="center"/>
                </w:tcPr>
                <w:p w14:paraId="18150D29">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lang w:val="en-US" w:eastAsia="zh-CN"/>
                    </w:rPr>
                  </w:pPr>
                  <w:r>
                    <w:rPr>
                      <w:rFonts w:hint="eastAsia" w:ascii="Times New Roman"/>
                      <w:b w:val="0"/>
                      <w:bCs w:val="0"/>
                      <w:color w:val="auto"/>
                      <w:highlight w:val="none"/>
                    </w:rPr>
                    <w:t>袋装封口</w:t>
                  </w:r>
                </w:p>
              </w:tc>
            </w:tr>
            <w:tr w14:paraId="4D2E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3" w:type="pct"/>
                  <w:vAlign w:val="center"/>
                </w:tcPr>
                <w:p w14:paraId="3FB9B377">
                  <w:pPr>
                    <w:pStyle w:val="54"/>
                    <w:pageBreakBefore w:val="0"/>
                    <w:overflowPunct/>
                    <w:topLinePunct w:val="0"/>
                    <w:bidi w:val="0"/>
                    <w:adjustRightInd/>
                    <w:snapToGrid/>
                    <w:spacing w:beforeLines="0" w:afterLines="0" w:line="240" w:lineRule="auto"/>
                    <w:ind w:left="0" w:leftChars="0" w:firstLine="0" w:firstLineChars="0"/>
                    <w:rPr>
                      <w:rFonts w:hint="default" w:ascii="Times New Roman"/>
                      <w:b w:val="0"/>
                      <w:bCs w:val="0"/>
                      <w:color w:val="auto"/>
                      <w:highlight w:val="none"/>
                      <w:lang w:val="en-US" w:eastAsia="zh-CN"/>
                    </w:rPr>
                  </w:pPr>
                  <w:r>
                    <w:rPr>
                      <w:rFonts w:hint="eastAsia" w:ascii="Times New Roman"/>
                      <w:b w:val="0"/>
                      <w:bCs w:val="0"/>
                      <w:color w:val="auto"/>
                      <w:highlight w:val="none"/>
                      <w:lang w:val="en-US" w:eastAsia="zh-CN"/>
                    </w:rPr>
                    <w:t>5</w:t>
                  </w:r>
                </w:p>
              </w:tc>
              <w:tc>
                <w:tcPr>
                  <w:tcW w:w="564" w:type="pct"/>
                  <w:vAlign w:val="center"/>
                </w:tcPr>
                <w:p w14:paraId="70C7CB15">
                  <w:pPr>
                    <w:pageBreakBefore w:val="0"/>
                    <w:kinsoku/>
                    <w:overflowPunct/>
                    <w:topLinePunct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槽渣及污泥</w:t>
                  </w:r>
                </w:p>
              </w:tc>
              <w:tc>
                <w:tcPr>
                  <w:tcW w:w="479" w:type="pct"/>
                  <w:vAlign w:val="center"/>
                </w:tcPr>
                <w:p w14:paraId="5C0284A0">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zh-CN" w:bidi="ar-SA"/>
                    </w:rPr>
                    <w:t>17</w:t>
                  </w:r>
                </w:p>
              </w:tc>
              <w:tc>
                <w:tcPr>
                  <w:tcW w:w="739" w:type="pct"/>
                  <w:vAlign w:val="center"/>
                </w:tcPr>
                <w:p w14:paraId="0804EE67">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cs="Times New Roman"/>
                      <w:snapToGrid w:val="0"/>
                      <w:color w:val="auto"/>
                      <w:kern w:val="0"/>
                      <w:sz w:val="21"/>
                      <w:szCs w:val="21"/>
                      <w:highlight w:val="none"/>
                      <w:lang w:val="en-US" w:eastAsia="zh-CN" w:bidi="ar-SA"/>
                    </w:rPr>
                    <w:t>336-064-17</w:t>
                  </w:r>
                </w:p>
              </w:tc>
              <w:tc>
                <w:tcPr>
                  <w:tcW w:w="522" w:type="pct"/>
                  <w:vAlign w:val="center"/>
                </w:tcPr>
                <w:p w14:paraId="3EFC08C4">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19" w:type="pct"/>
                  <w:vAlign w:val="center"/>
                </w:tcPr>
                <w:p w14:paraId="1A7E5C79">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废水处理</w:t>
                  </w:r>
                </w:p>
              </w:tc>
              <w:tc>
                <w:tcPr>
                  <w:tcW w:w="265" w:type="pct"/>
                  <w:vAlign w:val="center"/>
                </w:tcPr>
                <w:p w14:paraId="740D7A57">
                  <w:pPr>
                    <w:pStyle w:val="54"/>
                    <w:pageBreakBefore w:val="0"/>
                    <w:overflowPunct/>
                    <w:topLinePunct w:val="0"/>
                    <w:bidi w:val="0"/>
                    <w:adjustRightInd/>
                    <w:snapToGrid/>
                    <w:spacing w:beforeLines="0" w:afterLines="0" w:line="240" w:lineRule="auto"/>
                    <w:ind w:left="0" w:leftChars="0" w:firstLine="0" w:firstLineChars="0"/>
                    <w:rPr>
                      <w:rFonts w:hint="default" w:ascii="Times New Roman"/>
                      <w:b w:val="0"/>
                      <w:bCs w:val="0"/>
                      <w:color w:val="auto"/>
                      <w:spacing w:val="2"/>
                      <w:szCs w:val="21"/>
                      <w:highlight w:val="none"/>
                      <w:lang w:val="en-US" w:eastAsia="zh-CN"/>
                    </w:rPr>
                  </w:pPr>
                  <w:r>
                    <w:rPr>
                      <w:rFonts w:hint="eastAsia" w:ascii="Times New Roman"/>
                      <w:b w:val="0"/>
                      <w:bCs w:val="0"/>
                      <w:color w:val="auto"/>
                      <w:spacing w:val="2"/>
                      <w:szCs w:val="21"/>
                      <w:highlight w:val="none"/>
                      <w:lang w:val="en-US" w:eastAsia="zh-CN"/>
                    </w:rPr>
                    <w:t>半固态</w:t>
                  </w:r>
                </w:p>
              </w:tc>
              <w:tc>
                <w:tcPr>
                  <w:tcW w:w="483" w:type="pct"/>
                  <w:vAlign w:val="center"/>
                </w:tcPr>
                <w:p w14:paraId="27C11FFB">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含油废物</w:t>
                  </w:r>
                </w:p>
              </w:tc>
              <w:tc>
                <w:tcPr>
                  <w:tcW w:w="343" w:type="pct"/>
                  <w:vAlign w:val="center"/>
                </w:tcPr>
                <w:p w14:paraId="7C71937B">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rPr>
                  </w:pPr>
                  <w:r>
                    <w:rPr>
                      <w:rFonts w:hint="eastAsia" w:ascii="Times New Roman"/>
                      <w:b w:val="0"/>
                      <w:bCs w:val="0"/>
                      <w:color w:val="auto"/>
                      <w:highlight w:val="none"/>
                    </w:rPr>
                    <w:t>半年</w:t>
                  </w:r>
                </w:p>
              </w:tc>
              <w:tc>
                <w:tcPr>
                  <w:tcW w:w="359" w:type="pct"/>
                  <w:vAlign w:val="center"/>
                </w:tcPr>
                <w:p w14:paraId="2E53BB44">
                  <w:pPr>
                    <w:pageBreakBefore w:val="0"/>
                    <w:overflowPunct/>
                    <w:topLinePunct w:val="0"/>
                    <w:autoSpaceDE w:val="0"/>
                    <w:autoSpaceDN w:val="0"/>
                    <w:bidi w:val="0"/>
                    <w:adjustRightInd/>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T/In</w:t>
                  </w:r>
                </w:p>
              </w:tc>
              <w:tc>
                <w:tcPr>
                  <w:tcW w:w="359" w:type="pct"/>
                  <w:vAlign w:val="center"/>
                </w:tcPr>
                <w:p w14:paraId="5B02E3ED">
                  <w:pPr>
                    <w:pStyle w:val="54"/>
                    <w:pageBreakBefore w:val="0"/>
                    <w:overflowPunct/>
                    <w:topLinePunct w:val="0"/>
                    <w:bidi w:val="0"/>
                    <w:adjustRightInd/>
                    <w:snapToGrid/>
                    <w:spacing w:beforeLines="0" w:afterLines="0" w:line="240" w:lineRule="auto"/>
                    <w:ind w:left="0" w:leftChars="0" w:firstLine="0" w:firstLineChars="0"/>
                    <w:rPr>
                      <w:rFonts w:hint="default" w:ascii="Times New Roman" w:eastAsia="宋体"/>
                      <w:b w:val="0"/>
                      <w:bCs w:val="0"/>
                      <w:color w:val="auto"/>
                      <w:highlight w:val="none"/>
                      <w:lang w:val="en-US" w:eastAsia="zh-CN"/>
                    </w:rPr>
                  </w:pPr>
                  <w:r>
                    <w:rPr>
                      <w:rFonts w:hint="eastAsia" w:ascii="Times New Roman"/>
                      <w:b w:val="0"/>
                      <w:bCs w:val="0"/>
                      <w:color w:val="auto"/>
                      <w:highlight w:val="none"/>
                      <w:lang w:val="en-US" w:eastAsia="zh-CN"/>
                    </w:rPr>
                    <w:t>防腐容器</w:t>
                  </w:r>
                </w:p>
              </w:tc>
            </w:tr>
            <w:tr w14:paraId="6F55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3" w:type="pct"/>
                  <w:vAlign w:val="center"/>
                </w:tcPr>
                <w:p w14:paraId="6DEF276C">
                  <w:pPr>
                    <w:pStyle w:val="54"/>
                    <w:pageBreakBefore w:val="0"/>
                    <w:overflowPunct/>
                    <w:topLinePunct w:val="0"/>
                    <w:bidi w:val="0"/>
                    <w:adjustRightInd/>
                    <w:snapToGrid/>
                    <w:spacing w:beforeLines="0" w:afterLines="0" w:line="240" w:lineRule="auto"/>
                    <w:ind w:left="0" w:leftChars="0" w:firstLine="0" w:firstLineChars="0"/>
                    <w:rPr>
                      <w:rFonts w:hint="default" w:ascii="Times New Roman"/>
                      <w:b w:val="0"/>
                      <w:bCs w:val="0"/>
                      <w:color w:val="auto"/>
                      <w:highlight w:val="none"/>
                      <w:lang w:val="en-US" w:eastAsia="zh-CN"/>
                    </w:rPr>
                  </w:pPr>
                  <w:r>
                    <w:rPr>
                      <w:rFonts w:hint="eastAsia" w:ascii="Times New Roman"/>
                      <w:b w:val="0"/>
                      <w:bCs w:val="0"/>
                      <w:color w:val="auto"/>
                      <w:highlight w:val="none"/>
                      <w:lang w:val="en-US" w:eastAsia="zh-CN"/>
                    </w:rPr>
                    <w:t>6</w:t>
                  </w:r>
                </w:p>
              </w:tc>
              <w:tc>
                <w:tcPr>
                  <w:tcW w:w="564" w:type="pct"/>
                  <w:vAlign w:val="center"/>
                </w:tcPr>
                <w:p w14:paraId="13CDA5FC">
                  <w:pPr>
                    <w:pageBreakBefore w:val="0"/>
                    <w:kinsoku/>
                    <w:overflowPunct/>
                    <w:topLinePunct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废机油</w:t>
                  </w:r>
                </w:p>
              </w:tc>
              <w:tc>
                <w:tcPr>
                  <w:tcW w:w="479" w:type="pct"/>
                  <w:vAlign w:val="center"/>
                </w:tcPr>
                <w:p w14:paraId="5F598C5A">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zh-CN" w:bidi="ar-SA"/>
                    </w:rPr>
                    <w:t>HW08</w:t>
                  </w:r>
                </w:p>
              </w:tc>
              <w:tc>
                <w:tcPr>
                  <w:tcW w:w="739" w:type="pct"/>
                  <w:vAlign w:val="center"/>
                </w:tcPr>
                <w:p w14:paraId="56AEA676">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cs="Times New Roman"/>
                      <w:snapToGrid w:val="0"/>
                      <w:color w:val="auto"/>
                      <w:kern w:val="0"/>
                      <w:sz w:val="21"/>
                      <w:szCs w:val="21"/>
                      <w:highlight w:val="none"/>
                      <w:lang w:val="en-US" w:eastAsia="zh-CN" w:bidi="ar-SA"/>
                    </w:rPr>
                    <w:t>900-249-08</w:t>
                  </w:r>
                </w:p>
              </w:tc>
              <w:tc>
                <w:tcPr>
                  <w:tcW w:w="522" w:type="pct"/>
                  <w:vAlign w:val="center"/>
                </w:tcPr>
                <w:p w14:paraId="7F49A0AC">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19" w:type="pct"/>
                  <w:vAlign w:val="center"/>
                </w:tcPr>
                <w:p w14:paraId="18B76DC9">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维修保养</w:t>
                  </w:r>
                </w:p>
              </w:tc>
              <w:tc>
                <w:tcPr>
                  <w:tcW w:w="265" w:type="pct"/>
                  <w:vAlign w:val="center"/>
                </w:tcPr>
                <w:p w14:paraId="2ED840BC">
                  <w:pPr>
                    <w:pStyle w:val="54"/>
                    <w:pageBreakBefore w:val="0"/>
                    <w:overflowPunct/>
                    <w:topLinePunct w:val="0"/>
                    <w:bidi w:val="0"/>
                    <w:adjustRightInd/>
                    <w:snapToGrid/>
                    <w:spacing w:beforeLines="0" w:afterLines="0" w:line="240" w:lineRule="auto"/>
                    <w:ind w:left="0" w:leftChars="0" w:firstLine="0" w:firstLineChars="0"/>
                    <w:rPr>
                      <w:rFonts w:hint="default" w:ascii="Times New Roman"/>
                      <w:b w:val="0"/>
                      <w:bCs w:val="0"/>
                      <w:color w:val="auto"/>
                      <w:spacing w:val="2"/>
                      <w:szCs w:val="21"/>
                      <w:highlight w:val="none"/>
                      <w:lang w:val="en-US" w:eastAsia="zh-CN"/>
                    </w:rPr>
                  </w:pPr>
                  <w:r>
                    <w:rPr>
                      <w:rFonts w:hint="eastAsia" w:ascii="Times New Roman"/>
                      <w:b w:val="0"/>
                      <w:bCs w:val="0"/>
                      <w:color w:val="auto"/>
                      <w:spacing w:val="2"/>
                      <w:szCs w:val="21"/>
                      <w:highlight w:val="none"/>
                      <w:lang w:val="en-US" w:eastAsia="zh-CN"/>
                    </w:rPr>
                    <w:t>液态</w:t>
                  </w:r>
                </w:p>
              </w:tc>
              <w:tc>
                <w:tcPr>
                  <w:tcW w:w="483" w:type="pct"/>
                  <w:vAlign w:val="center"/>
                </w:tcPr>
                <w:p w14:paraId="4D65647B">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矿物油</w:t>
                  </w:r>
                </w:p>
              </w:tc>
              <w:tc>
                <w:tcPr>
                  <w:tcW w:w="343" w:type="pct"/>
                  <w:vAlign w:val="center"/>
                </w:tcPr>
                <w:p w14:paraId="15FD3BFA">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rPr>
                  </w:pPr>
                  <w:r>
                    <w:rPr>
                      <w:rFonts w:hint="eastAsia" w:ascii="Times New Roman"/>
                      <w:b w:val="0"/>
                      <w:bCs w:val="0"/>
                      <w:color w:val="auto"/>
                      <w:highlight w:val="none"/>
                    </w:rPr>
                    <w:t>半年</w:t>
                  </w:r>
                </w:p>
              </w:tc>
              <w:tc>
                <w:tcPr>
                  <w:tcW w:w="359" w:type="pct"/>
                  <w:vAlign w:val="center"/>
                </w:tcPr>
                <w:p w14:paraId="489FCF32">
                  <w:pPr>
                    <w:pageBreakBefore w:val="0"/>
                    <w:overflowPunct/>
                    <w:topLinePunct w:val="0"/>
                    <w:autoSpaceDE w:val="0"/>
                    <w:autoSpaceDN w:val="0"/>
                    <w:bidi w:val="0"/>
                    <w:adjustRightInd/>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T/In</w:t>
                  </w:r>
                </w:p>
              </w:tc>
              <w:tc>
                <w:tcPr>
                  <w:tcW w:w="359" w:type="pct"/>
                  <w:vAlign w:val="center"/>
                </w:tcPr>
                <w:p w14:paraId="06672DE7">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rPr>
                  </w:pPr>
                  <w:r>
                    <w:rPr>
                      <w:rFonts w:hint="eastAsia" w:ascii="Times New Roman"/>
                      <w:b w:val="0"/>
                      <w:bCs w:val="0"/>
                      <w:color w:val="auto"/>
                      <w:highlight w:val="none"/>
                      <w:lang w:val="en-US" w:eastAsia="zh-CN"/>
                    </w:rPr>
                    <w:t>桶装</w:t>
                  </w:r>
                </w:p>
              </w:tc>
            </w:tr>
            <w:tr w14:paraId="25D2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3" w:type="pct"/>
                  <w:vAlign w:val="center"/>
                </w:tcPr>
                <w:p w14:paraId="18F8FD2E">
                  <w:pPr>
                    <w:pStyle w:val="54"/>
                    <w:pageBreakBefore w:val="0"/>
                    <w:overflowPunct/>
                    <w:topLinePunct w:val="0"/>
                    <w:bidi w:val="0"/>
                    <w:adjustRightInd/>
                    <w:snapToGrid/>
                    <w:spacing w:beforeLines="0" w:afterLines="0" w:line="240" w:lineRule="auto"/>
                    <w:ind w:left="0" w:leftChars="0" w:firstLine="0" w:firstLineChars="0"/>
                    <w:rPr>
                      <w:rFonts w:hint="default" w:ascii="Times New Roman"/>
                      <w:b w:val="0"/>
                      <w:bCs w:val="0"/>
                      <w:color w:val="auto"/>
                      <w:highlight w:val="none"/>
                      <w:lang w:val="en-US" w:eastAsia="zh-CN"/>
                    </w:rPr>
                  </w:pPr>
                  <w:r>
                    <w:rPr>
                      <w:rFonts w:hint="eastAsia" w:ascii="Times New Roman"/>
                      <w:b w:val="0"/>
                      <w:bCs w:val="0"/>
                      <w:color w:val="auto"/>
                      <w:highlight w:val="none"/>
                      <w:lang w:val="en-US" w:eastAsia="zh-CN"/>
                    </w:rPr>
                    <w:t>7</w:t>
                  </w:r>
                </w:p>
              </w:tc>
              <w:tc>
                <w:tcPr>
                  <w:tcW w:w="564" w:type="pct"/>
                  <w:vAlign w:val="center"/>
                </w:tcPr>
                <w:p w14:paraId="6D68FA8E">
                  <w:pPr>
                    <w:pageBreakBefore w:val="0"/>
                    <w:kinsoku/>
                    <w:overflowPunct/>
                    <w:topLinePunct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废机油桶</w:t>
                  </w:r>
                </w:p>
              </w:tc>
              <w:tc>
                <w:tcPr>
                  <w:tcW w:w="479" w:type="pct"/>
                  <w:vAlign w:val="center"/>
                </w:tcPr>
                <w:p w14:paraId="57F6B201">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zh-CN" w:bidi="ar-SA"/>
                    </w:rPr>
                    <w:t>HW08</w:t>
                  </w:r>
                </w:p>
              </w:tc>
              <w:tc>
                <w:tcPr>
                  <w:tcW w:w="739" w:type="pct"/>
                  <w:vAlign w:val="center"/>
                </w:tcPr>
                <w:p w14:paraId="6F3321D1">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cs="Times New Roman"/>
                      <w:snapToGrid w:val="0"/>
                      <w:color w:val="auto"/>
                      <w:kern w:val="0"/>
                      <w:sz w:val="21"/>
                      <w:szCs w:val="21"/>
                      <w:highlight w:val="none"/>
                      <w:lang w:val="en-US" w:eastAsia="zh-CN" w:bidi="ar-SA"/>
                    </w:rPr>
                    <w:t>900-249-08</w:t>
                  </w:r>
                </w:p>
              </w:tc>
              <w:tc>
                <w:tcPr>
                  <w:tcW w:w="522" w:type="pct"/>
                  <w:vAlign w:val="center"/>
                </w:tcPr>
                <w:p w14:paraId="7DBFC783">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0.1</w:t>
                  </w:r>
                </w:p>
              </w:tc>
              <w:tc>
                <w:tcPr>
                  <w:tcW w:w="619" w:type="pct"/>
                  <w:vAlign w:val="center"/>
                </w:tcPr>
                <w:p w14:paraId="5765DBBC">
                  <w:pPr>
                    <w:pageBreakBefore w:val="0"/>
                    <w:kinsoku/>
                    <w:overflowPunct/>
                    <w:topLinePunct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维修保养</w:t>
                  </w:r>
                </w:p>
              </w:tc>
              <w:tc>
                <w:tcPr>
                  <w:tcW w:w="265" w:type="pct"/>
                  <w:vAlign w:val="center"/>
                </w:tcPr>
                <w:p w14:paraId="066ABE76">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spacing w:val="2"/>
                      <w:szCs w:val="21"/>
                      <w:highlight w:val="none"/>
                      <w:lang w:val="en-US" w:eastAsia="zh-CN"/>
                    </w:rPr>
                  </w:pPr>
                  <w:r>
                    <w:rPr>
                      <w:rFonts w:hint="eastAsia" w:ascii="Times New Roman"/>
                      <w:b w:val="0"/>
                      <w:bCs w:val="0"/>
                      <w:color w:val="auto"/>
                      <w:spacing w:val="2"/>
                      <w:szCs w:val="21"/>
                      <w:highlight w:val="none"/>
                      <w:lang w:val="en-US" w:eastAsia="zh-CN"/>
                    </w:rPr>
                    <w:t>固态</w:t>
                  </w:r>
                </w:p>
              </w:tc>
              <w:tc>
                <w:tcPr>
                  <w:tcW w:w="483" w:type="pct"/>
                  <w:vAlign w:val="center"/>
                </w:tcPr>
                <w:p w14:paraId="0AC3B78F">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矿物油</w:t>
                  </w:r>
                </w:p>
              </w:tc>
              <w:tc>
                <w:tcPr>
                  <w:tcW w:w="343" w:type="pct"/>
                  <w:vAlign w:val="center"/>
                </w:tcPr>
                <w:p w14:paraId="6751F88A">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rPr>
                  </w:pPr>
                  <w:r>
                    <w:rPr>
                      <w:rFonts w:hint="eastAsia" w:ascii="Times New Roman"/>
                      <w:b w:val="0"/>
                      <w:bCs w:val="0"/>
                      <w:color w:val="auto"/>
                      <w:highlight w:val="none"/>
                    </w:rPr>
                    <w:t>半年</w:t>
                  </w:r>
                </w:p>
              </w:tc>
              <w:tc>
                <w:tcPr>
                  <w:tcW w:w="359" w:type="pct"/>
                  <w:vAlign w:val="center"/>
                </w:tcPr>
                <w:p w14:paraId="2E68BF19">
                  <w:pPr>
                    <w:pageBreakBefore w:val="0"/>
                    <w:overflowPunct/>
                    <w:topLinePunct w:val="0"/>
                    <w:autoSpaceDE w:val="0"/>
                    <w:autoSpaceDN w:val="0"/>
                    <w:bidi w:val="0"/>
                    <w:adjustRightInd/>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T/In</w:t>
                  </w:r>
                </w:p>
              </w:tc>
              <w:tc>
                <w:tcPr>
                  <w:tcW w:w="359" w:type="pct"/>
                  <w:vAlign w:val="center"/>
                </w:tcPr>
                <w:p w14:paraId="49FCE8A6">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rPr>
                  </w:pPr>
                  <w:r>
                    <w:rPr>
                      <w:rFonts w:hint="eastAsia" w:ascii="Times New Roman"/>
                      <w:b w:val="0"/>
                      <w:bCs w:val="0"/>
                      <w:color w:val="auto"/>
                      <w:highlight w:val="none"/>
                      <w:lang w:val="en-US" w:eastAsia="zh-CN"/>
                    </w:rPr>
                    <w:t>桶装</w:t>
                  </w:r>
                </w:p>
              </w:tc>
            </w:tr>
          </w:tbl>
          <w:p w14:paraId="577716E8">
            <w:pPr>
              <w:pageBreakBefore w:val="0"/>
              <w:overflowPunct/>
              <w:topLinePunct w:val="0"/>
              <w:bidi w:val="0"/>
              <w:adjustRightInd/>
              <w:snapToGrid/>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7</w:t>
            </w:r>
            <w:r>
              <w:rPr>
                <w:rFonts w:hint="eastAsia"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rPr>
              <w:t>建设项目危险废物贮存场所（设施）基本情况样表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957"/>
              <w:gridCol w:w="948"/>
              <w:gridCol w:w="972"/>
              <w:gridCol w:w="1308"/>
              <w:gridCol w:w="636"/>
              <w:gridCol w:w="696"/>
              <w:gridCol w:w="720"/>
              <w:gridCol w:w="672"/>
              <w:gridCol w:w="729"/>
            </w:tblGrid>
            <w:tr w14:paraId="70FD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0515B36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rPr>
                  </w:pPr>
                  <w:r>
                    <w:rPr>
                      <w:rFonts w:ascii="Times New Roman" w:hAnsi="Times New Roman" w:eastAsia="宋体" w:cs="Times New Roman"/>
                      <w:b w:val="0"/>
                      <w:bCs w:val="0"/>
                      <w:color w:val="auto"/>
                      <w:highlight w:val="none"/>
                    </w:rPr>
                    <w:t>序号</w:t>
                  </w:r>
                </w:p>
              </w:tc>
              <w:tc>
                <w:tcPr>
                  <w:tcW w:w="957" w:type="dxa"/>
                  <w:vAlign w:val="center"/>
                </w:tcPr>
                <w:p w14:paraId="2C916F3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贮存场所（设施）名称</w:t>
                  </w:r>
                </w:p>
              </w:tc>
              <w:tc>
                <w:tcPr>
                  <w:tcW w:w="948" w:type="dxa"/>
                  <w:vAlign w:val="center"/>
                </w:tcPr>
                <w:p w14:paraId="6265165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危险废物名称</w:t>
                  </w:r>
                </w:p>
              </w:tc>
              <w:tc>
                <w:tcPr>
                  <w:tcW w:w="972" w:type="dxa"/>
                  <w:vAlign w:val="center"/>
                </w:tcPr>
                <w:p w14:paraId="5B1683E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危险废物类别</w:t>
                  </w:r>
                </w:p>
              </w:tc>
              <w:tc>
                <w:tcPr>
                  <w:tcW w:w="1308" w:type="dxa"/>
                  <w:vAlign w:val="center"/>
                </w:tcPr>
                <w:p w14:paraId="09D0457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危险废物代码</w:t>
                  </w:r>
                </w:p>
              </w:tc>
              <w:tc>
                <w:tcPr>
                  <w:tcW w:w="636" w:type="dxa"/>
                  <w:vAlign w:val="center"/>
                </w:tcPr>
                <w:p w14:paraId="160681D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位置</w:t>
                  </w:r>
                </w:p>
              </w:tc>
              <w:tc>
                <w:tcPr>
                  <w:tcW w:w="696" w:type="dxa"/>
                  <w:vAlign w:val="center"/>
                </w:tcPr>
                <w:p w14:paraId="12AFB5C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占地面积</w:t>
                  </w:r>
                </w:p>
              </w:tc>
              <w:tc>
                <w:tcPr>
                  <w:tcW w:w="720" w:type="dxa"/>
                  <w:vAlign w:val="center"/>
                </w:tcPr>
                <w:p w14:paraId="79DD4E4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贮存方式</w:t>
                  </w:r>
                </w:p>
              </w:tc>
              <w:tc>
                <w:tcPr>
                  <w:tcW w:w="672" w:type="dxa"/>
                  <w:vAlign w:val="center"/>
                </w:tcPr>
                <w:p w14:paraId="3A10384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贮存能力</w:t>
                  </w:r>
                </w:p>
              </w:tc>
              <w:tc>
                <w:tcPr>
                  <w:tcW w:w="729" w:type="dxa"/>
                  <w:vAlign w:val="center"/>
                </w:tcPr>
                <w:p w14:paraId="1B4CEBC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贮存周期</w:t>
                  </w:r>
                </w:p>
              </w:tc>
            </w:tr>
            <w:tr w14:paraId="6EE3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4BF54D3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1</w:t>
                  </w:r>
                </w:p>
              </w:tc>
              <w:tc>
                <w:tcPr>
                  <w:tcW w:w="957" w:type="dxa"/>
                  <w:vMerge w:val="restart"/>
                  <w:vAlign w:val="center"/>
                </w:tcPr>
                <w:p w14:paraId="1C9FE88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危险废物暂存间</w:t>
                  </w:r>
                </w:p>
              </w:tc>
              <w:tc>
                <w:tcPr>
                  <w:tcW w:w="948" w:type="dxa"/>
                  <w:vAlign w:val="center"/>
                </w:tcPr>
                <w:p w14:paraId="3DA79F8A">
                  <w:pPr>
                    <w:pageBreakBefore w:val="0"/>
                    <w:kinsoku/>
                    <w:overflowPunct/>
                    <w:topLinePunct w:val="0"/>
                    <w:bidi w:val="0"/>
                    <w:adjustRightInd/>
                    <w:snapToGrid/>
                    <w:jc w:val="center"/>
                    <w:rPr>
                      <w:rFonts w:ascii="Times New Roman" w:hAnsi="Times New Roman" w:eastAsia="宋体" w:cs="Times New Roman"/>
                      <w:b w:val="0"/>
                      <w:bCs w:val="0"/>
                      <w:color w:val="auto"/>
                      <w:highlight w:val="none"/>
                      <w:lang w:eastAsia="zh-CN"/>
                    </w:rPr>
                  </w:pPr>
                  <w:r>
                    <w:rPr>
                      <w:rFonts w:ascii="Times New Roman" w:hAnsi="Times New Roman" w:eastAsia="宋体" w:cs="Times New Roman"/>
                      <w:color w:val="auto"/>
                      <w:highlight w:val="none"/>
                      <w:lang w:eastAsia="zh-CN"/>
                    </w:rPr>
                    <w:t>废过滤棉</w:t>
                  </w:r>
                </w:p>
              </w:tc>
              <w:tc>
                <w:tcPr>
                  <w:tcW w:w="972" w:type="dxa"/>
                  <w:vAlign w:val="center"/>
                </w:tcPr>
                <w:p w14:paraId="62A04294">
                  <w:pPr>
                    <w:pageBreakBefore w:val="0"/>
                    <w:kinsoku/>
                    <w:overflowPunct/>
                    <w:topLinePunct w:val="0"/>
                    <w:bidi w:val="0"/>
                    <w:adjustRightInd/>
                    <w:snapToGrid/>
                    <w:jc w:val="center"/>
                    <w:rPr>
                      <w:rFonts w:cs="Times New Roman"/>
                      <w:b w:val="0"/>
                      <w:bCs w:val="0"/>
                      <w:color w:val="auto"/>
                      <w:highlight w:val="none"/>
                      <w:lang w:eastAsia="zh-CN"/>
                    </w:rPr>
                  </w:pPr>
                  <w:r>
                    <w:rPr>
                      <w:rFonts w:ascii="Times New Roman" w:hAnsi="Times New Roman" w:eastAsia="宋体" w:cs="Times New Roman"/>
                      <w:color w:val="auto"/>
                      <w:highlight w:val="none"/>
                      <w:lang w:eastAsia="zh-CN"/>
                    </w:rPr>
                    <w:t>HW49</w:t>
                  </w:r>
                </w:p>
              </w:tc>
              <w:tc>
                <w:tcPr>
                  <w:tcW w:w="1308" w:type="dxa"/>
                  <w:vAlign w:val="center"/>
                </w:tcPr>
                <w:p w14:paraId="3927129D">
                  <w:pPr>
                    <w:pageBreakBefore w:val="0"/>
                    <w:kinsoku/>
                    <w:overflowPunct/>
                    <w:topLinePunct w:val="0"/>
                    <w:bidi w:val="0"/>
                    <w:adjustRightInd/>
                    <w:snapToGrid/>
                    <w:jc w:val="center"/>
                    <w:rPr>
                      <w:rFonts w:ascii="Times New Roman" w:hAnsi="Times New Roman" w:eastAsia="宋体" w:cs="Times New Roman"/>
                      <w:b w:val="0"/>
                      <w:bCs w:val="0"/>
                      <w:color w:val="auto"/>
                      <w:highlight w:val="none"/>
                      <w:lang w:eastAsia="zh-CN"/>
                    </w:rPr>
                  </w:pPr>
                  <w:r>
                    <w:rPr>
                      <w:rFonts w:ascii="Times New Roman" w:hAnsi="Times New Roman" w:eastAsia="宋体" w:cs="Times New Roman"/>
                      <w:color w:val="auto"/>
                      <w:highlight w:val="none"/>
                      <w:lang w:eastAsia="zh-CN"/>
                    </w:rPr>
                    <w:t>900-041-49</w:t>
                  </w:r>
                </w:p>
              </w:tc>
              <w:tc>
                <w:tcPr>
                  <w:tcW w:w="636" w:type="dxa"/>
                  <w:vMerge w:val="restart"/>
                  <w:vAlign w:val="center"/>
                </w:tcPr>
                <w:p w14:paraId="2B01EBA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ascii="Times New Roman" w:hAnsi="Times New Roman" w:eastAsia="宋体" w:cs="Times New Roman"/>
                      <w:b w:val="0"/>
                      <w:bCs w:val="0"/>
                      <w:color w:val="auto"/>
                      <w:highlight w:val="none"/>
                      <w:lang w:eastAsia="zh-CN"/>
                    </w:rPr>
                    <w:t>生产车间</w:t>
                  </w:r>
                </w:p>
              </w:tc>
              <w:tc>
                <w:tcPr>
                  <w:tcW w:w="696" w:type="dxa"/>
                  <w:vMerge w:val="restart"/>
                  <w:vAlign w:val="center"/>
                </w:tcPr>
                <w:p w14:paraId="03B923C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hint="eastAsia" w:cs="Times New Roman"/>
                      <w:color w:val="auto"/>
                      <w:szCs w:val="21"/>
                      <w:highlight w:val="none"/>
                      <w:lang w:val="en-US" w:eastAsia="zh-CN" w:bidi="ar"/>
                    </w:rPr>
                    <w:t>50</w:t>
                  </w:r>
                  <w:r>
                    <w:rPr>
                      <w:rFonts w:hint="eastAsia" w:ascii="Times New Roman" w:hAnsi="Times New Roman" w:eastAsia="宋体" w:cs="Times New Roman"/>
                      <w:color w:val="auto"/>
                      <w:szCs w:val="21"/>
                      <w:highlight w:val="none"/>
                      <w:lang w:val="en-US" w:eastAsia="zh-CN" w:bidi="ar"/>
                    </w:rPr>
                    <w:t>m</w:t>
                  </w:r>
                  <w:r>
                    <w:rPr>
                      <w:rFonts w:hint="default" w:ascii="Times New Roman" w:hAnsi="Times New Roman" w:eastAsia="宋体" w:cs="Times New Roman"/>
                      <w:color w:val="auto"/>
                      <w:szCs w:val="21"/>
                      <w:highlight w:val="none"/>
                      <w:vertAlign w:val="superscript"/>
                      <w:lang w:eastAsia="zh-CN" w:bidi="ar"/>
                    </w:rPr>
                    <w:t>2</w:t>
                  </w:r>
                </w:p>
              </w:tc>
              <w:tc>
                <w:tcPr>
                  <w:tcW w:w="720" w:type="dxa"/>
                  <w:vAlign w:val="center"/>
                </w:tcPr>
                <w:p w14:paraId="709D79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袋装</w:t>
                  </w:r>
                </w:p>
              </w:tc>
              <w:tc>
                <w:tcPr>
                  <w:tcW w:w="672" w:type="dxa"/>
                  <w:vMerge w:val="restart"/>
                  <w:vAlign w:val="center"/>
                </w:tcPr>
                <w:p w14:paraId="03F9EC0D">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c>
                <w:tcPr>
                  <w:tcW w:w="729" w:type="dxa"/>
                  <w:vAlign w:val="center"/>
                </w:tcPr>
                <w:p w14:paraId="10AD996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r>
                    <w:rPr>
                      <w:rFonts w:hint="eastAsia" w:ascii="Times New Roman"/>
                      <w:b w:val="0"/>
                      <w:bCs w:val="0"/>
                      <w:color w:val="auto"/>
                      <w:highlight w:val="none"/>
                    </w:rPr>
                    <w:t>半年</w:t>
                  </w:r>
                </w:p>
              </w:tc>
            </w:tr>
            <w:tr w14:paraId="1D674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348E19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2</w:t>
                  </w:r>
                </w:p>
              </w:tc>
              <w:tc>
                <w:tcPr>
                  <w:tcW w:w="957" w:type="dxa"/>
                  <w:vMerge w:val="continue"/>
                  <w:vAlign w:val="center"/>
                </w:tcPr>
                <w:p w14:paraId="4BB509E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948" w:type="dxa"/>
                  <w:vAlign w:val="center"/>
                </w:tcPr>
                <w:p w14:paraId="73BD3B83">
                  <w:pPr>
                    <w:pageBreakBefore w:val="0"/>
                    <w:overflowPunct/>
                    <w:topLinePunct w:val="0"/>
                    <w:autoSpaceDE w:val="0"/>
                    <w:autoSpaceDN w:val="0"/>
                    <w:bidi w:val="0"/>
                    <w:adjustRightInd/>
                    <w:snapToGrid/>
                    <w:jc w:val="center"/>
                    <w:rPr>
                      <w:rFonts w:ascii="Times New Roman" w:hAnsi="Times New Roman" w:eastAsia="宋体" w:cs="Times New Roman"/>
                      <w:b w:val="0"/>
                      <w:bCs w:val="0"/>
                      <w:color w:val="auto"/>
                      <w:highlight w:val="none"/>
                      <w:lang w:eastAsia="zh-CN"/>
                    </w:rPr>
                  </w:pPr>
                  <w:r>
                    <w:rPr>
                      <w:rFonts w:hint="default" w:ascii="Times New Roman" w:hAnsi="Times New Roman" w:eastAsia="宋体" w:cs="Times New Roman"/>
                      <w:color w:val="auto"/>
                      <w:szCs w:val="21"/>
                      <w:highlight w:val="none"/>
                    </w:rPr>
                    <w:t>废活性炭</w:t>
                  </w:r>
                </w:p>
              </w:tc>
              <w:tc>
                <w:tcPr>
                  <w:tcW w:w="972" w:type="dxa"/>
                  <w:vAlign w:val="center"/>
                </w:tcPr>
                <w:p w14:paraId="06535184">
                  <w:pPr>
                    <w:pageBreakBefore w:val="0"/>
                    <w:overflowPunct/>
                    <w:topLinePunct w:val="0"/>
                    <w:bidi w:val="0"/>
                    <w:adjustRightInd/>
                    <w:snapToGrid/>
                    <w:spacing w:line="360" w:lineRule="exact"/>
                    <w:jc w:val="center"/>
                    <w:rPr>
                      <w:rFonts w:ascii="Times New Roman" w:hAnsi="Times New Roman" w:eastAsia="宋体" w:cs="Times New Roman"/>
                      <w:b w:val="0"/>
                      <w:bCs w:val="0"/>
                      <w:color w:val="auto"/>
                      <w:highlight w:val="none"/>
                      <w:lang w:eastAsia="zh-CN"/>
                    </w:rPr>
                  </w:pPr>
                  <w:r>
                    <w:rPr>
                      <w:rFonts w:hint="default" w:ascii="Times New Roman" w:hAnsi="Times New Roman" w:eastAsia="宋体" w:cs="Times New Roman"/>
                      <w:color w:val="auto"/>
                      <w:szCs w:val="21"/>
                      <w:highlight w:val="none"/>
                    </w:rPr>
                    <w:t>HW49</w:t>
                  </w:r>
                </w:p>
              </w:tc>
              <w:tc>
                <w:tcPr>
                  <w:tcW w:w="1308" w:type="dxa"/>
                  <w:vAlign w:val="center"/>
                </w:tcPr>
                <w:p w14:paraId="6AA7D417">
                  <w:pPr>
                    <w:pageBreakBefore w:val="0"/>
                    <w:overflowPunct/>
                    <w:topLinePunct w:val="0"/>
                    <w:bidi w:val="0"/>
                    <w:adjustRightInd/>
                    <w:snapToGrid/>
                    <w:jc w:val="center"/>
                    <w:rPr>
                      <w:rFonts w:ascii="Times New Roman" w:hAnsi="Times New Roman" w:eastAsia="宋体" w:cs="Times New Roman"/>
                      <w:b w:val="0"/>
                      <w:bCs w:val="0"/>
                      <w:color w:val="auto"/>
                      <w:highlight w:val="none"/>
                      <w:lang w:eastAsia="zh-CN"/>
                    </w:rPr>
                  </w:pPr>
                  <w:r>
                    <w:rPr>
                      <w:rFonts w:hint="default" w:ascii="Times New Roman" w:hAnsi="Times New Roman" w:eastAsia="宋体" w:cs="Times New Roman"/>
                      <w:color w:val="auto"/>
                      <w:szCs w:val="21"/>
                      <w:highlight w:val="none"/>
                      <w:lang w:bidi="ar"/>
                    </w:rPr>
                    <w:t>900-039-49</w:t>
                  </w:r>
                </w:p>
              </w:tc>
              <w:tc>
                <w:tcPr>
                  <w:tcW w:w="636" w:type="dxa"/>
                  <w:vMerge w:val="continue"/>
                  <w:vAlign w:val="center"/>
                </w:tcPr>
                <w:p w14:paraId="793043E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696" w:type="dxa"/>
                  <w:vMerge w:val="continue"/>
                  <w:vAlign w:val="center"/>
                </w:tcPr>
                <w:p w14:paraId="6B06048D">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highlight w:val="none"/>
                      <w:lang w:val="en-US" w:eastAsia="zh-CN"/>
                    </w:rPr>
                  </w:pPr>
                </w:p>
              </w:tc>
              <w:tc>
                <w:tcPr>
                  <w:tcW w:w="720" w:type="dxa"/>
                  <w:vAlign w:val="center"/>
                </w:tcPr>
                <w:p w14:paraId="3F5B4E83">
                  <w:pPr>
                    <w:pStyle w:val="54"/>
                    <w:pageBreakBefore w:val="0"/>
                    <w:overflowPunct/>
                    <w:topLinePunct w:val="0"/>
                    <w:bidi w:val="0"/>
                    <w:adjustRightInd/>
                    <w:snapToGrid/>
                    <w:spacing w:beforeLines="0" w:afterLines="0" w:line="240" w:lineRule="auto"/>
                    <w:ind w:left="0" w:leftChars="0" w:firstLine="0" w:firstLineChars="0"/>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薄膜包裹</w:t>
                  </w:r>
                </w:p>
              </w:tc>
              <w:tc>
                <w:tcPr>
                  <w:tcW w:w="672" w:type="dxa"/>
                  <w:vMerge w:val="continue"/>
                  <w:vAlign w:val="center"/>
                </w:tcPr>
                <w:p w14:paraId="4A4D9277">
                  <w:pPr>
                    <w:pageBreakBefore w:val="0"/>
                    <w:overflowPunct/>
                    <w:topLinePunct w:val="0"/>
                    <w:autoSpaceDE w:val="0"/>
                    <w:autoSpaceDN w:val="0"/>
                    <w:bidi w:val="0"/>
                    <w:adjustRightInd/>
                    <w:snapToGrid/>
                    <w:jc w:val="center"/>
                    <w:rPr>
                      <w:rFonts w:hint="default" w:cs="Times New Roman"/>
                      <w:b w:val="0"/>
                      <w:bCs w:val="0"/>
                      <w:color w:val="auto"/>
                      <w:highlight w:val="none"/>
                      <w:lang w:val="en-US" w:eastAsia="zh-CN"/>
                    </w:rPr>
                  </w:pPr>
                </w:p>
              </w:tc>
              <w:tc>
                <w:tcPr>
                  <w:tcW w:w="729" w:type="dxa"/>
                  <w:vAlign w:val="center"/>
                </w:tcPr>
                <w:p w14:paraId="14B44E2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highlight w:val="none"/>
                      <w:lang w:val="en-US" w:eastAsia="zh-CN"/>
                    </w:rPr>
                  </w:pPr>
                  <w:r>
                    <w:rPr>
                      <w:rFonts w:hint="eastAsia" w:ascii="Times New Roman"/>
                      <w:b w:val="0"/>
                      <w:bCs w:val="0"/>
                      <w:color w:val="auto"/>
                      <w:highlight w:val="none"/>
                    </w:rPr>
                    <w:t>半年</w:t>
                  </w:r>
                </w:p>
              </w:tc>
            </w:tr>
            <w:tr w14:paraId="7C0A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22DA7A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3</w:t>
                  </w:r>
                </w:p>
              </w:tc>
              <w:tc>
                <w:tcPr>
                  <w:tcW w:w="957" w:type="dxa"/>
                  <w:vMerge w:val="continue"/>
                  <w:vAlign w:val="center"/>
                </w:tcPr>
                <w:p w14:paraId="26377B5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948" w:type="dxa"/>
                  <w:vAlign w:val="center"/>
                </w:tcPr>
                <w:p w14:paraId="21589773">
                  <w:pPr>
                    <w:pageBreakBefore w:val="0"/>
                    <w:kinsoku/>
                    <w:overflowPunct/>
                    <w:topLinePunct w:val="0"/>
                    <w:bidi w:val="0"/>
                    <w:adjustRightInd/>
                    <w:snapToGrid/>
                    <w:jc w:val="center"/>
                    <w:rPr>
                      <w:rFonts w:ascii="Times New Roman" w:hAnsi="Times New Roman" w:eastAsia="宋体" w:cs="Times New Roman"/>
                      <w:b w:val="0"/>
                      <w:bCs w:val="0"/>
                      <w:color w:val="auto"/>
                      <w:highlight w:val="none"/>
                      <w:lang w:eastAsia="zh-CN"/>
                    </w:rPr>
                  </w:pPr>
                  <w:r>
                    <w:rPr>
                      <w:rFonts w:ascii="Times New Roman" w:hAnsi="Times New Roman" w:eastAsia="宋体" w:cs="Times New Roman"/>
                      <w:color w:val="auto"/>
                      <w:highlight w:val="none"/>
                      <w:lang w:eastAsia="zh-CN"/>
                    </w:rPr>
                    <w:t>废</w:t>
                  </w:r>
                  <w:r>
                    <w:rPr>
                      <w:rFonts w:hint="eastAsia" w:ascii="Times New Roman" w:hAnsi="Times New Roman" w:eastAsia="宋体" w:cs="Times New Roman"/>
                      <w:color w:val="auto"/>
                      <w:highlight w:val="none"/>
                      <w:lang w:val="en-US" w:eastAsia="zh-CN"/>
                    </w:rPr>
                    <w:t>水性</w:t>
                  </w:r>
                  <w:r>
                    <w:rPr>
                      <w:rFonts w:ascii="Times New Roman" w:hAnsi="Times New Roman" w:eastAsia="宋体" w:cs="Times New Roman"/>
                      <w:color w:val="auto"/>
                      <w:highlight w:val="none"/>
                      <w:lang w:eastAsia="zh-CN"/>
                    </w:rPr>
                    <w:t>漆桶</w:t>
                  </w:r>
                </w:p>
              </w:tc>
              <w:tc>
                <w:tcPr>
                  <w:tcW w:w="972" w:type="dxa"/>
                  <w:vAlign w:val="center"/>
                </w:tcPr>
                <w:p w14:paraId="2882B593">
                  <w:pPr>
                    <w:pStyle w:val="54"/>
                    <w:pageBreakBefore w:val="0"/>
                    <w:overflowPunct/>
                    <w:topLinePunct w:val="0"/>
                    <w:bidi w:val="0"/>
                    <w:adjustRightInd/>
                    <w:snapToGrid/>
                    <w:ind w:left="0" w:leftChars="0" w:firstLine="0" w:firstLineChars="0"/>
                    <w:jc w:val="center"/>
                    <w:rPr>
                      <w:rFonts w:ascii="Times New Roman" w:hAnsi="Times New Roman" w:eastAsia="宋体" w:cs="Times New Roman"/>
                      <w:b w:val="0"/>
                      <w:bCs w:val="0"/>
                      <w:color w:val="auto"/>
                      <w:highlight w:val="none"/>
                      <w:lang w:eastAsia="zh-CN"/>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en-US" w:bidi="ar-SA"/>
                    </w:rPr>
                    <w:t>49</w:t>
                  </w:r>
                </w:p>
              </w:tc>
              <w:tc>
                <w:tcPr>
                  <w:tcW w:w="1308" w:type="dxa"/>
                  <w:vAlign w:val="center"/>
                </w:tcPr>
                <w:p w14:paraId="0B160CF8">
                  <w:pPr>
                    <w:pageBreakBefore w:val="0"/>
                    <w:overflowPunct/>
                    <w:topLinePunct w:val="0"/>
                    <w:bidi w:val="0"/>
                    <w:adjustRightInd/>
                    <w:snapToGrid/>
                    <w:jc w:val="center"/>
                    <w:rPr>
                      <w:rFonts w:ascii="Times New Roman" w:hAnsi="Times New Roman" w:eastAsia="宋体" w:cs="Times New Roman"/>
                      <w:b w:val="0"/>
                      <w:bCs w:val="0"/>
                      <w:color w:val="auto"/>
                      <w:highlight w:val="none"/>
                      <w:lang w:eastAsia="zh-CN"/>
                    </w:rPr>
                  </w:pPr>
                  <w:r>
                    <w:rPr>
                      <w:rFonts w:hint="default" w:ascii="Times New Roman" w:hAnsi="Times New Roman" w:eastAsia="宋体" w:cs="Times New Roman"/>
                      <w:snapToGrid w:val="0"/>
                      <w:color w:val="auto"/>
                      <w:kern w:val="0"/>
                      <w:sz w:val="21"/>
                      <w:szCs w:val="21"/>
                      <w:highlight w:val="none"/>
                      <w:lang w:val="en-US" w:eastAsia="en-US" w:bidi="ar-SA"/>
                    </w:rPr>
                    <w:t>9</w:t>
                  </w:r>
                  <w:r>
                    <w:rPr>
                      <w:rFonts w:hint="default" w:ascii="Times New Roman" w:hAnsi="Times New Roman" w:eastAsia="宋体" w:cs="Times New Roman"/>
                      <w:color w:val="auto"/>
                      <w:szCs w:val="21"/>
                      <w:highlight w:val="none"/>
                      <w:lang w:val="en-US" w:eastAsia="en-US" w:bidi="ar"/>
                    </w:rPr>
                    <w:t>00-041-49</w:t>
                  </w:r>
                </w:p>
              </w:tc>
              <w:tc>
                <w:tcPr>
                  <w:tcW w:w="636" w:type="dxa"/>
                  <w:vMerge w:val="continue"/>
                  <w:vAlign w:val="center"/>
                </w:tcPr>
                <w:p w14:paraId="1DE1173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696" w:type="dxa"/>
                  <w:vMerge w:val="continue"/>
                  <w:vAlign w:val="center"/>
                </w:tcPr>
                <w:p w14:paraId="5E535657">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highlight w:val="none"/>
                      <w:lang w:val="en-US" w:eastAsia="zh-CN"/>
                    </w:rPr>
                  </w:pPr>
                </w:p>
              </w:tc>
              <w:tc>
                <w:tcPr>
                  <w:tcW w:w="720" w:type="dxa"/>
                  <w:vAlign w:val="center"/>
                </w:tcPr>
                <w:p w14:paraId="7975BAFD">
                  <w:pPr>
                    <w:pStyle w:val="54"/>
                    <w:pageBreakBefore w:val="0"/>
                    <w:overflowPunct/>
                    <w:topLinePunct w:val="0"/>
                    <w:bidi w:val="0"/>
                    <w:adjustRightInd/>
                    <w:snapToGrid/>
                    <w:spacing w:beforeLines="0" w:afterLines="0" w:line="240" w:lineRule="auto"/>
                    <w:ind w:left="0" w:leftChars="0" w:firstLine="0" w:firstLineChars="0"/>
                    <w:rPr>
                      <w:rFonts w:hint="eastAsia" w:cs="Times New Roman"/>
                      <w:b w:val="0"/>
                      <w:bCs w:val="0"/>
                      <w:color w:val="auto"/>
                      <w:highlight w:val="none"/>
                      <w:lang w:val="en-US" w:eastAsia="zh-CN"/>
                    </w:rPr>
                  </w:pPr>
                  <w:r>
                    <w:rPr>
                      <w:rFonts w:hint="eastAsia" w:ascii="Times New Roman"/>
                      <w:b w:val="0"/>
                      <w:bCs w:val="0"/>
                      <w:color w:val="auto"/>
                      <w:highlight w:val="none"/>
                      <w:lang w:val="en-US" w:eastAsia="zh-CN"/>
                    </w:rPr>
                    <w:t>桶装</w:t>
                  </w:r>
                </w:p>
              </w:tc>
              <w:tc>
                <w:tcPr>
                  <w:tcW w:w="672" w:type="dxa"/>
                  <w:vMerge w:val="continue"/>
                  <w:vAlign w:val="center"/>
                </w:tcPr>
                <w:p w14:paraId="4B81B717">
                  <w:pPr>
                    <w:pageBreakBefore w:val="0"/>
                    <w:overflowPunct/>
                    <w:topLinePunct w:val="0"/>
                    <w:autoSpaceDE w:val="0"/>
                    <w:autoSpaceDN w:val="0"/>
                    <w:bidi w:val="0"/>
                    <w:adjustRightInd/>
                    <w:snapToGrid/>
                    <w:jc w:val="center"/>
                    <w:rPr>
                      <w:rFonts w:hint="default" w:cs="Times New Roman"/>
                      <w:b w:val="0"/>
                      <w:bCs w:val="0"/>
                      <w:color w:val="auto"/>
                      <w:highlight w:val="none"/>
                      <w:lang w:val="en-US" w:eastAsia="zh-CN"/>
                    </w:rPr>
                  </w:pPr>
                </w:p>
              </w:tc>
              <w:tc>
                <w:tcPr>
                  <w:tcW w:w="729" w:type="dxa"/>
                  <w:vAlign w:val="center"/>
                </w:tcPr>
                <w:p w14:paraId="5B4CF450">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highlight w:val="none"/>
                      <w:lang w:val="en-US" w:eastAsia="zh-CN"/>
                    </w:rPr>
                  </w:pPr>
                  <w:r>
                    <w:rPr>
                      <w:rFonts w:hint="eastAsia" w:ascii="Times New Roman"/>
                      <w:b w:val="0"/>
                      <w:bCs w:val="0"/>
                      <w:color w:val="auto"/>
                      <w:highlight w:val="none"/>
                    </w:rPr>
                    <w:t>半年</w:t>
                  </w:r>
                </w:p>
              </w:tc>
            </w:tr>
            <w:tr w14:paraId="2098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02DB29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4</w:t>
                  </w:r>
                </w:p>
              </w:tc>
              <w:tc>
                <w:tcPr>
                  <w:tcW w:w="957" w:type="dxa"/>
                  <w:vMerge w:val="continue"/>
                  <w:vAlign w:val="center"/>
                </w:tcPr>
                <w:p w14:paraId="4B00A34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948" w:type="dxa"/>
                  <w:vAlign w:val="center"/>
                </w:tcPr>
                <w:p w14:paraId="25DB2E4D">
                  <w:pPr>
                    <w:pageBreakBefore w:val="0"/>
                    <w:kinsoku/>
                    <w:overflowPunct/>
                    <w:topLinePunct w:val="0"/>
                    <w:bidi w:val="0"/>
                    <w:adjustRightInd/>
                    <w:snapToGrid/>
                    <w:jc w:val="center"/>
                    <w:rPr>
                      <w:rFonts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漆渣</w:t>
                  </w:r>
                </w:p>
              </w:tc>
              <w:tc>
                <w:tcPr>
                  <w:tcW w:w="972" w:type="dxa"/>
                  <w:vAlign w:val="center"/>
                </w:tcPr>
                <w:p w14:paraId="5339ADE6">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en-US" w:bidi="ar-SA"/>
                    </w:rPr>
                    <w:t>49</w:t>
                  </w:r>
                </w:p>
              </w:tc>
              <w:tc>
                <w:tcPr>
                  <w:tcW w:w="1308" w:type="dxa"/>
                  <w:vAlign w:val="center"/>
                </w:tcPr>
                <w:p w14:paraId="0AD0D7CA">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9</w:t>
                  </w:r>
                  <w:r>
                    <w:rPr>
                      <w:rFonts w:hint="default" w:ascii="Times New Roman" w:hAnsi="Times New Roman" w:eastAsia="宋体" w:cs="Times New Roman"/>
                      <w:color w:val="auto"/>
                      <w:szCs w:val="21"/>
                      <w:highlight w:val="none"/>
                      <w:lang w:val="en-US" w:eastAsia="en-US" w:bidi="ar"/>
                    </w:rPr>
                    <w:t>00-041-49</w:t>
                  </w:r>
                </w:p>
              </w:tc>
              <w:tc>
                <w:tcPr>
                  <w:tcW w:w="636" w:type="dxa"/>
                  <w:vMerge w:val="continue"/>
                  <w:vAlign w:val="center"/>
                </w:tcPr>
                <w:p w14:paraId="5FD0F33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696" w:type="dxa"/>
                  <w:vMerge w:val="continue"/>
                  <w:vAlign w:val="center"/>
                </w:tcPr>
                <w:p w14:paraId="3712EE07">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highlight w:val="none"/>
                      <w:lang w:val="en-US" w:eastAsia="zh-CN"/>
                    </w:rPr>
                  </w:pPr>
                </w:p>
              </w:tc>
              <w:tc>
                <w:tcPr>
                  <w:tcW w:w="720" w:type="dxa"/>
                  <w:vAlign w:val="center"/>
                </w:tcPr>
                <w:p w14:paraId="53ED5C86">
                  <w:pPr>
                    <w:pStyle w:val="54"/>
                    <w:pageBreakBefore w:val="0"/>
                    <w:overflowPunct/>
                    <w:topLinePunct w:val="0"/>
                    <w:bidi w:val="0"/>
                    <w:adjustRightInd/>
                    <w:snapToGrid/>
                    <w:spacing w:beforeLines="0" w:afterLines="0" w:line="240" w:lineRule="auto"/>
                    <w:ind w:left="0" w:leftChars="0" w:firstLine="0" w:firstLineChars="0"/>
                    <w:rPr>
                      <w:rFonts w:hint="eastAsia" w:ascii="Times New Roman"/>
                      <w:b w:val="0"/>
                      <w:bCs w:val="0"/>
                      <w:color w:val="auto"/>
                      <w:highlight w:val="none"/>
                      <w:lang w:val="en-US" w:eastAsia="zh-CN"/>
                    </w:rPr>
                  </w:pPr>
                  <w:r>
                    <w:rPr>
                      <w:rFonts w:hint="eastAsia" w:cs="Times New Roman"/>
                      <w:b w:val="0"/>
                      <w:bCs w:val="0"/>
                      <w:color w:val="auto"/>
                      <w:highlight w:val="none"/>
                      <w:lang w:val="en-US" w:eastAsia="zh-CN"/>
                    </w:rPr>
                    <w:t>袋装</w:t>
                  </w:r>
                </w:p>
              </w:tc>
              <w:tc>
                <w:tcPr>
                  <w:tcW w:w="672" w:type="dxa"/>
                  <w:vMerge w:val="continue"/>
                  <w:vAlign w:val="center"/>
                </w:tcPr>
                <w:p w14:paraId="436D3E31">
                  <w:pPr>
                    <w:pageBreakBefore w:val="0"/>
                    <w:overflowPunct/>
                    <w:topLinePunct w:val="0"/>
                    <w:autoSpaceDE w:val="0"/>
                    <w:autoSpaceDN w:val="0"/>
                    <w:bidi w:val="0"/>
                    <w:adjustRightInd/>
                    <w:snapToGrid/>
                    <w:jc w:val="center"/>
                    <w:rPr>
                      <w:rFonts w:hint="default" w:ascii="Times New Roman" w:hAnsi="Times New Roman" w:eastAsia="宋体" w:cs="Times New Roman"/>
                      <w:color w:val="auto"/>
                      <w:szCs w:val="21"/>
                      <w:highlight w:val="none"/>
                      <w:lang w:val="en-US" w:eastAsia="zh-CN"/>
                    </w:rPr>
                  </w:pPr>
                </w:p>
              </w:tc>
              <w:tc>
                <w:tcPr>
                  <w:tcW w:w="729" w:type="dxa"/>
                  <w:vAlign w:val="center"/>
                </w:tcPr>
                <w:p w14:paraId="53C817F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b w:val="0"/>
                      <w:bCs w:val="0"/>
                      <w:color w:val="auto"/>
                      <w:highlight w:val="none"/>
                    </w:rPr>
                  </w:pPr>
                  <w:r>
                    <w:rPr>
                      <w:rFonts w:hint="eastAsia" w:ascii="Times New Roman"/>
                      <w:b w:val="0"/>
                      <w:bCs w:val="0"/>
                      <w:color w:val="auto"/>
                      <w:highlight w:val="none"/>
                    </w:rPr>
                    <w:t>半年</w:t>
                  </w:r>
                </w:p>
              </w:tc>
            </w:tr>
            <w:tr w14:paraId="6D21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504B34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5</w:t>
                  </w:r>
                </w:p>
              </w:tc>
              <w:tc>
                <w:tcPr>
                  <w:tcW w:w="957" w:type="dxa"/>
                  <w:vMerge w:val="continue"/>
                  <w:vAlign w:val="center"/>
                </w:tcPr>
                <w:p w14:paraId="28405C9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948" w:type="dxa"/>
                  <w:vAlign w:val="center"/>
                </w:tcPr>
                <w:p w14:paraId="2FAA4A76">
                  <w:pPr>
                    <w:pageBreakBefore w:val="0"/>
                    <w:kinsoku/>
                    <w:overflowPunct/>
                    <w:topLinePunct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槽渣及污泥</w:t>
                  </w:r>
                </w:p>
              </w:tc>
              <w:tc>
                <w:tcPr>
                  <w:tcW w:w="972" w:type="dxa"/>
                  <w:vAlign w:val="center"/>
                </w:tcPr>
                <w:p w14:paraId="39048764">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HW</w:t>
                  </w:r>
                  <w:r>
                    <w:rPr>
                      <w:rFonts w:hint="eastAsia" w:ascii="Times New Roman" w:hAnsi="Times New Roman" w:eastAsia="宋体" w:cs="Times New Roman"/>
                      <w:snapToGrid w:val="0"/>
                      <w:color w:val="auto"/>
                      <w:kern w:val="0"/>
                      <w:sz w:val="21"/>
                      <w:szCs w:val="21"/>
                      <w:highlight w:val="none"/>
                      <w:lang w:val="en-US" w:eastAsia="zh-CN" w:bidi="ar-SA"/>
                    </w:rPr>
                    <w:t>17</w:t>
                  </w:r>
                </w:p>
              </w:tc>
              <w:tc>
                <w:tcPr>
                  <w:tcW w:w="1308" w:type="dxa"/>
                  <w:vAlign w:val="center"/>
                </w:tcPr>
                <w:p w14:paraId="662FCA79">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cs="Times New Roman"/>
                      <w:snapToGrid w:val="0"/>
                      <w:color w:val="auto"/>
                      <w:kern w:val="0"/>
                      <w:sz w:val="21"/>
                      <w:szCs w:val="21"/>
                      <w:highlight w:val="none"/>
                      <w:lang w:val="en-US" w:eastAsia="zh-CN" w:bidi="ar-SA"/>
                    </w:rPr>
                    <w:t>336-064-17</w:t>
                  </w:r>
                </w:p>
              </w:tc>
              <w:tc>
                <w:tcPr>
                  <w:tcW w:w="636" w:type="dxa"/>
                  <w:vMerge w:val="continue"/>
                  <w:vAlign w:val="center"/>
                </w:tcPr>
                <w:p w14:paraId="57925AA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696" w:type="dxa"/>
                  <w:vMerge w:val="continue"/>
                  <w:vAlign w:val="center"/>
                </w:tcPr>
                <w:p w14:paraId="6D7F460E">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highlight w:val="none"/>
                      <w:lang w:val="en-US" w:eastAsia="zh-CN"/>
                    </w:rPr>
                  </w:pPr>
                </w:p>
              </w:tc>
              <w:tc>
                <w:tcPr>
                  <w:tcW w:w="720" w:type="dxa"/>
                  <w:vAlign w:val="center"/>
                </w:tcPr>
                <w:p w14:paraId="313E8EB0">
                  <w:pPr>
                    <w:pStyle w:val="54"/>
                    <w:pageBreakBefore w:val="0"/>
                    <w:overflowPunct/>
                    <w:topLinePunct w:val="0"/>
                    <w:bidi w:val="0"/>
                    <w:adjustRightInd/>
                    <w:snapToGrid/>
                    <w:spacing w:beforeLines="0" w:afterLines="0" w:line="240" w:lineRule="auto"/>
                    <w:ind w:left="0" w:leftChars="0" w:firstLine="0" w:firstLineChars="0"/>
                    <w:rPr>
                      <w:rFonts w:hint="eastAsia" w:cs="Times New Roman"/>
                      <w:b w:val="0"/>
                      <w:bCs w:val="0"/>
                      <w:color w:val="auto"/>
                      <w:highlight w:val="none"/>
                      <w:lang w:val="en-US" w:eastAsia="zh-CN"/>
                    </w:rPr>
                  </w:pPr>
                  <w:r>
                    <w:rPr>
                      <w:rFonts w:hint="eastAsia" w:ascii="Times New Roman"/>
                      <w:b w:val="0"/>
                      <w:bCs w:val="0"/>
                      <w:color w:val="auto"/>
                      <w:highlight w:val="none"/>
                      <w:lang w:val="en-US" w:eastAsia="zh-CN"/>
                    </w:rPr>
                    <w:t>防腐容器</w:t>
                  </w:r>
                </w:p>
              </w:tc>
              <w:tc>
                <w:tcPr>
                  <w:tcW w:w="672" w:type="dxa"/>
                  <w:vMerge w:val="continue"/>
                  <w:vAlign w:val="center"/>
                </w:tcPr>
                <w:p w14:paraId="2DEE295A">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p>
              </w:tc>
              <w:tc>
                <w:tcPr>
                  <w:tcW w:w="729" w:type="dxa"/>
                  <w:vAlign w:val="center"/>
                </w:tcPr>
                <w:p w14:paraId="6550E26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b w:val="0"/>
                      <w:bCs w:val="0"/>
                      <w:color w:val="auto"/>
                      <w:highlight w:val="none"/>
                    </w:rPr>
                  </w:pPr>
                  <w:r>
                    <w:rPr>
                      <w:rFonts w:hint="eastAsia" w:ascii="Times New Roman"/>
                      <w:b w:val="0"/>
                      <w:bCs w:val="0"/>
                      <w:color w:val="auto"/>
                      <w:highlight w:val="none"/>
                    </w:rPr>
                    <w:t>半年</w:t>
                  </w:r>
                </w:p>
              </w:tc>
            </w:tr>
            <w:tr w14:paraId="153B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1FA0A8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6</w:t>
                  </w:r>
                </w:p>
              </w:tc>
              <w:tc>
                <w:tcPr>
                  <w:tcW w:w="957" w:type="dxa"/>
                  <w:vMerge w:val="continue"/>
                  <w:vAlign w:val="center"/>
                </w:tcPr>
                <w:p w14:paraId="015EB41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948" w:type="dxa"/>
                  <w:vAlign w:val="center"/>
                </w:tcPr>
                <w:p w14:paraId="0665348C">
                  <w:pPr>
                    <w:pageBreakBefore w:val="0"/>
                    <w:kinsoku/>
                    <w:overflowPunct/>
                    <w:topLinePunct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废机油</w:t>
                  </w:r>
                </w:p>
              </w:tc>
              <w:tc>
                <w:tcPr>
                  <w:tcW w:w="972" w:type="dxa"/>
                  <w:vAlign w:val="center"/>
                </w:tcPr>
                <w:p w14:paraId="143EB489">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zh-CN" w:bidi="ar-SA"/>
                    </w:rPr>
                    <w:t>HW08</w:t>
                  </w:r>
                </w:p>
              </w:tc>
              <w:tc>
                <w:tcPr>
                  <w:tcW w:w="1308" w:type="dxa"/>
                  <w:vAlign w:val="center"/>
                </w:tcPr>
                <w:p w14:paraId="772C5511">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cs="Times New Roman"/>
                      <w:snapToGrid w:val="0"/>
                      <w:color w:val="auto"/>
                      <w:kern w:val="0"/>
                      <w:sz w:val="21"/>
                      <w:szCs w:val="21"/>
                      <w:highlight w:val="none"/>
                      <w:lang w:val="en-US" w:eastAsia="zh-CN" w:bidi="ar-SA"/>
                    </w:rPr>
                    <w:t>900-249-08</w:t>
                  </w:r>
                </w:p>
              </w:tc>
              <w:tc>
                <w:tcPr>
                  <w:tcW w:w="636" w:type="dxa"/>
                  <w:vMerge w:val="continue"/>
                  <w:vAlign w:val="center"/>
                </w:tcPr>
                <w:p w14:paraId="315FB01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696" w:type="dxa"/>
                  <w:vMerge w:val="continue"/>
                  <w:vAlign w:val="center"/>
                </w:tcPr>
                <w:p w14:paraId="1C6393B4">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highlight w:val="none"/>
                      <w:lang w:val="en-US" w:eastAsia="zh-CN"/>
                    </w:rPr>
                  </w:pPr>
                </w:p>
              </w:tc>
              <w:tc>
                <w:tcPr>
                  <w:tcW w:w="720" w:type="dxa"/>
                  <w:vAlign w:val="center"/>
                </w:tcPr>
                <w:p w14:paraId="59F92453">
                  <w:pPr>
                    <w:pStyle w:val="54"/>
                    <w:pageBreakBefore w:val="0"/>
                    <w:overflowPunct/>
                    <w:topLinePunct w:val="0"/>
                    <w:bidi w:val="0"/>
                    <w:adjustRightInd/>
                    <w:snapToGrid/>
                    <w:spacing w:beforeLines="0" w:afterLines="0" w:line="240" w:lineRule="auto"/>
                    <w:ind w:left="0" w:leftChars="0" w:firstLine="0" w:firstLineChars="0"/>
                    <w:rPr>
                      <w:rFonts w:hint="eastAsia" w:cs="Times New Roman"/>
                      <w:b w:val="0"/>
                      <w:bCs w:val="0"/>
                      <w:color w:val="auto"/>
                      <w:highlight w:val="none"/>
                      <w:lang w:val="en-US" w:eastAsia="zh-CN"/>
                    </w:rPr>
                  </w:pPr>
                  <w:r>
                    <w:rPr>
                      <w:rFonts w:hint="eastAsia" w:ascii="Times New Roman"/>
                      <w:b w:val="0"/>
                      <w:bCs w:val="0"/>
                      <w:color w:val="auto"/>
                      <w:highlight w:val="none"/>
                      <w:lang w:val="en-US" w:eastAsia="zh-CN"/>
                    </w:rPr>
                    <w:t>桶装</w:t>
                  </w:r>
                </w:p>
              </w:tc>
              <w:tc>
                <w:tcPr>
                  <w:tcW w:w="672" w:type="dxa"/>
                  <w:vMerge w:val="continue"/>
                  <w:vAlign w:val="center"/>
                </w:tcPr>
                <w:p w14:paraId="688D2135">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p>
              </w:tc>
              <w:tc>
                <w:tcPr>
                  <w:tcW w:w="729" w:type="dxa"/>
                  <w:vAlign w:val="center"/>
                </w:tcPr>
                <w:p w14:paraId="77B1142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b w:val="0"/>
                      <w:bCs w:val="0"/>
                      <w:color w:val="auto"/>
                      <w:highlight w:val="none"/>
                    </w:rPr>
                  </w:pPr>
                  <w:r>
                    <w:rPr>
                      <w:rFonts w:hint="eastAsia" w:ascii="Times New Roman"/>
                      <w:b w:val="0"/>
                      <w:bCs w:val="0"/>
                      <w:color w:val="auto"/>
                      <w:highlight w:val="none"/>
                    </w:rPr>
                    <w:t>半年</w:t>
                  </w:r>
                </w:p>
              </w:tc>
            </w:tr>
            <w:tr w14:paraId="3CA2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175816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7</w:t>
                  </w:r>
                </w:p>
              </w:tc>
              <w:tc>
                <w:tcPr>
                  <w:tcW w:w="957" w:type="dxa"/>
                  <w:vMerge w:val="continue"/>
                  <w:vAlign w:val="center"/>
                </w:tcPr>
                <w:p w14:paraId="367D4B2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948" w:type="dxa"/>
                  <w:vAlign w:val="center"/>
                </w:tcPr>
                <w:p w14:paraId="6D8991A5">
                  <w:pPr>
                    <w:pageBreakBefore w:val="0"/>
                    <w:kinsoku/>
                    <w:overflowPunct/>
                    <w:topLinePunct w:val="0"/>
                    <w:bidi w:val="0"/>
                    <w:adjustRightInd/>
                    <w:snapToGrid/>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废机油桶</w:t>
                  </w:r>
                </w:p>
              </w:tc>
              <w:tc>
                <w:tcPr>
                  <w:tcW w:w="972" w:type="dxa"/>
                  <w:vAlign w:val="center"/>
                </w:tcPr>
                <w:p w14:paraId="285B062D">
                  <w:pPr>
                    <w:pStyle w:val="54"/>
                    <w:pageBreakBefore w:val="0"/>
                    <w:overflowPunct/>
                    <w:topLinePunct w:val="0"/>
                    <w:bidi w:val="0"/>
                    <w:adjustRightInd/>
                    <w:snapToGrid/>
                    <w:ind w:left="0" w:lef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zh-CN" w:bidi="ar-SA"/>
                    </w:rPr>
                    <w:t>HW08</w:t>
                  </w:r>
                </w:p>
              </w:tc>
              <w:tc>
                <w:tcPr>
                  <w:tcW w:w="1308" w:type="dxa"/>
                  <w:vAlign w:val="center"/>
                </w:tcPr>
                <w:p w14:paraId="37B39AA1">
                  <w:pPr>
                    <w:pageBreakBefore w:val="0"/>
                    <w:overflowPunct/>
                    <w:topLinePunct w:val="0"/>
                    <w:bidi w:val="0"/>
                    <w:adjustRightInd/>
                    <w:snapToGrid/>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eastAsia" w:cs="Times New Roman"/>
                      <w:snapToGrid w:val="0"/>
                      <w:color w:val="auto"/>
                      <w:kern w:val="0"/>
                      <w:sz w:val="21"/>
                      <w:szCs w:val="21"/>
                      <w:highlight w:val="none"/>
                      <w:lang w:val="en-US" w:eastAsia="zh-CN" w:bidi="ar-SA"/>
                    </w:rPr>
                    <w:t>900-249-08</w:t>
                  </w:r>
                </w:p>
              </w:tc>
              <w:tc>
                <w:tcPr>
                  <w:tcW w:w="636" w:type="dxa"/>
                  <w:vMerge w:val="continue"/>
                  <w:vAlign w:val="center"/>
                </w:tcPr>
                <w:p w14:paraId="41F4B48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val="0"/>
                      <w:bCs w:val="0"/>
                      <w:color w:val="auto"/>
                      <w:highlight w:val="none"/>
                      <w:lang w:eastAsia="zh-CN"/>
                    </w:rPr>
                  </w:pPr>
                </w:p>
              </w:tc>
              <w:tc>
                <w:tcPr>
                  <w:tcW w:w="696" w:type="dxa"/>
                  <w:vMerge w:val="continue"/>
                  <w:vAlign w:val="center"/>
                </w:tcPr>
                <w:p w14:paraId="653232C8">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highlight w:val="none"/>
                      <w:lang w:val="en-US" w:eastAsia="zh-CN"/>
                    </w:rPr>
                  </w:pPr>
                </w:p>
              </w:tc>
              <w:tc>
                <w:tcPr>
                  <w:tcW w:w="720" w:type="dxa"/>
                  <w:vAlign w:val="center"/>
                </w:tcPr>
                <w:p w14:paraId="426A26D2">
                  <w:pPr>
                    <w:pStyle w:val="54"/>
                    <w:pageBreakBefore w:val="0"/>
                    <w:overflowPunct/>
                    <w:topLinePunct w:val="0"/>
                    <w:bidi w:val="0"/>
                    <w:adjustRightInd/>
                    <w:snapToGrid/>
                    <w:spacing w:beforeLines="0" w:afterLines="0" w:line="240" w:lineRule="auto"/>
                    <w:ind w:left="0" w:leftChars="0" w:firstLine="0" w:firstLineChars="0"/>
                    <w:rPr>
                      <w:rFonts w:hint="eastAsia" w:cs="Times New Roman"/>
                      <w:b w:val="0"/>
                      <w:bCs w:val="0"/>
                      <w:color w:val="auto"/>
                      <w:highlight w:val="none"/>
                      <w:lang w:val="en-US" w:eastAsia="zh-CN"/>
                    </w:rPr>
                  </w:pPr>
                  <w:r>
                    <w:rPr>
                      <w:rFonts w:hint="eastAsia" w:ascii="Times New Roman"/>
                      <w:b w:val="0"/>
                      <w:bCs w:val="0"/>
                      <w:color w:val="auto"/>
                      <w:highlight w:val="none"/>
                      <w:lang w:val="en-US" w:eastAsia="zh-CN"/>
                    </w:rPr>
                    <w:t>桶装</w:t>
                  </w:r>
                </w:p>
              </w:tc>
              <w:tc>
                <w:tcPr>
                  <w:tcW w:w="672" w:type="dxa"/>
                  <w:vMerge w:val="continue"/>
                  <w:vAlign w:val="center"/>
                </w:tcPr>
                <w:p w14:paraId="32643BB3">
                  <w:pPr>
                    <w:pageBreakBefore w:val="0"/>
                    <w:overflowPunct/>
                    <w:topLinePunct w:val="0"/>
                    <w:autoSpaceDE w:val="0"/>
                    <w:autoSpaceDN w:val="0"/>
                    <w:bidi w:val="0"/>
                    <w:adjustRightInd/>
                    <w:snapToGrid/>
                    <w:jc w:val="center"/>
                    <w:rPr>
                      <w:rFonts w:hint="eastAsia" w:ascii="Times New Roman" w:hAnsi="Times New Roman" w:eastAsia="宋体" w:cs="Times New Roman"/>
                      <w:color w:val="auto"/>
                      <w:szCs w:val="21"/>
                      <w:highlight w:val="none"/>
                      <w:lang w:val="en-US" w:eastAsia="zh-CN"/>
                    </w:rPr>
                  </w:pPr>
                </w:p>
              </w:tc>
              <w:tc>
                <w:tcPr>
                  <w:tcW w:w="729" w:type="dxa"/>
                  <w:vAlign w:val="center"/>
                </w:tcPr>
                <w:p w14:paraId="7902763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b w:val="0"/>
                      <w:bCs w:val="0"/>
                      <w:color w:val="auto"/>
                      <w:highlight w:val="none"/>
                    </w:rPr>
                  </w:pPr>
                  <w:r>
                    <w:rPr>
                      <w:rFonts w:hint="eastAsia" w:ascii="Times New Roman"/>
                      <w:b w:val="0"/>
                      <w:bCs w:val="0"/>
                      <w:color w:val="auto"/>
                      <w:highlight w:val="none"/>
                    </w:rPr>
                    <w:t>半年</w:t>
                  </w:r>
                </w:p>
              </w:tc>
            </w:tr>
          </w:tbl>
          <w:p w14:paraId="3A2E1D32">
            <w:pPr>
              <w:pStyle w:val="58"/>
              <w:pageBreakBefore w:val="0"/>
              <w:overflowPunct/>
              <w:topLinePunct w:val="0"/>
              <w:bidi w:val="0"/>
              <w:adjustRightInd/>
              <w:snapToGrid/>
              <w:spacing w:before="0" w:line="360" w:lineRule="auto"/>
              <w:ind w:firstLine="482" w:firstLineChars="200"/>
              <w:rPr>
                <w:rFonts w:hint="default" w:ascii="Times New Roman" w:hAnsi="Times New Roman" w:eastAsia="宋体" w:cs="Times New Roman"/>
                <w:b/>
                <w:bCs/>
                <w:color w:val="auto"/>
                <w:kern w:val="2"/>
                <w:sz w:val="24"/>
                <w:highlight w:val="none"/>
              </w:rPr>
            </w:pPr>
            <w:r>
              <w:rPr>
                <w:rFonts w:hint="eastAsia" w:ascii="Times New Roman" w:hAnsi="Times New Roman" w:eastAsia="宋体" w:cs="Times New Roman"/>
                <w:b/>
                <w:bCs/>
                <w:color w:val="auto"/>
                <w:kern w:val="2"/>
                <w:sz w:val="24"/>
                <w:highlight w:val="none"/>
                <w:lang w:val="en-US" w:eastAsia="zh-CN"/>
              </w:rPr>
              <w:t>2、</w:t>
            </w:r>
            <w:r>
              <w:rPr>
                <w:rFonts w:hint="default" w:ascii="Times New Roman" w:hAnsi="Times New Roman" w:eastAsia="宋体" w:cs="Times New Roman"/>
                <w:b/>
                <w:bCs/>
                <w:color w:val="auto"/>
                <w:kern w:val="2"/>
                <w:sz w:val="24"/>
                <w:highlight w:val="none"/>
              </w:rPr>
              <w:t>环境管理要求：</w:t>
            </w:r>
          </w:p>
          <w:p w14:paraId="678CF251">
            <w:pPr>
              <w:pStyle w:val="58"/>
              <w:pageBreakBefore w:val="0"/>
              <w:widowControl/>
              <w:wordWrap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lang w:bidi="ar"/>
              </w:rPr>
            </w:pPr>
            <w:r>
              <w:rPr>
                <w:rFonts w:hint="default" w:ascii="Times New Roman" w:hAnsi="Times New Roman" w:eastAsia="宋体" w:cs="Times New Roman"/>
                <w:color w:val="auto"/>
                <w:kern w:val="2"/>
                <w:sz w:val="24"/>
                <w:highlight w:val="none"/>
                <w:lang w:bidi="ar"/>
              </w:rPr>
              <w:t>项目一般固体废物存放一般固废暂存间，暂存场地的设置应符合《一般工业固体废物贮存和填埋污染控制标准》（GB18599-2020）中的规定。</w:t>
            </w:r>
          </w:p>
          <w:p w14:paraId="2AE81278">
            <w:pPr>
              <w:pStyle w:val="58"/>
              <w:keepNext w:val="0"/>
              <w:keepLines w:val="0"/>
              <w:pageBreakBefore w:val="0"/>
              <w:widowControl/>
              <w:kinsoku/>
              <w:wordWrap w:val="0"/>
              <w:overflowPunct/>
              <w:topLinePunct w:val="0"/>
              <w:autoSpaceDE/>
              <w:autoSpaceDN/>
              <w:bidi w:val="0"/>
              <w:adjustRightInd/>
              <w:snapToGrid/>
              <w:spacing w:before="0" w:line="360" w:lineRule="auto"/>
              <w:ind w:firstLine="480" w:firstLineChars="200"/>
              <w:textAlignment w:val="auto"/>
              <w:rPr>
                <w:rFonts w:hint="default" w:ascii="Times New Roman" w:hAnsi="Times New Roman" w:eastAsia="宋体" w:cs="Times New Roman"/>
                <w:color w:val="auto"/>
                <w:kern w:val="2"/>
                <w:sz w:val="24"/>
                <w:highlight w:val="none"/>
                <w:lang w:val="en-US" w:eastAsia="zh-CN" w:bidi="ar"/>
              </w:rPr>
            </w:pPr>
            <w:r>
              <w:rPr>
                <w:rFonts w:hint="eastAsia" w:ascii="Times New Roman" w:hAnsi="Times New Roman" w:eastAsia="宋体" w:cs="Times New Roman"/>
                <w:color w:val="auto"/>
                <w:kern w:val="2"/>
                <w:sz w:val="24"/>
                <w:highlight w:val="none"/>
                <w:lang w:val="en-US" w:eastAsia="zh-CN" w:bidi="ar"/>
              </w:rPr>
              <w:t>本项目一般固废暂存间位于成品暂存区域内，建筑面积约20m</w:t>
            </w:r>
            <w:r>
              <w:rPr>
                <w:rFonts w:hint="eastAsia" w:ascii="Times New Roman" w:hAnsi="Times New Roman" w:cs="Times New Roman"/>
                <w:color w:val="auto"/>
                <w:kern w:val="2"/>
                <w:sz w:val="24"/>
                <w:highlight w:val="none"/>
                <w:lang w:val="en-US" w:eastAsia="zh-CN" w:bidi="ar"/>
              </w:rPr>
              <w:t>²</w:t>
            </w:r>
            <w:r>
              <w:rPr>
                <w:rFonts w:hint="eastAsia" w:ascii="Times New Roman" w:hAnsi="Times New Roman" w:eastAsia="宋体" w:cs="Times New Roman"/>
                <w:color w:val="auto"/>
                <w:kern w:val="2"/>
                <w:sz w:val="24"/>
                <w:highlight w:val="none"/>
                <w:lang w:val="en-US" w:eastAsia="zh-CN" w:bidi="ar"/>
              </w:rPr>
              <w:t>，产生的塑粉直接回用生产，不考虑在一般固废暂存间暂存，故项目一般固废产生量为</w:t>
            </w:r>
            <w:r>
              <w:rPr>
                <w:rFonts w:hint="eastAsia" w:ascii="Times New Roman" w:hAnsi="Times New Roman" w:cs="Times New Roman"/>
                <w:color w:val="auto"/>
                <w:kern w:val="2"/>
                <w:sz w:val="24"/>
                <w:highlight w:val="none"/>
                <w:lang w:val="en-US" w:eastAsia="zh-CN" w:bidi="ar"/>
              </w:rPr>
              <w:t>18.433</w:t>
            </w:r>
            <w:r>
              <w:rPr>
                <w:rFonts w:hint="eastAsia" w:ascii="Times New Roman" w:hAnsi="Times New Roman" w:eastAsia="宋体" w:cs="Times New Roman"/>
                <w:color w:val="auto"/>
                <w:kern w:val="2"/>
                <w:sz w:val="24"/>
                <w:highlight w:val="none"/>
                <w:lang w:val="en-US" w:eastAsia="zh-CN" w:bidi="ar"/>
              </w:rPr>
              <w:t>t/a，</w:t>
            </w:r>
            <w:r>
              <w:rPr>
                <w:rFonts w:hint="eastAsia" w:ascii="Times New Roman" w:hAnsi="Times New Roman" w:cs="Times New Roman"/>
                <w:color w:val="auto"/>
                <w:kern w:val="2"/>
                <w:sz w:val="24"/>
                <w:highlight w:val="none"/>
                <w:lang w:val="en-US" w:eastAsia="zh-CN" w:bidi="ar"/>
              </w:rPr>
              <w:t>项目产生的一般固废袋装打包堆放，最大临时暂存量约5.59t，项目建设20m²的一般固废暂存间，最大暂存能力约18.433t，项目建设的20m²一般固废暂存间满足暂存要求</w:t>
            </w:r>
          </w:p>
          <w:p w14:paraId="4F0F9FEC">
            <w:pPr>
              <w:pStyle w:val="58"/>
              <w:pageBreakBefore w:val="0"/>
              <w:widowControl/>
              <w:wordWrap w:val="0"/>
              <w:overflowPunct/>
              <w:topLinePunct w:val="0"/>
              <w:bidi w:val="0"/>
              <w:adjustRightInd/>
              <w:snapToGrid/>
              <w:spacing w:before="0" w:line="360" w:lineRule="auto"/>
              <w:ind w:firstLineChars="200"/>
              <w:rPr>
                <w:rFonts w:hint="default" w:ascii="Times New Roman" w:hAnsi="Times New Roman" w:eastAsia="宋体" w:cs="Times New Roman"/>
                <w:b/>
                <w:bCs/>
                <w:color w:val="auto"/>
                <w:kern w:val="2"/>
                <w:sz w:val="24"/>
                <w:highlight w:val="none"/>
                <w:lang w:bidi="ar"/>
              </w:rPr>
            </w:pPr>
            <w:r>
              <w:rPr>
                <w:rFonts w:hint="default" w:ascii="Times New Roman" w:hAnsi="Times New Roman" w:eastAsia="宋体" w:cs="Times New Roman"/>
                <w:b/>
                <w:bCs/>
                <w:color w:val="auto"/>
                <w:kern w:val="2"/>
                <w:sz w:val="24"/>
                <w:highlight w:val="none"/>
                <w:lang w:bidi="ar"/>
              </w:rPr>
              <w:t>一般固废暂存间设置要求做到以下几点：</w:t>
            </w:r>
          </w:p>
          <w:p w14:paraId="12E7CF5A">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lang w:bidi="ar"/>
              </w:rPr>
            </w:pPr>
            <w:r>
              <w:rPr>
                <w:rFonts w:hint="default" w:ascii="Times New Roman" w:hAnsi="Times New Roman" w:eastAsia="宋体" w:cs="Times New Roman"/>
                <w:color w:val="auto"/>
                <w:kern w:val="2"/>
                <w:sz w:val="24"/>
                <w:highlight w:val="none"/>
                <w:lang w:bidi="ar"/>
              </w:rPr>
              <w:t>（1）贮存场、填埋场的环境保护图形标志应符合GB15562.2的规定，并应定期检查和维护。</w:t>
            </w:r>
          </w:p>
          <w:p w14:paraId="28E81C79">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lang w:bidi="ar"/>
              </w:rPr>
            </w:pPr>
            <w:r>
              <w:rPr>
                <w:rFonts w:hint="default" w:ascii="Times New Roman" w:hAnsi="Times New Roman" w:eastAsia="宋体" w:cs="Times New Roman"/>
                <w:color w:val="auto"/>
                <w:kern w:val="2"/>
                <w:sz w:val="24"/>
                <w:highlight w:val="none"/>
                <w:lang w:bidi="ar"/>
              </w:rPr>
              <w:t>（2）不相容的一般工业固体废物应设置不同的分区进行贮存和填埋作业。</w:t>
            </w:r>
          </w:p>
          <w:p w14:paraId="28E1144C">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kern w:val="2"/>
                <w:sz w:val="24"/>
                <w:highlight w:val="none"/>
                <w:lang w:bidi="ar"/>
              </w:rPr>
              <w:t>（3）</w:t>
            </w:r>
            <w:r>
              <w:rPr>
                <w:rFonts w:hint="default" w:ascii="Times New Roman" w:hAnsi="Times New Roman" w:eastAsia="宋体" w:cs="Times New Roman"/>
                <w:color w:val="auto"/>
                <w:sz w:val="24"/>
                <w:highlight w:val="none"/>
                <w:lang w:bidi="ar"/>
              </w:rPr>
              <w:t>危险废物和生活垃圾不得进入一般工业固体废物贮存场及填埋场。</w:t>
            </w:r>
          </w:p>
          <w:p w14:paraId="7D187EE4">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4）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4210D794">
            <w:pPr>
              <w:pStyle w:val="58"/>
              <w:pageBreakBefore w:val="0"/>
              <w:overflowPunct/>
              <w:topLinePunct w:val="0"/>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rPr>
            </w:pPr>
            <w:r>
              <w:rPr>
                <w:rFonts w:hint="default" w:ascii="Times New Roman" w:hAnsi="Times New Roman" w:eastAsia="宋体" w:cs="Times New Roman"/>
                <w:color w:val="auto"/>
                <w:kern w:val="2"/>
                <w:sz w:val="24"/>
                <w:highlight w:val="none"/>
              </w:rPr>
              <w:t>（5）产生工业固体废物的单位委托他人运输、利用、处置工业固体废物的，应当对受托方的主体资格和技术能力进行核实，依法签订书面合同，在合同中约定污染防治要求。</w:t>
            </w:r>
            <w:r>
              <w:rPr>
                <w:rFonts w:hint="default" w:ascii="Times New Roman" w:hAnsi="Times New Roman" w:eastAsia="宋体" w:cs="Times New Roman"/>
                <w:snapToGrid/>
                <w:color w:val="auto"/>
                <w:kern w:val="2"/>
                <w:sz w:val="24"/>
                <w:highlight w:val="none"/>
              </w:rPr>
              <w:t>受托方运输、利用、处置工业固体废物，应当依照有关法律法规的规定和合同约定履行污染防治要求，并将运输、利用、处置情况告知产生工业固体废物的单位。</w:t>
            </w:r>
          </w:p>
          <w:p w14:paraId="72C69CCB">
            <w:pPr>
              <w:pStyle w:val="58"/>
              <w:keepNext w:val="0"/>
              <w:keepLines w:val="0"/>
              <w:pageBreakBefore w:val="0"/>
              <w:widowControl/>
              <w:kinsoku w:val="0"/>
              <w:wordWrap w:val="0"/>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kern w:val="2"/>
                <w:sz w:val="24"/>
                <w:highlight w:val="none"/>
                <w:lang w:bidi="ar"/>
              </w:rPr>
            </w:pPr>
            <w:r>
              <w:rPr>
                <w:rFonts w:hint="default" w:ascii="Times New Roman" w:hAnsi="Times New Roman" w:eastAsia="宋体" w:cs="Times New Roman"/>
                <w:color w:val="auto"/>
                <w:kern w:val="2"/>
                <w:sz w:val="24"/>
                <w:highlight w:val="none"/>
                <w:lang w:bidi="ar"/>
              </w:rPr>
              <w:t>（6）产生工业固体废物的单位应当取得排污许可证。排污许可的具体办法和实施步骤由国务院规定。</w:t>
            </w:r>
          </w:p>
          <w:p w14:paraId="34B55EE9">
            <w:pPr>
              <w:pStyle w:val="58"/>
              <w:keepNext w:val="0"/>
              <w:keepLines w:val="0"/>
              <w:pageBreakBefore w:val="0"/>
              <w:widowControl/>
              <w:kinsoku w:val="0"/>
              <w:wordWrap w:val="0"/>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kern w:val="2"/>
                <w:sz w:val="24"/>
                <w:highlight w:val="none"/>
                <w:lang w:bidi="ar"/>
              </w:rPr>
            </w:pPr>
            <w:r>
              <w:rPr>
                <w:rFonts w:hint="default" w:ascii="Times New Roman" w:hAnsi="Times New Roman" w:eastAsia="宋体" w:cs="Times New Roman"/>
                <w:color w:val="auto"/>
                <w:kern w:val="2"/>
                <w:sz w:val="24"/>
                <w:highlight w:val="none"/>
                <w:lang w:bidi="ar"/>
              </w:rPr>
              <w:t>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14:paraId="261BF103">
            <w:pPr>
              <w:keepNext w:val="0"/>
              <w:keepLines w:val="0"/>
              <w:pageBreakBefore w:val="0"/>
              <w:widowControl/>
              <w:kinsoku w:val="0"/>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7）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14:paraId="1F5B1D87">
            <w:pPr>
              <w:pStyle w:val="58"/>
              <w:pageBreakBefore w:val="0"/>
              <w:widowControl/>
              <w:wordWrap w:val="0"/>
              <w:overflowPunct/>
              <w:topLinePunct w:val="0"/>
              <w:bidi w:val="0"/>
              <w:adjustRightInd/>
              <w:snapToGrid/>
              <w:spacing w:before="0" w:line="360" w:lineRule="auto"/>
              <w:ind w:firstLineChars="200"/>
              <w:rPr>
                <w:rFonts w:hint="default" w:ascii="Times New Roman" w:hAnsi="Times New Roman" w:eastAsia="宋体" w:cs="Times New Roman"/>
                <w:b/>
                <w:bCs/>
                <w:color w:val="auto"/>
                <w:kern w:val="2"/>
                <w:sz w:val="24"/>
                <w:highlight w:val="none"/>
                <w:lang w:bidi="ar"/>
              </w:rPr>
            </w:pPr>
            <w:r>
              <w:rPr>
                <w:rFonts w:hint="default" w:ascii="Times New Roman" w:hAnsi="Times New Roman" w:eastAsia="宋体" w:cs="Times New Roman"/>
                <w:b/>
                <w:bCs/>
                <w:color w:val="auto"/>
                <w:kern w:val="2"/>
                <w:sz w:val="24"/>
                <w:highlight w:val="none"/>
                <w:lang w:bidi="ar"/>
              </w:rPr>
              <w:t>危险废物暂存间设置要求做到以下几点：</w:t>
            </w:r>
          </w:p>
          <w:p w14:paraId="69B03A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napToGrid/>
                <w:color w:val="auto"/>
                <w:spacing w:val="0"/>
                <w:kern w:val="0"/>
                <w:position w:val="0"/>
                <w:sz w:val="24"/>
                <w:szCs w:val="24"/>
                <w:highlight w:val="none"/>
              </w:rPr>
            </w:pPr>
            <w:r>
              <w:rPr>
                <w:rFonts w:hint="default" w:ascii="Times New Roman" w:hAnsi="Times New Roman" w:eastAsia="宋体" w:cs="Times New Roman"/>
                <w:color w:val="auto"/>
                <w:kern w:val="0"/>
                <w:sz w:val="24"/>
                <w:highlight w:val="none"/>
                <w:lang w:val="en-US" w:eastAsia="zh-CN" w:bidi="ar"/>
              </w:rPr>
              <w:t>项目位于</w:t>
            </w:r>
            <w:r>
              <w:rPr>
                <w:rFonts w:hint="eastAsia" w:cs="Times New Roman"/>
                <w:color w:val="auto"/>
                <w:kern w:val="0"/>
                <w:sz w:val="24"/>
                <w:highlight w:val="none"/>
                <w:lang w:val="en-US" w:eastAsia="zh-CN" w:bidi="ar"/>
              </w:rPr>
              <w:t>成品暂存区域</w:t>
            </w:r>
            <w:r>
              <w:rPr>
                <w:rFonts w:hint="default" w:ascii="Times New Roman" w:hAnsi="Times New Roman" w:eastAsia="宋体" w:cs="Times New Roman"/>
                <w:color w:val="auto"/>
                <w:kern w:val="0"/>
                <w:sz w:val="24"/>
                <w:highlight w:val="none"/>
                <w:lang w:val="en-US" w:eastAsia="zh-CN" w:bidi="ar"/>
              </w:rPr>
              <w:t>设置</w:t>
            </w:r>
            <w:r>
              <w:rPr>
                <w:rFonts w:hint="eastAsia" w:cs="Times New Roman"/>
                <w:color w:val="auto"/>
                <w:kern w:val="0"/>
                <w:sz w:val="24"/>
                <w:highlight w:val="none"/>
                <w:lang w:val="en-US" w:eastAsia="zh-CN" w:bidi="ar"/>
              </w:rPr>
              <w:t>50</w:t>
            </w:r>
            <w:r>
              <w:rPr>
                <w:rFonts w:hint="default" w:ascii="Times New Roman" w:hAnsi="Times New Roman" w:eastAsia="宋体" w:cs="Times New Roman"/>
                <w:color w:val="auto"/>
                <w:kern w:val="0"/>
                <w:sz w:val="24"/>
                <w:highlight w:val="none"/>
                <w:lang w:val="en-US" w:eastAsia="zh-CN" w:bidi="ar"/>
              </w:rPr>
              <w:t>m²的危险废物暂存间，用于收集生产过程中产生的废过滤棉、废活性炭等危险废物，并定期委托有资质单位进行处置，</w:t>
            </w:r>
            <w:r>
              <w:rPr>
                <w:rFonts w:hint="default" w:ascii="Times New Roman" w:hAnsi="Times New Roman" w:eastAsia="宋体" w:cs="Times New Roman"/>
                <w:snapToGrid/>
                <w:color w:val="auto"/>
                <w:spacing w:val="0"/>
                <w:kern w:val="0"/>
                <w:position w:val="0"/>
                <w:sz w:val="24"/>
                <w:szCs w:val="24"/>
                <w:highlight w:val="none"/>
              </w:rPr>
              <w:t>根据《危险废物贮存污染控制标准》（GB18597-20</w:t>
            </w:r>
            <w:r>
              <w:rPr>
                <w:rFonts w:hint="default" w:ascii="Times New Roman" w:hAnsi="Times New Roman" w:cs="Times New Roman"/>
                <w:snapToGrid/>
                <w:color w:val="auto"/>
                <w:spacing w:val="0"/>
                <w:kern w:val="0"/>
                <w:position w:val="0"/>
                <w:sz w:val="24"/>
                <w:szCs w:val="24"/>
                <w:highlight w:val="none"/>
                <w:lang w:val="en-US" w:eastAsia="zh-CN"/>
              </w:rPr>
              <w:t>23</w:t>
            </w:r>
            <w:r>
              <w:rPr>
                <w:rFonts w:hint="default" w:ascii="Times New Roman" w:hAnsi="Times New Roman" w:eastAsia="宋体" w:cs="Times New Roman"/>
                <w:snapToGrid/>
                <w:color w:val="auto"/>
                <w:spacing w:val="0"/>
                <w:kern w:val="0"/>
                <w:position w:val="0"/>
                <w:sz w:val="24"/>
                <w:szCs w:val="24"/>
                <w:highlight w:val="none"/>
              </w:rPr>
              <w:t>）有关规定，危险废物临时贮存的一般要求、危险废物临时贮存容器的选取、危废临时贮存设施的选址与设计原则、危废临时贮存设施的运行与管理、危废临时贮存设施的安全防护与监测、危废临时贮存设施的关闭等均需严格按照规定执行。一般固废不得与危险废物混</w:t>
            </w:r>
            <w:r>
              <w:rPr>
                <w:rFonts w:hint="default" w:ascii="Times New Roman" w:hAnsi="Times New Roman" w:eastAsia="宋体" w:cs="Times New Roman"/>
                <w:snapToGrid/>
                <w:color w:val="auto"/>
                <w:spacing w:val="0"/>
                <w:kern w:val="0"/>
                <w:position w:val="0"/>
                <w:sz w:val="24"/>
                <w:szCs w:val="24"/>
                <w:highlight w:val="none"/>
                <w:shd w:val="clear" w:color="auto" w:fill="auto"/>
              </w:rPr>
              <w:t>合，需分开存放并及时处置，危险固废定期委托有资质单位处置。</w:t>
            </w:r>
          </w:p>
          <w:p w14:paraId="53B0A8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snapToGrid/>
                <w:color w:val="auto"/>
                <w:spacing w:val="0"/>
                <w:kern w:val="0"/>
                <w:position w:val="0"/>
                <w:sz w:val="24"/>
                <w:szCs w:val="24"/>
                <w:highlight w:val="none"/>
                <w:lang w:val="en-US" w:eastAsia="zh-CN"/>
              </w:rPr>
            </w:pPr>
            <w:r>
              <w:rPr>
                <w:rFonts w:hint="eastAsia" w:cs="Times New Roman"/>
                <w:snapToGrid/>
                <w:color w:val="auto"/>
                <w:spacing w:val="0"/>
                <w:kern w:val="0"/>
                <w:position w:val="0"/>
                <w:sz w:val="24"/>
                <w:szCs w:val="24"/>
                <w:highlight w:val="none"/>
                <w:lang w:val="en-US" w:eastAsia="zh-CN"/>
              </w:rPr>
              <w:t>①贮存可行性分析</w:t>
            </w:r>
          </w:p>
          <w:p w14:paraId="58CC91E3">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snapToGrid/>
                <w:color w:val="auto"/>
                <w:spacing w:val="0"/>
                <w:kern w:val="0"/>
                <w:position w:val="0"/>
                <w:sz w:val="24"/>
                <w:szCs w:val="24"/>
                <w:highlight w:val="none"/>
                <w:lang w:val="en-US" w:eastAsia="zh-CN" w:bidi="ar-SA"/>
              </w:rPr>
            </w:pPr>
            <w:r>
              <w:rPr>
                <w:rFonts w:hint="default" w:ascii="Times New Roman" w:hAnsi="Times New Roman" w:eastAsia="宋体" w:cs="Times New Roman"/>
                <w:snapToGrid/>
                <w:color w:val="auto"/>
                <w:spacing w:val="0"/>
                <w:kern w:val="0"/>
                <w:position w:val="0"/>
                <w:sz w:val="24"/>
                <w:szCs w:val="24"/>
                <w:highlight w:val="none"/>
                <w:lang w:val="en-US" w:eastAsia="zh-CN" w:bidi="ar-SA"/>
              </w:rPr>
              <w:t>项目厂区危废暂存场所占地面积</w:t>
            </w:r>
            <w:r>
              <w:rPr>
                <w:rFonts w:hint="eastAsia" w:cs="Times New Roman"/>
                <w:snapToGrid/>
                <w:color w:val="auto"/>
                <w:spacing w:val="0"/>
                <w:kern w:val="0"/>
                <w:position w:val="0"/>
                <w:sz w:val="24"/>
                <w:szCs w:val="24"/>
                <w:highlight w:val="none"/>
                <w:lang w:val="en-US" w:eastAsia="zh-CN" w:bidi="ar-SA"/>
              </w:rPr>
              <w:t>50</w:t>
            </w:r>
            <w:r>
              <w:rPr>
                <w:rFonts w:hint="default" w:ascii="Times New Roman" w:hAnsi="Times New Roman" w:eastAsia="宋体" w:cs="Times New Roman"/>
                <w:snapToGrid/>
                <w:color w:val="auto"/>
                <w:spacing w:val="0"/>
                <w:kern w:val="0"/>
                <w:position w:val="0"/>
                <w:sz w:val="24"/>
                <w:szCs w:val="24"/>
                <w:highlight w:val="none"/>
                <w:lang w:val="en-US" w:eastAsia="zh-CN" w:bidi="ar-SA"/>
              </w:rPr>
              <w:t>m</w:t>
            </w:r>
            <w:r>
              <w:rPr>
                <w:rFonts w:hint="default" w:ascii="Times New Roman" w:hAnsi="Times New Roman" w:eastAsia="宋体" w:cs="Times New Roman"/>
                <w:snapToGrid/>
                <w:color w:val="auto"/>
                <w:spacing w:val="0"/>
                <w:kern w:val="0"/>
                <w:position w:val="0"/>
                <w:sz w:val="24"/>
                <w:szCs w:val="24"/>
                <w:highlight w:val="none"/>
                <w:vertAlign w:val="superscript"/>
                <w:lang w:val="en-US" w:eastAsia="zh-CN" w:bidi="ar-SA"/>
              </w:rPr>
              <w:t>2</w:t>
            </w:r>
            <w:r>
              <w:rPr>
                <w:rFonts w:hint="default" w:ascii="Times New Roman" w:hAnsi="Times New Roman" w:eastAsia="宋体" w:cs="Times New Roman"/>
                <w:snapToGrid/>
                <w:color w:val="auto"/>
                <w:spacing w:val="0"/>
                <w:kern w:val="0"/>
                <w:position w:val="0"/>
                <w:sz w:val="24"/>
                <w:szCs w:val="24"/>
                <w:highlight w:val="none"/>
                <w:lang w:val="en-US" w:eastAsia="zh-CN" w:bidi="ar-SA"/>
              </w:rPr>
              <w:t>，危废产生量为</w:t>
            </w:r>
            <w:r>
              <w:rPr>
                <w:rFonts w:hint="eastAsia" w:cs="Times New Roman"/>
                <w:snapToGrid/>
                <w:color w:val="auto"/>
                <w:spacing w:val="0"/>
                <w:kern w:val="0"/>
                <w:position w:val="0"/>
                <w:sz w:val="24"/>
                <w:szCs w:val="24"/>
                <w:highlight w:val="none"/>
                <w:lang w:val="en-US" w:eastAsia="zh-CN" w:bidi="ar-SA"/>
              </w:rPr>
              <w:t>49.012</w:t>
            </w:r>
            <w:r>
              <w:rPr>
                <w:rFonts w:hint="default" w:ascii="Times New Roman" w:hAnsi="Times New Roman" w:eastAsia="宋体" w:cs="Times New Roman"/>
                <w:snapToGrid/>
                <w:color w:val="auto"/>
                <w:spacing w:val="0"/>
                <w:kern w:val="0"/>
                <w:position w:val="0"/>
                <w:sz w:val="24"/>
                <w:szCs w:val="24"/>
                <w:highlight w:val="none"/>
                <w:lang w:val="en-US" w:eastAsia="zh-CN" w:bidi="ar-SA"/>
              </w:rPr>
              <w:t>t/a，</w:t>
            </w:r>
            <w:r>
              <w:rPr>
                <w:rFonts w:hint="eastAsia"/>
                <w:lang w:val="en-US" w:eastAsia="zh-CN"/>
              </w:rPr>
              <w:t>项目产生的主要危险废物包括废过滤棉、废活性炭、漆渣、污泥、废机油、废机油桶等，废过滤棉、漆渣等由危废专用包装袋密闭存放，废活性炭采取薄膜缠绕后暂存密闭包装桶内堆放，污泥采取密闭防腐容器包装暂存。废机油、废机油桶桶装加盖堆放；根据项目产生的危废种类分区暂存，项目50m²的危险废物暂存间最大暂存量可暂存49.012t，可满足危废临时最大暂存量。</w:t>
            </w:r>
          </w:p>
          <w:p w14:paraId="3625D8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highlight w:val="none"/>
                <w:lang w:bidi="ar"/>
              </w:rPr>
            </w:pPr>
            <w:r>
              <w:rPr>
                <w:rFonts w:hint="eastAsia" w:ascii="Times New Roman" w:hAnsi="Times New Roman" w:eastAsia="宋体" w:cs="Times New Roman"/>
                <w:snapToGrid/>
                <w:color w:val="auto"/>
                <w:spacing w:val="0"/>
                <w:kern w:val="0"/>
                <w:position w:val="0"/>
                <w:sz w:val="24"/>
                <w:szCs w:val="24"/>
                <w:highlight w:val="none"/>
                <w:lang w:val="en-US" w:eastAsia="zh-CN" w:bidi="ar-SA"/>
              </w:rPr>
              <w:t>②</w:t>
            </w:r>
            <w:r>
              <w:rPr>
                <w:rFonts w:hint="default" w:ascii="Times New Roman" w:hAnsi="Times New Roman" w:eastAsia="宋体" w:cs="Times New Roman"/>
                <w:snapToGrid/>
                <w:color w:val="auto"/>
                <w:spacing w:val="0"/>
                <w:kern w:val="0"/>
                <w:position w:val="0"/>
                <w:sz w:val="24"/>
                <w:szCs w:val="24"/>
                <w:highlight w:val="none"/>
                <w:lang w:val="en-US" w:eastAsia="zh-CN" w:bidi="ar-SA"/>
              </w:rPr>
              <w:t>危废暂存间设计时遵循以</w:t>
            </w:r>
            <w:r>
              <w:rPr>
                <w:rFonts w:hint="default" w:ascii="Times New Roman" w:hAnsi="Times New Roman" w:eastAsia="宋体" w:cs="Times New Roman"/>
                <w:snapToGrid/>
                <w:color w:val="auto"/>
                <w:spacing w:val="0"/>
                <w:kern w:val="0"/>
                <w:position w:val="0"/>
                <w:sz w:val="24"/>
                <w:szCs w:val="24"/>
                <w:highlight w:val="none"/>
              </w:rPr>
              <w:t>下原则：</w:t>
            </w:r>
          </w:p>
          <w:p w14:paraId="49F236A1">
            <w:pPr>
              <w:pageBreakBefore w:val="0"/>
              <w:widowControl/>
              <w:wordWrap w:val="0"/>
              <w:overflowPunct/>
              <w:topLinePunct w:val="0"/>
              <w:bidi w:val="0"/>
              <w:adjustRightInd/>
              <w:snapToGrid/>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危险废物暂存场地的设置应符合《危险废物贮存污染控制标准》（GB18597-2023）中的规定。</w:t>
            </w:r>
          </w:p>
          <w:p w14:paraId="37D6D69E">
            <w:pPr>
              <w:pageBreakBefore w:val="0"/>
              <w:widowControl/>
              <w:wordWrap w:val="0"/>
              <w:overflowPunct/>
              <w:topLinePunct w:val="0"/>
              <w:bidi w:val="0"/>
              <w:adjustRightInd/>
              <w:snapToGrid/>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（1）危险废物贮存设施必须按《危险废物识别标志设置技术规范》（HJ1276-2022）中规定设置警示标志；</w:t>
            </w:r>
          </w:p>
          <w:p w14:paraId="6154DDCE">
            <w:pPr>
              <w:pageBreakBefore w:val="0"/>
              <w:widowControl/>
              <w:wordWrap w:val="0"/>
              <w:overflowPunct/>
              <w:topLinePunct w:val="0"/>
              <w:bidi w:val="0"/>
              <w:adjustRightInd/>
              <w:snapToGrid/>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（2）企业须健全危险废物相关管理制度，并严格落实。</w:t>
            </w:r>
          </w:p>
          <w:p w14:paraId="508D582A">
            <w:pPr>
              <w:pageBreakBefore w:val="0"/>
              <w:widowControl/>
              <w:wordWrap w:val="0"/>
              <w:overflowPunct/>
              <w:topLinePunct w:val="0"/>
              <w:bidi w:val="0"/>
              <w:adjustRightInd/>
              <w:snapToGrid/>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①企业须对危险废物储运场所张贴警示标识，危险废物包装物张贴警示标签；</w:t>
            </w:r>
          </w:p>
          <w:p w14:paraId="23CB156A">
            <w:pPr>
              <w:pageBreakBefore w:val="0"/>
              <w:widowControl/>
              <w:wordWrap w:val="0"/>
              <w:overflowPunct/>
              <w:topLinePunct w:val="0"/>
              <w:bidi w:val="0"/>
              <w:adjustRightInd/>
              <w:snapToGrid/>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②规范危险废物台账记录、建立危险废物收集及储运有关档案，认真填写《危险废物项目区内转运记录表》，</w:t>
            </w:r>
            <w:r>
              <w:rPr>
                <w:rFonts w:hint="eastAsia" w:ascii="Times New Roman" w:hAnsi="Times New Roman" w:eastAsia="宋体" w:cs="Times New Roman"/>
                <w:color w:val="auto"/>
                <w:kern w:val="0"/>
                <w:sz w:val="24"/>
                <w:highlight w:val="none"/>
                <w:lang w:eastAsia="zh-CN" w:bidi="ar"/>
              </w:rPr>
              <w:t>做好</w:t>
            </w:r>
            <w:r>
              <w:rPr>
                <w:rFonts w:hint="default" w:ascii="Times New Roman" w:hAnsi="Times New Roman" w:eastAsia="宋体" w:cs="Times New Roman"/>
                <w:color w:val="auto"/>
                <w:kern w:val="0"/>
                <w:sz w:val="24"/>
                <w:highlight w:val="none"/>
                <w:lang w:bidi="ar"/>
              </w:rPr>
              <w:t>危险废物台账的记录，记录上须注明危险废物的名称、来源、数量、特性和包装容器的类别、入库日期、存放库位、废物出库日期及接收单位名称等，并即时存档以备查阅。</w:t>
            </w:r>
          </w:p>
          <w:p w14:paraId="2E38D475">
            <w:pPr>
              <w:pageBreakBefore w:val="0"/>
              <w:widowControl/>
              <w:wordWrap w:val="0"/>
              <w:overflowPunct/>
              <w:topLinePunct w:val="0"/>
              <w:bidi w:val="0"/>
              <w:adjustRightInd/>
              <w:snapToGrid/>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（3）危险废物存储和管理的相关要求。</w:t>
            </w:r>
          </w:p>
          <w:p w14:paraId="1728D21A">
            <w:pPr>
              <w:pageBreakBefore w:val="0"/>
              <w:widowControl/>
              <w:wordWrap w:val="0"/>
              <w:overflowPunct/>
              <w:topLinePunct w:val="0"/>
              <w:bidi w:val="0"/>
              <w:adjustRightInd/>
              <w:snapToGrid/>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①必须将危险废物装入容器内密封装运，盛装危险废物的容器应当符合标准，材质要满足相应的强度要求且必须完好无损，容器材质和衬里要与危险废物相容（不相互反应）；</w:t>
            </w:r>
          </w:p>
          <w:p w14:paraId="46E9331B">
            <w:pPr>
              <w:keepNext w:val="0"/>
              <w:keepLines w:val="0"/>
              <w:pageBreakBefore w:val="0"/>
              <w:widowControl/>
              <w:kinsoku w:val="0"/>
              <w:wordWrap w:val="0"/>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②危险废物转移过程严格落实《危险废物转移管理办法》的相关规定，规范危险废物转移，做好每次外运处置废物的运输登记。</w:t>
            </w:r>
          </w:p>
          <w:p w14:paraId="4962EBD9">
            <w:pPr>
              <w:keepNext w:val="0"/>
              <w:keepLines w:val="0"/>
              <w:pageBreakBefore w:val="0"/>
              <w:widowControl/>
              <w:kinsoku w:val="0"/>
              <w:wordWrap w:val="0"/>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b/>
                <w:bCs/>
                <w:color w:val="auto"/>
                <w:kern w:val="2"/>
                <w:sz w:val="24"/>
                <w:highlight w:val="none"/>
              </w:rPr>
            </w:pPr>
            <w:r>
              <w:rPr>
                <w:rFonts w:hint="default" w:ascii="Times New Roman" w:hAnsi="Times New Roman" w:eastAsia="宋体" w:cs="Times New Roman"/>
                <w:color w:val="auto"/>
                <w:kern w:val="0"/>
                <w:sz w:val="24"/>
                <w:highlight w:val="none"/>
                <w:lang w:bidi="ar"/>
              </w:rPr>
              <w:t>项目固体废物处置符合《一般工业固体废物贮存和填埋污染控制标准》（GB18599--2020）、《危险废物贮存污染控制标准》（GB18597-2023）中相关要求，各固体废物均能得到妥善解决，对周围环境影响较小。</w:t>
            </w:r>
          </w:p>
          <w:p w14:paraId="6052B2C5">
            <w:pPr>
              <w:pStyle w:val="58"/>
              <w:keepNext w:val="0"/>
              <w:keepLines w:val="0"/>
              <w:pageBreakBefore w:val="0"/>
              <w:widowControl/>
              <w:kinsoku w:val="0"/>
              <w:wordWrap/>
              <w:overflowPunct/>
              <w:topLinePunct w:val="0"/>
              <w:autoSpaceDE w:val="0"/>
              <w:autoSpaceDN w:val="0"/>
              <w:bidi w:val="0"/>
              <w:adjustRightInd/>
              <w:snapToGrid/>
              <w:spacing w:before="0" w:line="360" w:lineRule="auto"/>
              <w:ind w:firstLine="482" w:firstLineChars="200"/>
              <w:textAlignment w:val="baseline"/>
              <w:rPr>
                <w:rFonts w:hint="default" w:ascii="Times New Roman" w:hAnsi="Times New Roman" w:eastAsia="宋体" w:cs="Times New Roman"/>
                <w:b/>
                <w:bCs/>
                <w:color w:val="auto"/>
                <w:kern w:val="2"/>
                <w:sz w:val="24"/>
                <w:highlight w:val="none"/>
              </w:rPr>
            </w:pPr>
            <w:r>
              <w:rPr>
                <w:rFonts w:hint="default" w:ascii="Times New Roman" w:hAnsi="Times New Roman" w:eastAsia="宋体" w:cs="Times New Roman"/>
                <w:b/>
                <w:bCs/>
                <w:color w:val="auto"/>
                <w:kern w:val="2"/>
                <w:sz w:val="24"/>
                <w:highlight w:val="none"/>
              </w:rPr>
              <w:t>5、地下水、土壤</w:t>
            </w:r>
          </w:p>
          <w:p w14:paraId="2BD6ACD5">
            <w:pPr>
              <w:keepNext w:val="0"/>
              <w:keepLines w:val="0"/>
              <w:pageBreakBefore w:val="0"/>
              <w:widowControl/>
              <w:tabs>
                <w:tab w:val="left" w:pos="3285"/>
              </w:tabs>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厂区危废暂存间</w:t>
            </w:r>
            <w:r>
              <w:rPr>
                <w:rFonts w:hint="eastAsia" w:ascii="Times New Roman" w:hAnsi="Times New Roman" w:eastAsia="宋体" w:cs="Times New Roman"/>
                <w:color w:val="auto"/>
                <w:sz w:val="24"/>
                <w:highlight w:val="none"/>
                <w:lang w:val="en-US" w:eastAsia="zh-CN"/>
              </w:rPr>
              <w:t>、漆库、喷漆房</w:t>
            </w:r>
            <w:r>
              <w:rPr>
                <w:rFonts w:hint="default" w:ascii="Times New Roman" w:hAnsi="Times New Roman" w:eastAsia="宋体" w:cs="Times New Roman"/>
                <w:color w:val="auto"/>
                <w:sz w:val="24"/>
                <w:highlight w:val="none"/>
                <w:lang w:val="en-US" w:eastAsia="zh-CN"/>
              </w:rPr>
              <w:t>等处若防渗措施不到位，产生的污染物会对地下水和土壤造成污染。</w:t>
            </w:r>
          </w:p>
          <w:p w14:paraId="65B1408B">
            <w:pPr>
              <w:keepNext w:val="0"/>
              <w:keepLines w:val="0"/>
              <w:pageBreakBefore w:val="0"/>
              <w:widowControl/>
              <w:tabs>
                <w:tab w:val="left" w:pos="3285"/>
              </w:tabs>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（1）分区防渗要求</w:t>
            </w:r>
          </w:p>
          <w:p w14:paraId="5C05F42E">
            <w:pPr>
              <w:keepNext w:val="0"/>
              <w:keepLines w:val="0"/>
              <w:pageBreakBefore w:val="0"/>
              <w:widowControl/>
              <w:tabs>
                <w:tab w:val="left" w:pos="3285"/>
              </w:tabs>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重点防渗区如防渗措施不到位，将有可能污染地下水、土壤。</w:t>
            </w:r>
          </w:p>
          <w:p w14:paraId="3EC36C68">
            <w:pPr>
              <w:keepNext w:val="0"/>
              <w:keepLines w:val="0"/>
              <w:pageBreakBefore w:val="0"/>
              <w:widowControl/>
              <w:tabs>
                <w:tab w:val="left" w:pos="3285"/>
              </w:tabs>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项目在建设过程中，</w:t>
            </w:r>
            <w:r>
              <w:rPr>
                <w:rFonts w:hint="eastAsia" w:cs="Times New Roman"/>
                <w:color w:val="auto"/>
                <w:sz w:val="24"/>
                <w:highlight w:val="none"/>
                <w:lang w:val="en-US" w:eastAsia="zh-CN"/>
              </w:rPr>
              <w:t>租赁</w:t>
            </w:r>
            <w:r>
              <w:rPr>
                <w:rFonts w:hint="eastAsia" w:ascii="Times New Roman" w:hAnsi="Times New Roman" w:eastAsia="宋体" w:cs="Times New Roman"/>
                <w:color w:val="auto"/>
                <w:sz w:val="24"/>
                <w:highlight w:val="none"/>
                <w:lang w:val="en-US" w:eastAsia="zh-CN"/>
              </w:rPr>
              <w:t>已建</w:t>
            </w:r>
            <w:r>
              <w:rPr>
                <w:rFonts w:hint="eastAsia" w:cs="Times New Roman"/>
                <w:color w:val="auto"/>
                <w:sz w:val="24"/>
                <w:highlight w:val="none"/>
                <w:lang w:val="en-US" w:eastAsia="zh-CN"/>
              </w:rPr>
              <w:t>厂房，依托已有</w:t>
            </w:r>
            <w:r>
              <w:rPr>
                <w:rFonts w:hint="eastAsia" w:ascii="Times New Roman" w:hAnsi="Times New Roman" w:eastAsia="宋体" w:cs="Times New Roman"/>
                <w:color w:val="auto"/>
                <w:sz w:val="24"/>
                <w:highlight w:val="none"/>
                <w:lang w:val="en-US" w:eastAsia="zh-CN"/>
              </w:rPr>
              <w:t>C30防渗混凝土</w:t>
            </w:r>
            <w:r>
              <w:rPr>
                <w:rFonts w:hint="eastAsia" w:cs="Times New Roman"/>
                <w:color w:val="auto"/>
                <w:sz w:val="24"/>
                <w:highlight w:val="none"/>
                <w:lang w:val="en-US" w:eastAsia="zh-CN"/>
              </w:rPr>
              <w:t>（20cm厚）</w:t>
            </w:r>
            <w:r>
              <w:rPr>
                <w:rFonts w:hint="eastAsia" w:ascii="Times New Roman" w:hAnsi="Times New Roman" w:eastAsia="宋体" w:cs="Times New Roman"/>
                <w:color w:val="auto"/>
                <w:sz w:val="24"/>
                <w:highlight w:val="none"/>
                <w:lang w:val="en-US" w:eastAsia="zh-CN"/>
              </w:rPr>
              <w:t>地面</w:t>
            </w:r>
            <w:r>
              <w:rPr>
                <w:rFonts w:hint="eastAsia" w:cs="Times New Roman"/>
                <w:color w:val="auto"/>
                <w:sz w:val="24"/>
                <w:highlight w:val="none"/>
                <w:lang w:val="en-US" w:eastAsia="zh-CN"/>
              </w:rPr>
              <w:t>，本项目在危废暂存间、化学品库、喷漆房、表面处理区域等增加2</w:t>
            </w:r>
            <w:r>
              <w:rPr>
                <w:rFonts w:hint="default" w:ascii="Times New Roman" w:hAnsi="Times New Roman" w:eastAsia="宋体" w:cs="Times New Roman"/>
                <w:color w:val="auto"/>
                <w:sz w:val="24"/>
                <w:highlight w:val="none"/>
                <w:lang w:val="en-US" w:eastAsia="zh-CN"/>
              </w:rPr>
              <w:t>mm</w:t>
            </w:r>
            <w:r>
              <w:rPr>
                <w:rFonts w:hint="eastAsia" w:cs="Times New Roman"/>
                <w:color w:val="auto"/>
                <w:sz w:val="24"/>
                <w:highlight w:val="none"/>
                <w:lang w:val="en-US" w:eastAsia="zh-CN"/>
              </w:rPr>
              <w:t>厚</w:t>
            </w:r>
            <w:r>
              <w:rPr>
                <w:rFonts w:hint="default" w:ascii="Times New Roman" w:hAnsi="Times New Roman" w:eastAsia="宋体" w:cs="Times New Roman"/>
                <w:color w:val="auto"/>
                <w:sz w:val="24"/>
                <w:highlight w:val="none"/>
                <w:lang w:val="en-US" w:eastAsia="zh-CN"/>
              </w:rPr>
              <w:t>环氧树脂漆</w:t>
            </w:r>
            <w:r>
              <w:rPr>
                <w:rFonts w:hint="eastAsia" w:cs="Times New Roman"/>
                <w:color w:val="auto"/>
                <w:sz w:val="24"/>
                <w:highlight w:val="none"/>
                <w:lang w:val="en-US" w:eastAsia="zh-CN"/>
              </w:rPr>
              <w:t>地面</w:t>
            </w:r>
            <w:r>
              <w:rPr>
                <w:rFonts w:hint="eastAsia" w:ascii="Times New Roman" w:hAnsi="Times New Roman" w:eastAsia="宋体" w:cs="Times New Roman"/>
                <w:color w:val="auto"/>
                <w:sz w:val="24"/>
                <w:highlight w:val="none"/>
                <w:lang w:val="en-US" w:eastAsia="zh-CN"/>
              </w:rPr>
              <w:t>，防渗层渗透系数达到</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10</w:t>
            </w:r>
            <w:r>
              <w:rPr>
                <w:rFonts w:hint="eastAsia" w:ascii="Times New Roman" w:hAnsi="Times New Roman" w:eastAsia="宋体" w:cs="Times New Roman"/>
                <w:color w:val="auto"/>
                <w:sz w:val="24"/>
                <w:highlight w:val="none"/>
                <w:vertAlign w:val="superscript"/>
                <w:lang w:val="en-US" w:eastAsia="zh-CN"/>
              </w:rPr>
              <w:t>-10</w:t>
            </w:r>
            <w:r>
              <w:rPr>
                <w:rFonts w:hint="eastAsia" w:ascii="Times New Roman" w:hAnsi="Times New Roman" w:eastAsia="宋体" w:cs="Times New Roman"/>
                <w:color w:val="auto"/>
                <w:sz w:val="24"/>
                <w:highlight w:val="none"/>
                <w:lang w:val="en-US" w:eastAsia="zh-CN"/>
              </w:rPr>
              <w:t>cm/s</w:t>
            </w:r>
            <w:r>
              <w:rPr>
                <w:rFonts w:hint="eastAsia" w:cs="Times New Roman"/>
                <w:color w:val="auto"/>
                <w:sz w:val="24"/>
                <w:highlight w:val="none"/>
                <w:lang w:val="en-US" w:eastAsia="zh-CN"/>
              </w:rPr>
              <w:t>。</w:t>
            </w:r>
          </w:p>
          <w:p w14:paraId="48C83B13">
            <w:pPr>
              <w:keepNext w:val="0"/>
              <w:keepLines w:val="0"/>
              <w:pageBreakBefore w:val="0"/>
              <w:widowControl/>
              <w:tabs>
                <w:tab w:val="left" w:pos="3285"/>
              </w:tabs>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生产车间划分为一般防渗区</w:t>
            </w:r>
            <w:r>
              <w:rPr>
                <w:rFonts w:hint="eastAsia" w:cs="Times New Roman"/>
                <w:color w:val="auto"/>
                <w:sz w:val="24"/>
                <w:highlight w:val="none"/>
                <w:lang w:val="en-US" w:eastAsia="zh-CN"/>
              </w:rPr>
              <w:t>，一般防渗区依托已建厂房现有</w:t>
            </w:r>
            <w:r>
              <w:rPr>
                <w:rFonts w:hint="default" w:ascii="Times New Roman" w:hAnsi="Times New Roman" w:eastAsia="宋体" w:cs="Times New Roman"/>
                <w:color w:val="auto"/>
                <w:sz w:val="24"/>
                <w:highlight w:val="none"/>
                <w:lang w:val="en-US" w:eastAsia="zh-CN"/>
              </w:rPr>
              <w:t>C30混凝土建设</w:t>
            </w:r>
            <w:r>
              <w:rPr>
                <w:rFonts w:hint="eastAsia" w:cs="Times New Roman"/>
                <w:color w:val="auto"/>
                <w:sz w:val="24"/>
                <w:highlight w:val="none"/>
                <w:lang w:val="en-US" w:eastAsia="zh-CN"/>
              </w:rPr>
              <w:t>的</w:t>
            </w:r>
            <w:r>
              <w:rPr>
                <w:rFonts w:hint="default" w:ascii="Times New Roman" w:hAnsi="Times New Roman" w:eastAsia="宋体" w:cs="Times New Roman"/>
                <w:color w:val="auto"/>
                <w:sz w:val="24"/>
                <w:highlight w:val="none"/>
                <w:lang w:val="en-US" w:eastAsia="zh-CN"/>
              </w:rPr>
              <w:t>20</w:t>
            </w:r>
            <w:r>
              <w:rPr>
                <w:rFonts w:hint="eastAsia" w:cs="Times New Roman"/>
                <w:color w:val="auto"/>
                <w:sz w:val="24"/>
                <w:highlight w:val="none"/>
                <w:lang w:val="en-US" w:eastAsia="zh-CN"/>
              </w:rPr>
              <w:t>c</w:t>
            </w:r>
            <w:r>
              <w:rPr>
                <w:rFonts w:hint="default" w:ascii="Times New Roman" w:hAnsi="Times New Roman" w:eastAsia="宋体" w:cs="Times New Roman"/>
                <w:color w:val="auto"/>
                <w:sz w:val="24"/>
                <w:highlight w:val="none"/>
                <w:lang w:val="en-US" w:eastAsia="zh-CN"/>
              </w:rPr>
              <w:t>m硬化地面，可满足一般防渗要求。</w:t>
            </w:r>
          </w:p>
          <w:p w14:paraId="446E88C7">
            <w:pPr>
              <w:keepNext w:val="0"/>
              <w:keepLines w:val="0"/>
              <w:pageBreakBefore w:val="0"/>
              <w:widowControl/>
              <w:tabs>
                <w:tab w:val="left" w:pos="3285"/>
              </w:tabs>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根据以上分区情况，对本项目场区防渗分区见下表。</w:t>
            </w:r>
          </w:p>
          <w:p w14:paraId="2ED4FB90">
            <w:pPr>
              <w:keepNext w:val="0"/>
              <w:keepLines w:val="0"/>
              <w:pageBreakBefore w:val="0"/>
              <w:wordWrap/>
              <w:overflowPunct/>
              <w:topLinePunct w:val="0"/>
              <w:bidi w:val="0"/>
              <w:adjustRightInd/>
              <w:snapToGrid/>
              <w:jc w:val="center"/>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rPr>
              <w:t>表4-</w:t>
            </w:r>
            <w:r>
              <w:rPr>
                <w:rFonts w:hint="eastAsia" w:ascii="Times New Roman" w:hAnsi="Times New Roman" w:eastAsia="宋体" w:cs="Times New Roman"/>
                <w:b/>
                <w:bCs/>
                <w:color w:val="auto"/>
                <w:sz w:val="24"/>
                <w:szCs w:val="32"/>
                <w:highlight w:val="none"/>
                <w:lang w:val="en-US" w:eastAsia="zh-CN"/>
              </w:rPr>
              <w:t>1</w:t>
            </w:r>
            <w:r>
              <w:rPr>
                <w:rFonts w:hint="eastAsia" w:cs="Times New Roman"/>
                <w:b/>
                <w:bCs/>
                <w:color w:val="auto"/>
                <w:sz w:val="24"/>
                <w:szCs w:val="32"/>
                <w:highlight w:val="none"/>
                <w:lang w:val="en-US" w:eastAsia="zh-CN"/>
              </w:rPr>
              <w:t>8</w:t>
            </w:r>
            <w:r>
              <w:rPr>
                <w:rFonts w:hint="eastAsia" w:ascii="Times New Roman" w:hAnsi="Times New Roman" w:eastAsia="宋体" w:cs="Times New Roman"/>
                <w:b/>
                <w:bCs/>
                <w:color w:val="auto"/>
                <w:sz w:val="24"/>
                <w:szCs w:val="32"/>
                <w:highlight w:val="none"/>
                <w:lang w:val="en-US" w:eastAsia="zh-CN"/>
              </w:rPr>
              <w:t xml:space="preserve"> </w:t>
            </w:r>
            <w:r>
              <w:rPr>
                <w:rFonts w:hint="eastAsia" w:cs="Times New Roman"/>
                <w:b/>
                <w:bCs/>
                <w:color w:val="auto"/>
                <w:sz w:val="24"/>
                <w:szCs w:val="32"/>
                <w:highlight w:val="none"/>
                <w:lang w:val="en-US" w:eastAsia="zh-CN"/>
              </w:rPr>
              <w:t xml:space="preserve"> </w:t>
            </w:r>
            <w:r>
              <w:rPr>
                <w:rFonts w:hint="default" w:ascii="Times New Roman" w:hAnsi="Times New Roman" w:eastAsia="宋体" w:cs="Times New Roman"/>
                <w:b/>
                <w:bCs/>
                <w:color w:val="auto"/>
                <w:sz w:val="24"/>
                <w:szCs w:val="32"/>
                <w:highlight w:val="none"/>
              </w:rPr>
              <w:t>地下水污染防渗分区参照表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126"/>
              <w:gridCol w:w="1171"/>
              <w:gridCol w:w="1377"/>
              <w:gridCol w:w="2894"/>
            </w:tblGrid>
            <w:tr w14:paraId="6797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pct"/>
                  <w:tcBorders>
                    <w:top w:val="single" w:color="auto" w:sz="4" w:space="0"/>
                    <w:left w:val="single" w:color="auto" w:sz="4" w:space="0"/>
                    <w:bottom w:val="single" w:color="auto" w:sz="4" w:space="0"/>
                    <w:right w:val="single" w:color="auto" w:sz="4" w:space="0"/>
                  </w:tcBorders>
                  <w:vAlign w:val="center"/>
                </w:tcPr>
                <w:p w14:paraId="3BC38F37">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场区内</w:t>
                  </w:r>
                </w:p>
                <w:p w14:paraId="585A0AE5">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建构筑物</w:t>
                  </w:r>
                </w:p>
              </w:tc>
              <w:tc>
                <w:tcPr>
                  <w:tcW w:w="695" w:type="pct"/>
                  <w:tcBorders>
                    <w:top w:val="single" w:color="auto" w:sz="4" w:space="0"/>
                    <w:left w:val="single" w:color="auto" w:sz="4" w:space="0"/>
                    <w:bottom w:val="single" w:color="auto" w:sz="4" w:space="0"/>
                    <w:right w:val="single" w:color="auto" w:sz="4" w:space="0"/>
                  </w:tcBorders>
                  <w:vAlign w:val="center"/>
                </w:tcPr>
                <w:p w14:paraId="1160CBD6">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污染控制难易程度</w:t>
                  </w:r>
                </w:p>
              </w:tc>
              <w:tc>
                <w:tcPr>
                  <w:tcW w:w="723" w:type="pct"/>
                  <w:tcBorders>
                    <w:top w:val="single" w:color="auto" w:sz="4" w:space="0"/>
                    <w:left w:val="single" w:color="auto" w:sz="4" w:space="0"/>
                    <w:bottom w:val="single" w:color="auto" w:sz="4" w:space="0"/>
                    <w:right w:val="single" w:color="auto" w:sz="4" w:space="0"/>
                  </w:tcBorders>
                  <w:vAlign w:val="center"/>
                </w:tcPr>
                <w:p w14:paraId="49787FA6">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污染物</w:t>
                  </w:r>
                </w:p>
                <w:p w14:paraId="2EC5D1E8">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类型</w:t>
                  </w:r>
                </w:p>
              </w:tc>
              <w:tc>
                <w:tcPr>
                  <w:tcW w:w="850" w:type="pct"/>
                  <w:tcBorders>
                    <w:top w:val="single" w:color="auto" w:sz="4" w:space="0"/>
                    <w:left w:val="single" w:color="auto" w:sz="4" w:space="0"/>
                    <w:bottom w:val="single" w:color="auto" w:sz="4" w:space="0"/>
                    <w:right w:val="single" w:color="auto" w:sz="4" w:space="0"/>
                  </w:tcBorders>
                  <w:vAlign w:val="center"/>
                </w:tcPr>
                <w:p w14:paraId="76127982">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防渗分区</w:t>
                  </w:r>
                </w:p>
              </w:tc>
              <w:tc>
                <w:tcPr>
                  <w:tcW w:w="1786" w:type="pct"/>
                  <w:tcBorders>
                    <w:top w:val="single" w:color="auto" w:sz="4" w:space="0"/>
                    <w:left w:val="single" w:color="auto" w:sz="4" w:space="0"/>
                    <w:bottom w:val="single" w:color="auto" w:sz="4" w:space="0"/>
                    <w:right w:val="single" w:color="auto" w:sz="4" w:space="0"/>
                  </w:tcBorders>
                  <w:vAlign w:val="center"/>
                </w:tcPr>
                <w:p w14:paraId="3DCC7453">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防渗技术要求</w:t>
                  </w:r>
                </w:p>
              </w:tc>
            </w:tr>
            <w:tr w14:paraId="11AB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944" w:type="pct"/>
                  <w:tcBorders>
                    <w:top w:val="single" w:color="auto" w:sz="4" w:space="0"/>
                    <w:left w:val="single" w:color="auto" w:sz="4" w:space="0"/>
                    <w:bottom w:val="single" w:color="auto" w:sz="4" w:space="0"/>
                    <w:right w:val="single" w:color="auto" w:sz="4" w:space="0"/>
                  </w:tcBorders>
                  <w:vAlign w:val="center"/>
                </w:tcPr>
                <w:p w14:paraId="38BC6B6D">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危废暂存间</w:t>
                  </w:r>
                  <w:r>
                    <w:rPr>
                      <w:rFonts w:hint="eastAsia" w:ascii="Times New Roman" w:hAnsi="Times New Roman" w:eastAsia="宋体" w:cs="Times New Roman"/>
                      <w:color w:val="auto"/>
                      <w:szCs w:val="21"/>
                      <w:highlight w:val="none"/>
                      <w:lang w:eastAsia="zh-CN"/>
                    </w:rPr>
                    <w:t>、</w:t>
                  </w:r>
                  <w:r>
                    <w:rPr>
                      <w:rFonts w:hint="eastAsia" w:cs="Times New Roman"/>
                      <w:color w:val="auto"/>
                      <w:szCs w:val="21"/>
                      <w:highlight w:val="none"/>
                      <w:lang w:val="en-US" w:eastAsia="zh-CN"/>
                    </w:rPr>
                    <w:t>化学品库、喷塑房、固化房</w:t>
                  </w:r>
                  <w:r>
                    <w:rPr>
                      <w:rFonts w:hint="eastAsia" w:ascii="Times New Roman" w:hAnsi="Times New Roman" w:eastAsia="宋体" w:cs="Times New Roman"/>
                      <w:color w:val="auto"/>
                      <w:szCs w:val="21"/>
                      <w:highlight w:val="none"/>
                      <w:lang w:val="en-US" w:eastAsia="zh-CN"/>
                    </w:rPr>
                    <w:t>喷漆房</w:t>
                  </w:r>
                  <w:r>
                    <w:rPr>
                      <w:rFonts w:hint="eastAsia" w:cs="Times New Roman"/>
                      <w:color w:val="auto"/>
                      <w:szCs w:val="21"/>
                      <w:highlight w:val="none"/>
                      <w:lang w:val="en-US" w:eastAsia="zh-CN"/>
                    </w:rPr>
                    <w:t>、表面处理区域、事故池</w:t>
                  </w:r>
                </w:p>
              </w:tc>
              <w:tc>
                <w:tcPr>
                  <w:tcW w:w="695" w:type="pct"/>
                  <w:tcBorders>
                    <w:top w:val="single" w:color="auto" w:sz="4" w:space="0"/>
                    <w:left w:val="single" w:color="auto" w:sz="4" w:space="0"/>
                    <w:bottom w:val="single" w:color="auto" w:sz="4" w:space="0"/>
                    <w:right w:val="single" w:color="auto" w:sz="4" w:space="0"/>
                  </w:tcBorders>
                  <w:vAlign w:val="center"/>
                </w:tcPr>
                <w:p w14:paraId="2F72122F">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难</w:t>
                  </w:r>
                </w:p>
              </w:tc>
              <w:tc>
                <w:tcPr>
                  <w:tcW w:w="723" w:type="pct"/>
                  <w:tcBorders>
                    <w:top w:val="single" w:color="auto" w:sz="4" w:space="0"/>
                    <w:left w:val="single" w:color="auto" w:sz="4" w:space="0"/>
                    <w:bottom w:val="single" w:color="auto" w:sz="4" w:space="0"/>
                    <w:right w:val="single" w:color="auto" w:sz="4" w:space="0"/>
                  </w:tcBorders>
                  <w:vAlign w:val="center"/>
                </w:tcPr>
                <w:p w14:paraId="463069E5">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其他类型</w:t>
                  </w:r>
                </w:p>
              </w:tc>
              <w:tc>
                <w:tcPr>
                  <w:tcW w:w="850" w:type="pct"/>
                  <w:tcBorders>
                    <w:top w:val="single" w:color="auto" w:sz="4" w:space="0"/>
                    <w:left w:val="single" w:color="auto" w:sz="4" w:space="0"/>
                    <w:bottom w:val="single" w:color="auto" w:sz="4" w:space="0"/>
                    <w:right w:val="single" w:color="auto" w:sz="4" w:space="0"/>
                  </w:tcBorders>
                  <w:vAlign w:val="center"/>
                </w:tcPr>
                <w:p w14:paraId="4A5B4158">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重点防渗区</w:t>
                  </w:r>
                </w:p>
              </w:tc>
              <w:tc>
                <w:tcPr>
                  <w:tcW w:w="1786" w:type="pct"/>
                  <w:tcBorders>
                    <w:top w:val="single" w:color="auto" w:sz="4" w:space="0"/>
                    <w:left w:val="single" w:color="auto" w:sz="4" w:space="0"/>
                    <w:bottom w:val="single" w:color="auto" w:sz="4" w:space="0"/>
                    <w:right w:val="single" w:color="auto" w:sz="4" w:space="0"/>
                  </w:tcBorders>
                  <w:vAlign w:val="center"/>
                </w:tcPr>
                <w:p w14:paraId="29E6ADED">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szCs w:val="21"/>
                      <w:highlight w:val="none"/>
                    </w:rPr>
                  </w:pPr>
                  <w:r>
                    <w:rPr>
                      <w:rFonts w:hint="default" w:ascii="Times New Roman" w:hAnsi="Times New Roman" w:cs="Times New Roman"/>
                      <w:color w:val="auto"/>
                      <w:highlight w:val="none"/>
                      <w:lang w:val="en-US" w:eastAsia="zh-CN"/>
                    </w:rPr>
                    <w:t>依托原有已建C30防渗混凝土地面</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mm环氧树脂</w:t>
                  </w:r>
                  <w:r>
                    <w:rPr>
                      <w:rFonts w:hint="eastAsia" w:ascii="Times New Roman" w:hAnsi="Times New Roman" w:cs="Times New Roman"/>
                      <w:b w:val="0"/>
                      <w:bCs w:val="0"/>
                      <w:color w:val="auto"/>
                      <w:sz w:val="21"/>
                      <w:szCs w:val="21"/>
                      <w:highlight w:val="none"/>
                      <w:lang w:val="en-US" w:eastAsia="zh-CN"/>
                    </w:rPr>
                    <w:t>地坪</w:t>
                  </w:r>
                  <w:r>
                    <w:rPr>
                      <w:rFonts w:hint="default" w:ascii="Times New Roman" w:hAnsi="Times New Roman" w:eastAsia="宋体" w:cs="Times New Roman"/>
                      <w:b w:val="0"/>
                      <w:bCs w:val="0"/>
                      <w:color w:val="auto"/>
                      <w:sz w:val="21"/>
                      <w:szCs w:val="21"/>
                      <w:highlight w:val="none"/>
                      <w:lang w:val="en-US" w:eastAsia="zh-CN"/>
                    </w:rPr>
                    <w:t>漆，</w:t>
                  </w:r>
                  <w:r>
                    <w:rPr>
                      <w:rFonts w:hint="default" w:ascii="Times New Roman" w:hAnsi="Times New Roman" w:eastAsia="宋体" w:cs="Times New Roman"/>
                      <w:b w:val="0"/>
                      <w:bCs w:val="0"/>
                      <w:snapToGrid/>
                      <w:color w:val="auto"/>
                      <w:spacing w:val="0"/>
                      <w:kern w:val="0"/>
                      <w:position w:val="0"/>
                      <w:sz w:val="21"/>
                      <w:szCs w:val="21"/>
                      <w:highlight w:val="none"/>
                      <w:lang w:val="en-US" w:eastAsia="zh-CN"/>
                    </w:rPr>
                    <w:t>防渗层渗透系数达到</w:t>
                  </w:r>
                  <w:r>
                    <w:rPr>
                      <w:rFonts w:hint="default" w:ascii="Times New Roman" w:hAnsi="Times New Roman" w:eastAsia="宋体" w:cs="Times New Roman"/>
                      <w:color w:val="auto"/>
                      <w:highlight w:val="none"/>
                    </w:rPr>
                    <w:t>≤</w:t>
                  </w:r>
                  <w:r>
                    <w:rPr>
                      <w:rFonts w:hint="default" w:ascii="Times New Roman" w:hAnsi="Times New Roman" w:eastAsia="宋体" w:cs="Times New Roman"/>
                      <w:b w:val="0"/>
                      <w:bCs w:val="0"/>
                      <w:snapToGrid/>
                      <w:color w:val="auto"/>
                      <w:spacing w:val="0"/>
                      <w:kern w:val="0"/>
                      <w:position w:val="0"/>
                      <w:sz w:val="21"/>
                      <w:szCs w:val="21"/>
                      <w:highlight w:val="none"/>
                      <w:lang w:val="en-US" w:eastAsia="zh-CN"/>
                    </w:rPr>
                    <w:t>1.0×10</w:t>
                  </w:r>
                  <w:r>
                    <w:rPr>
                      <w:rFonts w:hint="default" w:ascii="Times New Roman" w:hAnsi="Times New Roman" w:eastAsia="宋体" w:cs="Times New Roman"/>
                      <w:b w:val="0"/>
                      <w:bCs w:val="0"/>
                      <w:snapToGrid/>
                      <w:color w:val="auto"/>
                      <w:spacing w:val="0"/>
                      <w:kern w:val="0"/>
                      <w:position w:val="0"/>
                      <w:sz w:val="21"/>
                      <w:szCs w:val="21"/>
                      <w:highlight w:val="none"/>
                      <w:vertAlign w:val="superscript"/>
                      <w:lang w:val="en-US" w:eastAsia="zh-CN"/>
                    </w:rPr>
                    <w:t>-</w:t>
                  </w:r>
                  <w:r>
                    <w:rPr>
                      <w:rFonts w:hint="default" w:ascii="Times New Roman" w:hAnsi="Times New Roman" w:cs="Times New Roman"/>
                      <w:b w:val="0"/>
                      <w:bCs w:val="0"/>
                      <w:snapToGrid/>
                      <w:color w:val="auto"/>
                      <w:spacing w:val="0"/>
                      <w:kern w:val="0"/>
                      <w:position w:val="0"/>
                      <w:sz w:val="21"/>
                      <w:szCs w:val="21"/>
                      <w:highlight w:val="none"/>
                      <w:vertAlign w:val="superscript"/>
                      <w:lang w:val="en-US" w:eastAsia="zh-CN"/>
                    </w:rPr>
                    <w:t>10</w:t>
                  </w:r>
                  <w:r>
                    <w:rPr>
                      <w:rFonts w:hint="default" w:ascii="Times New Roman" w:hAnsi="Times New Roman" w:eastAsia="宋体" w:cs="Times New Roman"/>
                      <w:b w:val="0"/>
                      <w:bCs w:val="0"/>
                      <w:snapToGrid/>
                      <w:color w:val="auto"/>
                      <w:spacing w:val="0"/>
                      <w:kern w:val="0"/>
                      <w:position w:val="0"/>
                      <w:sz w:val="21"/>
                      <w:szCs w:val="21"/>
                      <w:highlight w:val="none"/>
                      <w:lang w:val="en-US" w:eastAsia="zh-CN"/>
                    </w:rPr>
                    <w:t>cm/s</w:t>
                  </w:r>
                  <w:r>
                    <w:rPr>
                      <w:rFonts w:hint="eastAsia" w:ascii="Times New Roman" w:cs="Times New Roman"/>
                      <w:b w:val="0"/>
                      <w:bCs w:val="0"/>
                      <w:snapToGrid/>
                      <w:color w:val="auto"/>
                      <w:spacing w:val="0"/>
                      <w:kern w:val="0"/>
                      <w:position w:val="0"/>
                      <w:sz w:val="21"/>
                      <w:szCs w:val="21"/>
                      <w:highlight w:val="none"/>
                      <w:lang w:val="en-US" w:eastAsia="zh-CN"/>
                    </w:rPr>
                    <w:t>。</w:t>
                  </w:r>
                </w:p>
              </w:tc>
            </w:tr>
            <w:tr w14:paraId="63F3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pct"/>
                  <w:tcBorders>
                    <w:top w:val="single" w:color="auto" w:sz="4" w:space="0"/>
                    <w:left w:val="single" w:color="auto" w:sz="4" w:space="0"/>
                    <w:bottom w:val="single" w:color="auto" w:sz="4" w:space="0"/>
                    <w:right w:val="single" w:color="auto" w:sz="4" w:space="0"/>
                  </w:tcBorders>
                  <w:vAlign w:val="center"/>
                </w:tcPr>
                <w:p w14:paraId="70A6A403">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生产车间</w:t>
                  </w:r>
                </w:p>
              </w:tc>
              <w:tc>
                <w:tcPr>
                  <w:tcW w:w="695" w:type="pct"/>
                  <w:tcBorders>
                    <w:top w:val="single" w:color="auto" w:sz="4" w:space="0"/>
                    <w:left w:val="single" w:color="auto" w:sz="4" w:space="0"/>
                    <w:bottom w:val="single" w:color="auto" w:sz="4" w:space="0"/>
                    <w:right w:val="single" w:color="auto" w:sz="4" w:space="0"/>
                  </w:tcBorders>
                  <w:vAlign w:val="center"/>
                </w:tcPr>
                <w:p w14:paraId="43EEF8E8">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难</w:t>
                  </w:r>
                </w:p>
              </w:tc>
              <w:tc>
                <w:tcPr>
                  <w:tcW w:w="723" w:type="pct"/>
                  <w:tcBorders>
                    <w:top w:val="single" w:color="auto" w:sz="4" w:space="0"/>
                    <w:left w:val="single" w:color="auto" w:sz="4" w:space="0"/>
                    <w:bottom w:val="single" w:color="auto" w:sz="4" w:space="0"/>
                    <w:right w:val="single" w:color="auto" w:sz="4" w:space="0"/>
                  </w:tcBorders>
                  <w:vAlign w:val="center"/>
                </w:tcPr>
                <w:p w14:paraId="41CFB2D3">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其他类型</w:t>
                  </w:r>
                </w:p>
              </w:tc>
              <w:tc>
                <w:tcPr>
                  <w:tcW w:w="850" w:type="pct"/>
                  <w:tcBorders>
                    <w:top w:val="single" w:color="auto" w:sz="4" w:space="0"/>
                    <w:left w:val="single" w:color="auto" w:sz="4" w:space="0"/>
                    <w:bottom w:val="single" w:color="auto" w:sz="4" w:space="0"/>
                    <w:right w:val="single" w:color="auto" w:sz="4" w:space="0"/>
                  </w:tcBorders>
                  <w:vAlign w:val="center"/>
                </w:tcPr>
                <w:p w14:paraId="580C1A9F">
                  <w:pPr>
                    <w:pStyle w:val="70"/>
                    <w:keepNext w:val="0"/>
                    <w:keepLines w:val="0"/>
                    <w:pageBreakBefore w:val="0"/>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一般防渗区</w:t>
                  </w:r>
                </w:p>
              </w:tc>
              <w:tc>
                <w:tcPr>
                  <w:tcW w:w="1786" w:type="pct"/>
                  <w:tcBorders>
                    <w:top w:val="single" w:color="auto" w:sz="4" w:space="0"/>
                    <w:left w:val="single" w:color="auto" w:sz="4" w:space="0"/>
                    <w:bottom w:val="single" w:color="auto" w:sz="4" w:space="0"/>
                    <w:right w:val="single" w:color="auto" w:sz="4" w:space="0"/>
                  </w:tcBorders>
                  <w:vAlign w:val="center"/>
                </w:tcPr>
                <w:p w14:paraId="63663B0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szCs w:val="21"/>
                      <w:highlight w:val="none"/>
                    </w:rPr>
                  </w:pPr>
                  <w:r>
                    <w:rPr>
                      <w:rFonts w:hint="default" w:ascii="Times New Roman" w:hAnsi="Times New Roman" w:eastAsia="宋体" w:cs="Times New Roman"/>
                      <w:color w:val="auto"/>
                      <w:highlight w:val="none"/>
                    </w:rPr>
                    <w:t>依托原有，现厂区车间使用C30混凝土建设20cm硬化地面，可满足一般防渗要求。</w:t>
                  </w:r>
                </w:p>
              </w:tc>
            </w:tr>
          </w:tbl>
          <w:p w14:paraId="51AFD253">
            <w:pPr>
              <w:pStyle w:val="58"/>
              <w:keepNext w:val="0"/>
              <w:keepLines w:val="0"/>
              <w:pageBreakBefore w:val="0"/>
              <w:widowControl/>
              <w:kinsoku w:val="0"/>
              <w:wordWrap/>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b/>
                <w:bCs/>
                <w:color w:val="auto"/>
                <w:kern w:val="2"/>
                <w:sz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bidi="ar-SA"/>
              </w:rPr>
              <w:t>（2）</w:t>
            </w:r>
            <w:r>
              <w:rPr>
                <w:rFonts w:hint="default" w:ascii="Times New Roman" w:hAnsi="Times New Roman" w:eastAsia="宋体" w:cs="Times New Roman"/>
                <w:snapToGrid w:val="0"/>
                <w:color w:val="auto"/>
                <w:sz w:val="24"/>
                <w:szCs w:val="21"/>
                <w:highlight w:val="none"/>
                <w:lang w:val="en-US" w:eastAsia="zh-CN" w:bidi="ar-SA"/>
              </w:rPr>
              <w:t>地下水和土壤污染防治措施可行性分析</w:t>
            </w:r>
          </w:p>
          <w:p w14:paraId="50A32334">
            <w:pPr>
              <w:pStyle w:val="58"/>
              <w:keepNext w:val="0"/>
              <w:keepLines w:val="0"/>
              <w:pageBreakBefore w:val="0"/>
              <w:widowControl/>
              <w:kinsoku w:val="0"/>
              <w:wordWrap/>
              <w:overflowPunct/>
              <w:topLinePunct w:val="0"/>
              <w:autoSpaceDE w:val="0"/>
              <w:autoSpaceDN w:val="0"/>
              <w:bidi w:val="0"/>
              <w:adjustRightInd/>
              <w:snapToGrid/>
              <w:spacing w:before="0" w:line="360" w:lineRule="auto"/>
              <w:ind w:firstLine="480" w:firstLineChars="200"/>
              <w:textAlignment w:val="baseline"/>
              <w:rPr>
                <w:rFonts w:hint="eastAsia"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本项目</w:t>
            </w:r>
            <w:r>
              <w:rPr>
                <w:rFonts w:hint="eastAsia" w:ascii="Times New Roman" w:hAnsi="Times New Roman" w:cs="Times New Roman"/>
                <w:b w:val="0"/>
                <w:bCs w:val="0"/>
                <w:color w:val="auto"/>
                <w:kern w:val="2"/>
                <w:sz w:val="24"/>
                <w:highlight w:val="none"/>
                <w:lang w:val="en-US" w:eastAsia="zh-CN"/>
              </w:rPr>
              <w:t>租赁</w:t>
            </w:r>
            <w:r>
              <w:rPr>
                <w:rFonts w:hint="eastAsia" w:cs="Times New Roman"/>
                <w:color w:val="auto"/>
                <w:sz w:val="24"/>
                <w:szCs w:val="24"/>
                <w:highlight w:val="none"/>
                <w:lang w:val="en-US" w:eastAsia="zh-CN"/>
              </w:rPr>
              <w:t>安徽宏冉科技有限公司已建厂房</w:t>
            </w:r>
            <w:r>
              <w:rPr>
                <w:rFonts w:hint="eastAsia" w:ascii="Times New Roman" w:hAnsi="Times New Roman" w:eastAsia="宋体" w:cs="Times New Roman"/>
                <w:b w:val="0"/>
                <w:bCs w:val="0"/>
                <w:color w:val="auto"/>
                <w:kern w:val="2"/>
                <w:sz w:val="24"/>
                <w:highlight w:val="none"/>
                <w:lang w:val="en-US" w:eastAsia="zh-CN"/>
              </w:rPr>
              <w:t>，经现场勘探，现厂区车间使用C30混凝土建设20cm硬化地面，满足车间内一般防渗要求。</w:t>
            </w:r>
          </w:p>
          <w:p w14:paraId="6350E6ED">
            <w:pPr>
              <w:pStyle w:val="58"/>
              <w:keepNext w:val="0"/>
              <w:keepLines w:val="0"/>
              <w:pageBreakBefore w:val="0"/>
              <w:widowControl/>
              <w:kinsoku w:val="0"/>
              <w:wordWrap/>
              <w:overflowPunct/>
              <w:topLinePunct w:val="0"/>
              <w:autoSpaceDE w:val="0"/>
              <w:autoSpaceDN w:val="0"/>
              <w:bidi w:val="0"/>
              <w:adjustRightInd/>
              <w:snapToGrid/>
              <w:spacing w:before="0" w:line="360" w:lineRule="auto"/>
              <w:ind w:firstLine="480" w:firstLineChars="200"/>
              <w:textAlignment w:val="baseline"/>
              <w:rPr>
                <w:rFonts w:hint="eastAsia"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根据本项目生产工艺，原辅材料使用等情况分析，拟建项目在危险废物暂存间、漆库、喷漆房设置重点防渗，防渗层设置</w:t>
            </w:r>
            <w:r>
              <w:rPr>
                <w:rFonts w:hint="eastAsia" w:ascii="Times New Roman" w:hAnsi="Times New Roman" w:cs="Times New Roman"/>
                <w:b w:val="0"/>
                <w:bCs w:val="0"/>
                <w:color w:val="auto"/>
                <w:kern w:val="2"/>
                <w:sz w:val="24"/>
                <w:highlight w:val="none"/>
                <w:lang w:val="en-US" w:eastAsia="zh-CN"/>
              </w:rPr>
              <w:t>2</w:t>
            </w:r>
            <w:r>
              <w:rPr>
                <w:rFonts w:hint="eastAsia" w:ascii="Times New Roman" w:hAnsi="Times New Roman" w:eastAsia="宋体" w:cs="Times New Roman"/>
                <w:b w:val="0"/>
                <w:bCs w:val="0"/>
                <w:color w:val="auto"/>
                <w:kern w:val="2"/>
                <w:sz w:val="24"/>
                <w:highlight w:val="none"/>
                <w:lang w:val="en-US" w:eastAsia="zh-CN"/>
              </w:rPr>
              <w:t>mm厚</w:t>
            </w:r>
            <w:r>
              <w:rPr>
                <w:rFonts w:hint="default" w:ascii="Times New Roman" w:hAnsi="Times New Roman" w:eastAsia="宋体" w:cs="Times New Roman"/>
                <w:b w:val="0"/>
                <w:bCs w:val="0"/>
                <w:color w:val="auto"/>
                <w:kern w:val="2"/>
                <w:sz w:val="24"/>
                <w:highlight w:val="none"/>
                <w:lang w:val="en-US" w:eastAsia="zh-CN"/>
              </w:rPr>
              <w:t>环氧树脂</w:t>
            </w:r>
            <w:r>
              <w:rPr>
                <w:rFonts w:hint="eastAsia" w:ascii="Times New Roman" w:hAnsi="Times New Roman" w:eastAsia="宋体" w:cs="Times New Roman"/>
                <w:b w:val="0"/>
                <w:bCs w:val="0"/>
                <w:color w:val="auto"/>
                <w:kern w:val="2"/>
                <w:sz w:val="24"/>
                <w:highlight w:val="none"/>
                <w:lang w:val="en-US" w:eastAsia="zh-CN"/>
              </w:rPr>
              <w:t>地坪</w:t>
            </w:r>
            <w:r>
              <w:rPr>
                <w:rFonts w:hint="default" w:ascii="Times New Roman" w:hAnsi="Times New Roman" w:eastAsia="宋体" w:cs="Times New Roman"/>
                <w:b w:val="0"/>
                <w:bCs w:val="0"/>
                <w:color w:val="auto"/>
                <w:kern w:val="2"/>
                <w:sz w:val="24"/>
                <w:highlight w:val="none"/>
                <w:lang w:val="en-US" w:eastAsia="zh-CN"/>
              </w:rPr>
              <w:t>漆</w:t>
            </w:r>
            <w:r>
              <w:rPr>
                <w:rFonts w:hint="eastAsia" w:ascii="Times New Roman" w:hAnsi="Times New Roman" w:eastAsia="宋体" w:cs="Times New Roman"/>
                <w:b w:val="0"/>
                <w:bCs w:val="0"/>
                <w:color w:val="auto"/>
                <w:kern w:val="2"/>
                <w:sz w:val="24"/>
                <w:highlight w:val="none"/>
                <w:lang w:val="en-US" w:eastAsia="zh-CN"/>
              </w:rPr>
              <w:t>，满足重点防渗要求。</w:t>
            </w:r>
          </w:p>
          <w:p w14:paraId="74DE7DA6">
            <w:pPr>
              <w:pStyle w:val="58"/>
              <w:keepNext w:val="0"/>
              <w:keepLines w:val="0"/>
              <w:pageBreakBefore w:val="0"/>
              <w:widowControl/>
              <w:numPr>
                <w:ilvl w:val="0"/>
                <w:numId w:val="5"/>
              </w:numPr>
              <w:kinsoku w:val="0"/>
              <w:wordWrap/>
              <w:overflowPunct/>
              <w:topLinePunct w:val="0"/>
              <w:autoSpaceDE w:val="0"/>
              <w:autoSpaceDN w:val="0"/>
              <w:bidi w:val="0"/>
              <w:adjustRightInd/>
              <w:snapToGrid/>
              <w:spacing w:before="0" w:line="360" w:lineRule="auto"/>
              <w:ind w:firstLine="480" w:firstLineChars="200"/>
              <w:textAlignment w:val="baseline"/>
              <w:rPr>
                <w:rFonts w:hint="eastAsia"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防治措施</w:t>
            </w:r>
          </w:p>
          <w:p w14:paraId="044E75BB">
            <w:pPr>
              <w:pStyle w:val="58"/>
              <w:keepNext w:val="0"/>
              <w:keepLines w:val="0"/>
              <w:pageBreakBefore w:val="0"/>
              <w:widowControl/>
              <w:numPr>
                <w:ilvl w:val="0"/>
                <w:numId w:val="0"/>
              </w:numPr>
              <w:kinsoku w:val="0"/>
              <w:wordWrap/>
              <w:overflowPunct/>
              <w:topLinePunct w:val="0"/>
              <w:autoSpaceDE w:val="0"/>
              <w:autoSpaceDN w:val="0"/>
              <w:bidi w:val="0"/>
              <w:adjustRightInd/>
              <w:snapToGrid/>
              <w:spacing w:before="0" w:line="360" w:lineRule="auto"/>
              <w:ind w:firstLine="480" w:firstLineChars="200"/>
              <w:textAlignment w:val="baseline"/>
              <w:rPr>
                <w:rFonts w:hint="eastAsia"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为有效保护项目所在地地下水及土壤环境，杜绝因项目建设造成地下水及土壤污染，本项目考虑从源头控制角度，按照分区防控要求制定相应的防控措施。具体源头控制措施如下：</w:t>
            </w:r>
          </w:p>
          <w:p w14:paraId="391466B8">
            <w:pPr>
              <w:pStyle w:val="58"/>
              <w:keepNext w:val="0"/>
              <w:keepLines w:val="0"/>
              <w:pageBreakBefore w:val="0"/>
              <w:widowControl/>
              <w:numPr>
                <w:ilvl w:val="0"/>
                <w:numId w:val="0"/>
              </w:numPr>
              <w:kinsoku w:val="0"/>
              <w:wordWrap/>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①从原料的储存、装卸、运输、生产过程、污染处理装置等全过程控制各种有毒有害原辅材料（含跑、冒、滴、漏），同时对有害物质可能泄漏的地面的区域采取防渗措施，防止进入土壤中。</w:t>
            </w:r>
          </w:p>
          <w:p w14:paraId="69D7E2E3">
            <w:pPr>
              <w:pStyle w:val="58"/>
              <w:keepNext w:val="0"/>
              <w:keepLines w:val="0"/>
              <w:pageBreakBefore w:val="0"/>
              <w:widowControl/>
              <w:numPr>
                <w:ilvl w:val="0"/>
                <w:numId w:val="0"/>
              </w:numPr>
              <w:kinsoku w:val="0"/>
              <w:wordWrap/>
              <w:overflowPunct/>
              <w:topLinePunct w:val="0"/>
              <w:autoSpaceDE w:val="0"/>
              <w:autoSpaceDN w:val="0"/>
              <w:bidi w:val="0"/>
              <w:adjustRightInd/>
              <w:snapToGrid/>
              <w:spacing w:before="0" w:line="360" w:lineRule="auto"/>
              <w:ind w:firstLine="480" w:firstLineChars="200"/>
              <w:textAlignment w:val="baseline"/>
              <w:rPr>
                <w:rFonts w:hint="eastAsia"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②堆放各种原辅材料、固体废物的堆放场地应按照国家相关规范要求，采取防泄漏措施。</w:t>
            </w:r>
          </w:p>
          <w:p w14:paraId="1E48F858">
            <w:pPr>
              <w:pStyle w:val="58"/>
              <w:keepNext w:val="0"/>
              <w:keepLines w:val="0"/>
              <w:pageBreakBefore w:val="0"/>
              <w:widowControl/>
              <w:numPr>
                <w:ilvl w:val="0"/>
                <w:numId w:val="0"/>
              </w:numPr>
              <w:kinsoku w:val="0"/>
              <w:wordWrap/>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③严格固体废物管理，不接触外界降水，使其不产生淋滤液，严防污染物泄漏到地下水中。</w:t>
            </w:r>
          </w:p>
          <w:p w14:paraId="73749457">
            <w:pPr>
              <w:pStyle w:val="58"/>
              <w:pageBreakBefore w:val="0"/>
              <w:overflowPunct/>
              <w:topLinePunct w:val="0"/>
              <w:bidi w:val="0"/>
              <w:adjustRightInd/>
              <w:snapToGrid/>
              <w:spacing w:before="0" w:line="360" w:lineRule="auto"/>
              <w:ind w:firstLine="482" w:firstLineChars="200"/>
              <w:rPr>
                <w:rFonts w:hint="default" w:ascii="Times New Roman" w:hAnsi="Times New Roman" w:eastAsia="宋体" w:cs="Times New Roman"/>
                <w:b/>
                <w:bCs/>
                <w:color w:val="auto"/>
                <w:kern w:val="2"/>
                <w:sz w:val="24"/>
                <w:highlight w:val="none"/>
              </w:rPr>
            </w:pPr>
            <w:r>
              <w:rPr>
                <w:rFonts w:hint="default" w:ascii="Times New Roman" w:hAnsi="Times New Roman" w:eastAsia="宋体" w:cs="Times New Roman"/>
                <w:b/>
                <w:bCs/>
                <w:color w:val="auto"/>
                <w:kern w:val="2"/>
                <w:sz w:val="24"/>
                <w:highlight w:val="none"/>
              </w:rPr>
              <w:t>6、环境风险评价</w:t>
            </w:r>
          </w:p>
          <w:p w14:paraId="005120C2">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（1）风险调查</w:t>
            </w:r>
          </w:p>
          <w:p w14:paraId="6554A0B8">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①风险物质识别</w:t>
            </w:r>
          </w:p>
          <w:p w14:paraId="651B832C">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根据《建设项目环境风险评价技术导则》（HJ169-2018）分析建设项目生产、使用、储存过程中涉及的有毒有害、易燃易爆物质，参见附录B确定危险物质的临界量。根据附录B项目涉及</w:t>
            </w:r>
            <w:r>
              <w:rPr>
                <w:rFonts w:hint="default" w:ascii="Times New Roman" w:hAnsi="Times New Roman" w:eastAsia="宋体" w:cs="Times New Roman"/>
                <w:color w:val="auto"/>
                <w:sz w:val="24"/>
                <w:szCs w:val="24"/>
                <w:highlight w:val="none"/>
                <w:lang w:eastAsia="zh-CN"/>
              </w:rPr>
              <w:t>危险</w:t>
            </w:r>
            <w:r>
              <w:rPr>
                <w:rFonts w:hint="default" w:ascii="Times New Roman" w:hAnsi="Times New Roman" w:eastAsia="宋体" w:cs="Times New Roman"/>
                <w:color w:val="auto"/>
                <w:sz w:val="24"/>
                <w:szCs w:val="24"/>
                <w:highlight w:val="none"/>
              </w:rPr>
              <w:t>物质为</w:t>
            </w:r>
            <w:r>
              <w:rPr>
                <w:rFonts w:hint="eastAsia" w:cs="Times New Roman"/>
                <w:color w:val="auto"/>
                <w:sz w:val="24"/>
                <w:szCs w:val="24"/>
                <w:highlight w:val="none"/>
                <w:lang w:val="en-US" w:eastAsia="zh-CN"/>
              </w:rPr>
              <w:t>机油、废机油、水性漆等</w:t>
            </w:r>
            <w:r>
              <w:rPr>
                <w:rFonts w:hint="default" w:ascii="Times New Roman" w:hAnsi="Times New Roman" w:eastAsia="宋体" w:cs="Times New Roman"/>
                <w:color w:val="auto"/>
                <w:sz w:val="24"/>
                <w:szCs w:val="24"/>
                <w:highlight w:val="none"/>
              </w:rPr>
              <w:t>，</w:t>
            </w:r>
          </w:p>
          <w:p w14:paraId="54A17909">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危险物质数量与临界量比值（Q）见下表。</w:t>
            </w:r>
          </w:p>
          <w:p w14:paraId="069568D6">
            <w:pPr>
              <w:pStyle w:val="60"/>
              <w:pageBreakBefore w:val="0"/>
              <w:overflowPunct/>
              <w:topLinePunct w:val="0"/>
              <w:bidi w:val="0"/>
              <w:adjustRightInd/>
              <w:snapToGrid/>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表4</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危险物质数量与临界量比值</w:t>
            </w:r>
          </w:p>
          <w:tbl>
            <w:tblPr>
              <w:tblStyle w:val="25"/>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51"/>
              <w:gridCol w:w="1566"/>
              <w:gridCol w:w="1309"/>
              <w:gridCol w:w="1672"/>
              <w:gridCol w:w="1090"/>
              <w:gridCol w:w="1806"/>
            </w:tblGrid>
            <w:tr w14:paraId="04443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2" w:type="pct"/>
                  <w:vAlign w:val="center"/>
                </w:tcPr>
                <w:p w14:paraId="2C5EBDA4">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967" w:type="pct"/>
                  <w:vAlign w:val="center"/>
                </w:tcPr>
                <w:p w14:paraId="550F59DA">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危险物质名称</w:t>
                  </w:r>
                </w:p>
              </w:tc>
              <w:tc>
                <w:tcPr>
                  <w:tcW w:w="808" w:type="pct"/>
                  <w:vAlign w:val="center"/>
                </w:tcPr>
                <w:p w14:paraId="0DB6B5C7">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CAS号</w:t>
                  </w:r>
                </w:p>
              </w:tc>
              <w:tc>
                <w:tcPr>
                  <w:tcW w:w="1032" w:type="pct"/>
                  <w:vAlign w:val="center"/>
                </w:tcPr>
                <w:p w14:paraId="015C6AEE">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最大存在总量/t</w:t>
                  </w:r>
                </w:p>
              </w:tc>
              <w:tc>
                <w:tcPr>
                  <w:tcW w:w="673" w:type="pct"/>
                  <w:vAlign w:val="center"/>
                </w:tcPr>
                <w:p w14:paraId="2D55D46C">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临界量/t</w:t>
                  </w:r>
                </w:p>
              </w:tc>
              <w:tc>
                <w:tcPr>
                  <w:tcW w:w="1115" w:type="pct"/>
                  <w:vAlign w:val="center"/>
                </w:tcPr>
                <w:p w14:paraId="5577CD7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危险物质Q值</w:t>
                  </w:r>
                </w:p>
              </w:tc>
            </w:tr>
            <w:tr w14:paraId="07C43F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2" w:type="pct"/>
                  <w:vAlign w:val="center"/>
                </w:tcPr>
                <w:p w14:paraId="62798D08">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967" w:type="pct"/>
                  <w:vAlign w:val="center"/>
                </w:tcPr>
                <w:p w14:paraId="3DB36DFA">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机油</w:t>
                  </w:r>
                </w:p>
              </w:tc>
              <w:tc>
                <w:tcPr>
                  <w:tcW w:w="808" w:type="pct"/>
                  <w:vAlign w:val="center"/>
                </w:tcPr>
                <w:p w14:paraId="317BBE6E">
                  <w:pPr>
                    <w:pStyle w:val="54"/>
                    <w:ind w:left="0" w:leftChars="0" w:firstLine="0" w:firstLineChars="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1330-20-7</w:t>
                  </w:r>
                </w:p>
              </w:tc>
              <w:tc>
                <w:tcPr>
                  <w:tcW w:w="1032" w:type="pct"/>
                  <w:vAlign w:val="center"/>
                </w:tcPr>
                <w:p w14:paraId="601926E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0.1</w:t>
                  </w:r>
                </w:p>
              </w:tc>
              <w:tc>
                <w:tcPr>
                  <w:tcW w:w="673" w:type="pct"/>
                  <w:vAlign w:val="center"/>
                </w:tcPr>
                <w:p w14:paraId="5EB0C0CC">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2500</w:t>
                  </w:r>
                </w:p>
              </w:tc>
              <w:tc>
                <w:tcPr>
                  <w:tcW w:w="1115" w:type="pct"/>
                  <w:vAlign w:val="center"/>
                </w:tcPr>
                <w:p w14:paraId="1183644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0.00004</w:t>
                  </w:r>
                </w:p>
              </w:tc>
            </w:tr>
            <w:tr w14:paraId="731CB7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2" w:type="pct"/>
                  <w:vAlign w:val="center"/>
                </w:tcPr>
                <w:p w14:paraId="548455DB">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w:t>
                  </w:r>
                </w:p>
              </w:tc>
              <w:tc>
                <w:tcPr>
                  <w:tcW w:w="967" w:type="pct"/>
                  <w:vAlign w:val="center"/>
                </w:tcPr>
                <w:p w14:paraId="74EE804E">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eastAsia"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废机油</w:t>
                  </w:r>
                </w:p>
              </w:tc>
              <w:tc>
                <w:tcPr>
                  <w:tcW w:w="808" w:type="pct"/>
                  <w:vAlign w:val="center"/>
                </w:tcPr>
                <w:p w14:paraId="47E3B8BA">
                  <w:pPr>
                    <w:jc w:val="center"/>
                  </w:pPr>
                  <w:r>
                    <w:rPr>
                      <w:rFonts w:hint="eastAsia" w:ascii="Times New Roman" w:hAnsi="Times New Roman" w:eastAsia="宋体" w:cs="Times New Roman"/>
                      <w:color w:val="auto"/>
                      <w:kern w:val="2"/>
                      <w:sz w:val="21"/>
                      <w:szCs w:val="21"/>
                      <w:highlight w:val="none"/>
                      <w:lang w:val="en-US" w:eastAsia="zh-CN" w:bidi="ar-SA"/>
                    </w:rPr>
                    <w:t>1330-20-7</w:t>
                  </w:r>
                </w:p>
              </w:tc>
              <w:tc>
                <w:tcPr>
                  <w:tcW w:w="1032" w:type="pct"/>
                  <w:vAlign w:val="center"/>
                </w:tcPr>
                <w:p w14:paraId="59B2F1A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1</w:t>
                  </w:r>
                </w:p>
              </w:tc>
              <w:tc>
                <w:tcPr>
                  <w:tcW w:w="673" w:type="pct"/>
                  <w:vAlign w:val="center"/>
                </w:tcPr>
                <w:p w14:paraId="3CD19F12">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50</w:t>
                  </w:r>
                </w:p>
              </w:tc>
              <w:tc>
                <w:tcPr>
                  <w:tcW w:w="1115" w:type="pct"/>
                  <w:vAlign w:val="center"/>
                </w:tcPr>
                <w:p w14:paraId="78A98203">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hAnsi="Times New Roman" w:eastAsia="宋体" w:cs="Times New Roman"/>
                      <w:color w:val="auto"/>
                      <w:highlight w:val="none"/>
                      <w:lang w:val="en-US"/>
                    </w:rPr>
                  </w:pPr>
                  <w:r>
                    <w:rPr>
                      <w:rFonts w:hint="eastAsia" w:ascii="Times New Roman" w:cs="Times New Roman"/>
                      <w:color w:val="auto"/>
                      <w:highlight w:val="none"/>
                      <w:lang w:val="en-US" w:eastAsia="zh-CN"/>
                    </w:rPr>
                    <w:t>0.02</w:t>
                  </w:r>
                </w:p>
              </w:tc>
            </w:tr>
            <w:tr w14:paraId="28367C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2" w:type="pct"/>
                  <w:vAlign w:val="center"/>
                </w:tcPr>
                <w:p w14:paraId="128A160C">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3</w:t>
                  </w:r>
                </w:p>
              </w:tc>
              <w:tc>
                <w:tcPr>
                  <w:tcW w:w="967" w:type="pct"/>
                  <w:vAlign w:val="center"/>
                </w:tcPr>
                <w:p w14:paraId="4759E59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水性漆</w:t>
                  </w:r>
                </w:p>
              </w:tc>
              <w:tc>
                <w:tcPr>
                  <w:tcW w:w="808" w:type="pct"/>
                  <w:vAlign w:val="center"/>
                </w:tcPr>
                <w:p w14:paraId="556EAE21">
                  <w:pPr>
                    <w:pStyle w:val="54"/>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w:t>
                  </w:r>
                </w:p>
              </w:tc>
              <w:tc>
                <w:tcPr>
                  <w:tcW w:w="1032" w:type="pct"/>
                  <w:vAlign w:val="center"/>
                </w:tcPr>
                <w:p w14:paraId="055F7384">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0.5</w:t>
                  </w:r>
                </w:p>
              </w:tc>
              <w:tc>
                <w:tcPr>
                  <w:tcW w:w="673" w:type="pct"/>
                  <w:vAlign w:val="center"/>
                </w:tcPr>
                <w:p w14:paraId="1E52382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50</w:t>
                  </w:r>
                </w:p>
              </w:tc>
              <w:tc>
                <w:tcPr>
                  <w:tcW w:w="1115" w:type="pct"/>
                  <w:vAlign w:val="center"/>
                </w:tcPr>
                <w:p w14:paraId="30F06979">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0.01</w:t>
                  </w:r>
                </w:p>
              </w:tc>
            </w:tr>
            <w:tr w14:paraId="706E65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2" w:type="pct"/>
                  <w:vAlign w:val="center"/>
                </w:tcPr>
                <w:p w14:paraId="633B3026">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4</w:t>
                  </w:r>
                </w:p>
              </w:tc>
              <w:tc>
                <w:tcPr>
                  <w:tcW w:w="967" w:type="pct"/>
                  <w:vAlign w:val="center"/>
                </w:tcPr>
                <w:p w14:paraId="78285801">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天然气</w:t>
                  </w:r>
                </w:p>
              </w:tc>
              <w:tc>
                <w:tcPr>
                  <w:tcW w:w="808" w:type="pct"/>
                  <w:vAlign w:val="center"/>
                </w:tcPr>
                <w:p w14:paraId="219F502F">
                  <w:pPr>
                    <w:pStyle w:val="54"/>
                    <w:ind w:left="0" w:leftChars="0" w:firstLine="0" w:firstLineChars="0"/>
                    <w:jc w:val="center"/>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74-82-8</w:t>
                  </w:r>
                </w:p>
              </w:tc>
              <w:tc>
                <w:tcPr>
                  <w:tcW w:w="1032" w:type="pct"/>
                  <w:vAlign w:val="center"/>
                </w:tcPr>
                <w:p w14:paraId="2EF113C7">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0.02</w:t>
                  </w:r>
                </w:p>
              </w:tc>
              <w:tc>
                <w:tcPr>
                  <w:tcW w:w="673" w:type="pct"/>
                  <w:vAlign w:val="center"/>
                </w:tcPr>
                <w:p w14:paraId="2720E252">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10</w:t>
                  </w:r>
                </w:p>
              </w:tc>
              <w:tc>
                <w:tcPr>
                  <w:tcW w:w="1115" w:type="pct"/>
                  <w:vAlign w:val="center"/>
                </w:tcPr>
                <w:p w14:paraId="7BA96CFF">
                  <w:pPr>
                    <w:pStyle w:val="54"/>
                    <w:keepNext w:val="0"/>
                    <w:keepLines w:val="0"/>
                    <w:pageBreakBefore w:val="0"/>
                    <w:widowControl/>
                    <w:kinsoku w:val="0"/>
                    <w:wordWrap/>
                    <w:overflowPunct/>
                    <w:topLinePunct w:val="0"/>
                    <w:autoSpaceDE w:val="0"/>
                    <w:autoSpaceDN w:val="0"/>
                    <w:bidi w:val="0"/>
                    <w:adjustRightInd/>
                    <w:snapToGrid/>
                    <w:spacing w:beforeLines="0" w:afterLines="0" w:line="240" w:lineRule="auto"/>
                    <w:ind w:left="0" w:leftChars="0" w:firstLine="0" w:firstLineChars="0"/>
                    <w:jc w:val="center"/>
                    <w:textAlignment w:val="baseline"/>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0.002</w:t>
                  </w:r>
                </w:p>
              </w:tc>
            </w:tr>
          </w:tbl>
          <w:p w14:paraId="7FB7B340">
            <w:pPr>
              <w:pageBreakBefore w:val="0"/>
              <w:overflowPunct/>
              <w:topLinePunct w:val="0"/>
              <w:bidi w:val="0"/>
              <w:adjustRightInd/>
              <w:snapToGrid/>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zh-CN"/>
              </w:rPr>
              <w:t>由上表可知，Q＜1</w:t>
            </w:r>
            <w:r>
              <w:rPr>
                <w:rStyle w:val="30"/>
                <w:rFonts w:hint="default" w:ascii="Times New Roman" w:hAnsi="Times New Roman" w:eastAsia="宋体" w:cs="Times New Roman"/>
                <w:color w:val="auto"/>
                <w:kern w:val="0"/>
                <w:sz w:val="24"/>
                <w:szCs w:val="24"/>
                <w:highlight w:val="none"/>
                <w:lang w:eastAsia="zh-CN"/>
              </w:rPr>
              <w:t>。</w:t>
            </w:r>
          </w:p>
          <w:p w14:paraId="6C096F34">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②生产工艺危险性调查</w:t>
            </w:r>
          </w:p>
          <w:p w14:paraId="72F35D00">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固化温度约180℃-200℃左右</w:t>
            </w:r>
            <w:r>
              <w:rPr>
                <w:rFonts w:hint="eastAsia"/>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不涉及高温工艺过程</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300℃</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，无《建设项目环境风险评价技术导则》（HJ169-2018）附录C，表C.1中列明的工艺过程。</w:t>
            </w:r>
          </w:p>
          <w:p w14:paraId="1F9DF9E8">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故本项目生产工艺不存在重大危险性。</w:t>
            </w:r>
          </w:p>
          <w:p w14:paraId="2D071096">
            <w:pPr>
              <w:pageBreakBefore w:val="0"/>
              <w:overflowPunct/>
              <w:topLinePunct w:val="0"/>
              <w:bidi w:val="0"/>
              <w:adjustRightInd/>
              <w:snapToGrid/>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（2）环境风险识别</w:t>
            </w:r>
          </w:p>
          <w:p w14:paraId="0F315222">
            <w:pPr>
              <w:pageBreakBefore w:val="0"/>
              <w:overflowPunct/>
              <w:topLinePunct w:val="0"/>
              <w:bidi w:val="0"/>
              <w:adjustRightInd/>
              <w:snapToGrid/>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根据《建设项目环境风险评价导则》（HJ169-2018），风险识别内容主要如下：</w:t>
            </w:r>
          </w:p>
          <w:p w14:paraId="67EA5E1C">
            <w:pPr>
              <w:pageBreakBefore w:val="0"/>
              <w:overflowPunct/>
              <w:topLinePunct w:val="0"/>
              <w:bidi w:val="0"/>
              <w:adjustRightInd/>
              <w:snapToGrid/>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w:t>
            </w:r>
            <w:r>
              <w:rPr>
                <w:rFonts w:hint="eastAsia" w:cs="Times New Roman"/>
                <w:color w:val="auto"/>
                <w:sz w:val="24"/>
                <w:highlight w:val="none"/>
                <w:lang w:val="en-US" w:eastAsia="zh-CN"/>
              </w:rPr>
              <w:t>本项目涉及的环境风险物质主要为脱脂剂、无铬钝化液、水性漆、机油的液体，一旦发生泄漏，可能会污染土壤及地下水</w:t>
            </w:r>
            <w:r>
              <w:rPr>
                <w:rFonts w:hint="eastAsia" w:cs="Times New Roman"/>
                <w:color w:val="auto"/>
                <w:kern w:val="0"/>
                <w:sz w:val="24"/>
                <w:highlight w:val="none"/>
                <w:lang w:val="en-US" w:eastAsia="zh-CN"/>
              </w:rPr>
              <w:t>。本项目建成后，厂区最大可能性事故及类型为项目废气治理设施运行不正常或管理维护不到位导致废气异常排放，仓库中原料泄漏及发生火灾，危废暂存间中危废流失，导致环境污染事故，项目废气治理设施运行不正常或管理维护不到位，危废贮存管理不到位导致危废泄漏对周边环境产生不利影响。</w:t>
            </w:r>
          </w:p>
          <w:p w14:paraId="405E04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lang w:val="zh-CN"/>
              </w:rPr>
              <w:t>（3）环境风险防范措施</w:t>
            </w:r>
          </w:p>
          <w:p w14:paraId="7B432640">
            <w:pPr>
              <w:pStyle w:val="58"/>
              <w:keepNext w:val="0"/>
              <w:keepLines w:val="0"/>
              <w:pageBreakBefore w:val="0"/>
              <w:widowControl/>
              <w:kinsoku/>
              <w:wordWrap/>
              <w:overflowPunct/>
              <w:topLinePunct w:val="0"/>
              <w:autoSpaceDE w:val="0"/>
              <w:autoSpaceDN w:val="0"/>
              <w:bidi w:val="0"/>
              <w:adjustRightInd/>
              <w:snapToGrid/>
              <w:spacing w:before="0" w:line="360" w:lineRule="auto"/>
              <w:ind w:firstLine="480" w:firstLineChars="200"/>
              <w:textAlignment w:val="baseline"/>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①物料储存的风险防范措施：</w:t>
            </w:r>
            <w:r>
              <w:rPr>
                <w:rFonts w:hint="eastAsia" w:ascii="Times New Roman" w:hAnsi="Times New Roman" w:cs="Times New Roman"/>
                <w:color w:val="auto"/>
                <w:kern w:val="0"/>
                <w:sz w:val="24"/>
                <w:szCs w:val="24"/>
                <w:highlight w:val="none"/>
                <w:lang w:val="en-US" w:eastAsia="zh-CN" w:bidi="ar-SA"/>
              </w:rPr>
              <w:t>本项目</w:t>
            </w:r>
            <w:r>
              <w:rPr>
                <w:rFonts w:hint="eastAsia" w:ascii="Times New Roman" w:hAnsi="Times New Roman" w:eastAsia="宋体" w:cs="Times New Roman"/>
                <w:color w:val="auto"/>
                <w:kern w:val="0"/>
                <w:sz w:val="24"/>
                <w:szCs w:val="24"/>
                <w:highlight w:val="none"/>
                <w:lang w:val="en-US" w:eastAsia="zh-CN" w:bidi="ar-SA"/>
              </w:rPr>
              <w:t>化学品设专人管理；根据化学品的种类、性能，设置相应的通风、防火、防静电、隔离操作等安全措施；液态化学品存放设置托盘，地面进行重点防渗；项目区配备</w:t>
            </w:r>
            <w:r>
              <w:rPr>
                <w:rFonts w:hint="eastAsia" w:ascii="Times New Roman" w:hAnsi="Times New Roman" w:cs="Times New Roman"/>
                <w:color w:val="auto"/>
                <w:kern w:val="0"/>
                <w:sz w:val="24"/>
                <w:szCs w:val="24"/>
                <w:highlight w:val="none"/>
                <w:lang w:val="en-US" w:eastAsia="zh-CN" w:bidi="ar-SA"/>
              </w:rPr>
              <w:t>灭火</w:t>
            </w:r>
            <w:r>
              <w:rPr>
                <w:rFonts w:hint="eastAsia" w:ascii="Times New Roman" w:hAnsi="Times New Roman" w:eastAsia="宋体" w:cs="Times New Roman"/>
                <w:color w:val="auto"/>
                <w:kern w:val="0"/>
                <w:sz w:val="24"/>
                <w:szCs w:val="24"/>
                <w:highlight w:val="none"/>
                <w:lang w:val="en-US" w:eastAsia="zh-CN" w:bidi="ar-SA"/>
              </w:rPr>
              <w:t>器材</w:t>
            </w:r>
            <w:r>
              <w:rPr>
                <w:rFonts w:hint="eastAsia" w:ascii="Times New Roman" w:hAnsi="Times New Roman" w:cs="Times New Roman"/>
                <w:color w:val="auto"/>
                <w:kern w:val="0"/>
                <w:sz w:val="24"/>
                <w:szCs w:val="24"/>
                <w:highlight w:val="none"/>
                <w:lang w:val="en-US" w:eastAsia="zh-CN" w:bidi="ar-SA"/>
              </w:rPr>
              <w:t>（干粉灭火器、泡沫式灭火器）</w:t>
            </w:r>
            <w:r>
              <w:rPr>
                <w:rFonts w:hint="eastAsia" w:ascii="Times New Roman" w:hAnsi="Times New Roman" w:eastAsia="宋体" w:cs="Times New Roman"/>
                <w:color w:val="auto"/>
                <w:kern w:val="0"/>
                <w:sz w:val="24"/>
                <w:szCs w:val="24"/>
                <w:highlight w:val="none"/>
                <w:lang w:val="en-US" w:eastAsia="zh-CN" w:bidi="ar-SA"/>
              </w:rPr>
              <w:t>，厂房内加强通风换气，预留足够的安全距离，有利于火灾补救和人员疏散；严禁</w:t>
            </w:r>
            <w:r>
              <w:rPr>
                <w:rFonts w:hint="eastAsia" w:ascii="Times New Roman" w:hAnsi="Times New Roman" w:cs="Times New Roman"/>
                <w:color w:val="auto"/>
                <w:kern w:val="0"/>
                <w:sz w:val="24"/>
                <w:szCs w:val="24"/>
                <w:highlight w:val="none"/>
                <w:lang w:val="en-US" w:eastAsia="zh-CN" w:bidi="ar-SA"/>
              </w:rPr>
              <w:t>生产车间内</w:t>
            </w:r>
            <w:r>
              <w:rPr>
                <w:rFonts w:hint="eastAsia" w:ascii="Times New Roman" w:hAnsi="Times New Roman" w:eastAsia="宋体" w:cs="Times New Roman"/>
                <w:color w:val="auto"/>
                <w:kern w:val="0"/>
                <w:sz w:val="24"/>
                <w:szCs w:val="24"/>
                <w:highlight w:val="none"/>
                <w:lang w:val="en-US" w:eastAsia="zh-CN" w:bidi="ar-SA"/>
              </w:rPr>
              <w:t>吸烟、携带火种，需要提醒人员主要的地点均应按标准设置各种安全标志，车间与库房存放灭火器，一旦发生事故，随时取用灭火；宜用防爆型电气设备，不可接用临时电源；实行安全检查制度，进行各种日常、定期的、专用的防火安全检查，便于及时发现问题并落实整改；厂区配备充足的应急物资；对员工普及烧伤急救知识及防范急救知识，定期进行安全教育和安全生产培训，不断提高员工灭火操作技能和安全生产规程。</w:t>
            </w:r>
          </w:p>
          <w:p w14:paraId="21203CB4">
            <w:pPr>
              <w:pStyle w:val="58"/>
              <w:keepNext w:val="0"/>
              <w:keepLines w:val="0"/>
              <w:pageBreakBefore w:val="0"/>
              <w:widowControl/>
              <w:kinsoku/>
              <w:wordWrap/>
              <w:overflowPunct/>
              <w:topLinePunct w:val="0"/>
              <w:autoSpaceDE w:val="0"/>
              <w:autoSpaceDN w:val="0"/>
              <w:bidi w:val="0"/>
              <w:adjustRightInd/>
              <w:snapToGrid/>
              <w:spacing w:before="0" w:line="360" w:lineRule="auto"/>
              <w:ind w:firstLine="480" w:firstLineChars="200"/>
              <w:textAlignment w:val="baseline"/>
              <w:rPr>
                <w:rFonts w:hint="eastAsia" w:ascii="Times New Roman" w:hAnsi="Times New Roman" w:eastAsia="宋体" w:cs="Times New Roman"/>
                <w:color w:val="auto"/>
                <w:kern w:val="0"/>
                <w:sz w:val="24"/>
                <w:szCs w:val="24"/>
                <w:highlight w:val="none"/>
                <w:lang w:val="en-US" w:eastAsia="zh-CN" w:bidi="ar-SA"/>
              </w:rPr>
            </w:pPr>
            <w:r>
              <w:rPr>
                <w:rFonts w:hint="eastAsia"/>
                <w:color w:val="auto"/>
                <w:sz w:val="24"/>
                <w:highlight w:val="none"/>
                <w:lang w:val="en-US" w:eastAsia="zh-CN"/>
              </w:rPr>
              <w:t>②</w:t>
            </w:r>
            <w:r>
              <w:rPr>
                <w:color w:val="auto"/>
                <w:sz w:val="24"/>
                <w:highlight w:val="none"/>
              </w:rPr>
              <w:t>固体废物事故风险防范措施：收集过程中要根据固体废物的性质进行收集和临时贮存；</w:t>
            </w:r>
            <w:r>
              <w:rPr>
                <w:rFonts w:hint="eastAsia"/>
                <w:color w:val="auto"/>
                <w:sz w:val="24"/>
                <w:highlight w:val="none"/>
                <w:lang w:val="en-US" w:eastAsia="zh-CN"/>
              </w:rPr>
              <w:t>暂存于一般固废间的一般固废应及时进行清运，并放置灭火器、灭火毯等消防物资。</w:t>
            </w:r>
            <w:r>
              <w:rPr>
                <w:color w:val="auto"/>
                <w:sz w:val="24"/>
                <w:highlight w:val="none"/>
              </w:rPr>
              <w:t>危险废物要有单独的危废库，并贴上标签，委托有资质单位处置。</w:t>
            </w:r>
          </w:p>
          <w:p w14:paraId="2C421F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0"/>
                <w:highlight w:val="none"/>
              </w:rPr>
            </w:pPr>
            <w:r>
              <w:rPr>
                <w:rFonts w:hint="eastAsia" w:ascii="Times New Roman" w:hAnsi="Times New Roman" w:cs="Times New Roman"/>
                <w:color w:val="auto"/>
                <w:sz w:val="24"/>
                <w:highlight w:val="none"/>
                <w:lang w:val="en-US" w:eastAsia="zh-CN"/>
              </w:rPr>
              <w:t>③</w:t>
            </w:r>
            <w:r>
              <w:rPr>
                <w:rFonts w:hint="default" w:ascii="Times New Roman" w:hAnsi="Times New Roman" w:cs="Times New Roman"/>
                <w:color w:val="auto"/>
                <w:sz w:val="24"/>
                <w:szCs w:val="20"/>
                <w:highlight w:val="none"/>
              </w:rPr>
              <w:t>火灾、爆炸事故的预防措施</w:t>
            </w:r>
          </w:p>
          <w:p w14:paraId="291F3500">
            <w:pPr>
              <w:pStyle w:val="58"/>
              <w:keepNext w:val="0"/>
              <w:keepLines w:val="0"/>
              <w:pageBreakBefore w:val="0"/>
              <w:widowControl/>
              <w:kinsoku/>
              <w:wordWrap/>
              <w:overflowPunct/>
              <w:topLinePunct w:val="0"/>
              <w:autoSpaceDE w:val="0"/>
              <w:autoSpaceDN w:val="0"/>
              <w:bidi w:val="0"/>
              <w:adjustRightInd/>
              <w:snapToGrid/>
              <w:spacing w:before="0"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szCs w:val="20"/>
                <w:highlight w:val="none"/>
              </w:rPr>
              <w:t>建立健全防火安全规章制度并严格执行。</w:t>
            </w:r>
            <w:r>
              <w:rPr>
                <w:rFonts w:hint="eastAsia" w:ascii="Times New Roman" w:hAnsi="Times New Roman" w:cs="Times New Roman"/>
                <w:color w:val="auto"/>
                <w:sz w:val="24"/>
                <w:szCs w:val="20"/>
                <w:highlight w:val="none"/>
                <w:lang w:val="en-US" w:eastAsia="zh-CN"/>
              </w:rPr>
              <w:t>对员工定期开展消防演练，提高员工的消防意识以及培训各类消防器材的使用方法；加强三级培训，必要时进行专业的培训。动火作业前应申请动火作业证，并由专业的持有特种作业资格证的人员进行动火作业，禁止违规动火作业；定期对生产车间、化学品库、危险废物暂存间内的消防器材进行检测，如发现灭火器过期，应立即更换，确保灭火器能够正常使用。</w:t>
            </w:r>
          </w:p>
          <w:p w14:paraId="693E77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（4）污染治理系统风险防范措施</w:t>
            </w:r>
          </w:p>
          <w:p w14:paraId="4E36DDF7">
            <w:pPr>
              <w:keepNext w:val="0"/>
              <w:keepLines w:val="0"/>
              <w:pageBreakBefore w:val="0"/>
              <w:wordWrap/>
              <w:overflowPunct/>
              <w:topLinePunct w:val="0"/>
              <w:bidi w:val="0"/>
              <w:adjustRightInd/>
              <w:snapToGrid/>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①废气（排风扇的设置）治理设施在设计、施工时，严格按照工程设计规范要求进行，选用标准管材。</w:t>
            </w:r>
          </w:p>
          <w:p w14:paraId="1A5A0792">
            <w:pPr>
              <w:keepNext w:val="0"/>
              <w:keepLines w:val="0"/>
              <w:pageBreakBefore w:val="0"/>
              <w:wordWrap/>
              <w:overflowPunct/>
              <w:topLinePunct w:val="0"/>
              <w:bidi w:val="0"/>
              <w:adjustRightInd/>
              <w:snapToGrid/>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②车间及原料库房等设置相应的灭火器。</w:t>
            </w:r>
          </w:p>
          <w:p w14:paraId="2874152E">
            <w:pPr>
              <w:keepNext w:val="0"/>
              <w:keepLines w:val="0"/>
              <w:pageBreakBefore w:val="0"/>
              <w:wordWrap/>
              <w:overflowPunct/>
              <w:topLinePunct w:val="0"/>
              <w:bidi w:val="0"/>
              <w:adjustRightInd/>
              <w:snapToGrid/>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③项目金属设备、设施均须采用保护接地措施。</w:t>
            </w:r>
          </w:p>
          <w:p w14:paraId="33111881">
            <w:pPr>
              <w:keepNext w:val="0"/>
              <w:keepLines w:val="0"/>
              <w:pageBreakBefore w:val="0"/>
              <w:wordWrap/>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④项目车间及原料库房等四周设置地沟，当物料发生泄漏时，需要用水冲洗，冲洗水收集在地沟内，其中地沟必须进行防腐蚀、防渗漏处理。</w:t>
            </w:r>
          </w:p>
          <w:p w14:paraId="6DFD277A">
            <w:pPr>
              <w:keepNext w:val="0"/>
              <w:keepLines w:val="0"/>
              <w:pageBreakBefore w:val="0"/>
              <w:wordWrap/>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⑤</w:t>
            </w:r>
            <w:r>
              <w:rPr>
                <w:rFonts w:hint="default" w:ascii="Times New Roman" w:hAnsi="Times New Roman" w:eastAsia="宋体" w:cs="Times New Roman"/>
                <w:color w:val="auto"/>
                <w:sz w:val="24"/>
                <w:highlight w:val="none"/>
              </w:rPr>
              <w:t>有机械伤害的危险区设置合格的防护罩、挡板或安全围栏。</w:t>
            </w:r>
          </w:p>
          <w:p w14:paraId="38E3F839">
            <w:pPr>
              <w:keepNext w:val="0"/>
              <w:keepLines w:val="0"/>
              <w:pageBreakBefore w:val="0"/>
              <w:wordWrap/>
              <w:overflowPunct/>
              <w:topLinePunc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kern w:val="0"/>
                <w:sz w:val="24"/>
                <w:highlight w:val="none"/>
                <w:lang w:val="zh-CN"/>
              </w:rPr>
              <w:t>（</w:t>
            </w:r>
            <w:r>
              <w:rPr>
                <w:rFonts w:hint="eastAsia" w:cs="Times New Roman"/>
                <w:color w:val="auto"/>
                <w:kern w:val="0"/>
                <w:sz w:val="24"/>
                <w:highlight w:val="none"/>
                <w:lang w:val="en-US" w:eastAsia="zh-CN"/>
              </w:rPr>
              <w:t>5</w:t>
            </w:r>
            <w:r>
              <w:rPr>
                <w:rFonts w:hint="eastAsia" w:cs="Times New Roman"/>
                <w:color w:val="auto"/>
                <w:kern w:val="0"/>
                <w:sz w:val="24"/>
                <w:highlight w:val="none"/>
                <w:lang w:val="zh-CN"/>
              </w:rPr>
              <w:t>）</w:t>
            </w:r>
            <w:r>
              <w:rPr>
                <w:rFonts w:hint="eastAsia" w:cs="Times New Roman"/>
                <w:color w:val="auto"/>
                <w:kern w:val="0"/>
                <w:sz w:val="24"/>
                <w:highlight w:val="none"/>
                <w:lang w:val="en-US" w:eastAsia="zh-CN"/>
              </w:rPr>
              <w:t>脱脂、无铬钝化</w:t>
            </w:r>
            <w:r>
              <w:rPr>
                <w:rFonts w:hint="eastAsia" w:ascii="Times New Roman" w:hAnsi="Times New Roman" w:eastAsia="宋体" w:cs="Times New Roman"/>
                <w:color w:val="auto"/>
                <w:kern w:val="0"/>
                <w:sz w:val="24"/>
                <w:highlight w:val="none"/>
                <w:lang w:val="en-US" w:eastAsia="zh-CN"/>
              </w:rPr>
              <w:t>水泄漏</w:t>
            </w:r>
            <w:r>
              <w:rPr>
                <w:rFonts w:hint="default" w:ascii="Times New Roman" w:hAnsi="Times New Roman" w:eastAsia="宋体" w:cs="Times New Roman"/>
                <w:color w:val="auto"/>
                <w:sz w:val="24"/>
                <w:highlight w:val="none"/>
              </w:rPr>
              <w:t>防控措施</w:t>
            </w:r>
          </w:p>
          <w:p w14:paraId="13C4EA48">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sz w:val="24"/>
                <w:highlight w:val="none"/>
                <w:lang w:val="en-US" w:eastAsia="zh-CN"/>
              </w:rPr>
              <w:t>项目在</w:t>
            </w:r>
            <w:r>
              <w:rPr>
                <w:rFonts w:hint="eastAsia" w:cs="Times New Roman"/>
                <w:color w:val="auto"/>
                <w:kern w:val="0"/>
                <w:sz w:val="24"/>
                <w:highlight w:val="none"/>
                <w:lang w:val="en-US" w:eastAsia="zh-CN"/>
              </w:rPr>
              <w:t>脱脂、无铬钝化</w:t>
            </w:r>
            <w:r>
              <w:rPr>
                <w:rFonts w:hint="eastAsia" w:ascii="Times New Roman" w:hAnsi="Times New Roman" w:eastAsia="宋体" w:cs="Times New Roman"/>
                <w:color w:val="auto"/>
                <w:sz w:val="24"/>
                <w:highlight w:val="none"/>
                <w:lang w:val="en-US" w:eastAsia="zh-CN"/>
              </w:rPr>
              <w:t>前处理工序地下设计了一个安全备用</w:t>
            </w:r>
            <w:r>
              <w:rPr>
                <w:rFonts w:hint="eastAsia" w:cs="Times New Roman"/>
                <w:color w:val="auto"/>
                <w:sz w:val="24"/>
                <w:highlight w:val="none"/>
                <w:lang w:val="en-US" w:eastAsia="zh-CN"/>
              </w:rPr>
              <w:t>池</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池体容积约50m³，能够满足一次性全部废水的存放。安全备用池需进行防腐蚀、防渗漏处理。有效的</w:t>
            </w:r>
            <w:r>
              <w:rPr>
                <w:rFonts w:hint="eastAsia" w:ascii="Times New Roman" w:hAnsi="Times New Roman" w:eastAsia="宋体" w:cs="Times New Roman"/>
                <w:color w:val="auto"/>
                <w:sz w:val="24"/>
                <w:highlight w:val="none"/>
                <w:lang w:val="en-US" w:eastAsia="zh-CN"/>
              </w:rPr>
              <w:t>防止泄漏到外界污染壤及地下水。</w:t>
            </w:r>
          </w:p>
          <w:p w14:paraId="7F980D97">
            <w:pPr>
              <w:pStyle w:val="4"/>
              <w:keepLines w:val="0"/>
              <w:pageBreakBefore w:val="0"/>
              <w:kinsoku/>
              <w:wordWrap/>
              <w:overflowPunct w:val="0"/>
              <w:topLinePunct w:val="0"/>
              <w:autoSpaceDE/>
              <w:autoSpaceDN/>
              <w:bidi w:val="0"/>
              <w:adjustRightInd/>
              <w:snapToGrid/>
              <w:spacing w:line="360" w:lineRule="auto"/>
              <w:ind w:firstLine="482"/>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auto"/>
                <w:kern w:val="0"/>
                <w:sz w:val="24"/>
                <w:szCs w:val="24"/>
                <w:highlight w:val="none"/>
                <w:lang w:val="en-US" w:eastAsia="zh-CN"/>
              </w:rPr>
              <w:t>（6）</w:t>
            </w:r>
            <w:r>
              <w:rPr>
                <w:rFonts w:hint="default" w:ascii="Times New Roman" w:hAnsi="Times New Roman" w:eastAsia="宋体" w:cs="Times New Roman"/>
                <w:b w:val="0"/>
                <w:bCs/>
                <w:sz w:val="24"/>
                <w:szCs w:val="24"/>
              </w:rPr>
              <w:t>事故废水风险防范措施</w:t>
            </w:r>
          </w:p>
          <w:p w14:paraId="3FA2FA87">
            <w:pPr>
              <w:pStyle w:val="6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废水事故应急措施：项目应建设一座事故应急池用以处理事故状态下废水，雨水管网与事故池应安装切断阀。</w:t>
            </w:r>
          </w:p>
          <w:p w14:paraId="06CBD6DA">
            <w:pPr>
              <w:pStyle w:val="65"/>
              <w:keepLines w:val="0"/>
              <w:pageBreakBefore w:val="0"/>
              <w:kinsoku/>
              <w:wordWrap/>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cs="Times New Roman"/>
                <w:color w:val="auto"/>
                <w:sz w:val="24"/>
                <w:szCs w:val="24"/>
                <w:lang w:val="en-US" w:eastAsia="zh-CN"/>
              </w:rPr>
              <w:t>一旦发生泄漏火灾等事故，需要进行消防灭火，期间会产生大量的消防废水，事故处理现场消防废水如不妥善处置，溢流或经雨水系统进入地表水，将造成水污染事故。为防止次生污染的发生，建设单位必须严格落实安监、消防部门对物料泄漏的相关防范要求，同时自觉接受安监、消防部门的监督管理。设置雨水外排口截断阀，在火灾、泄漏等事故情况下关闭截断阀门，厂区内设置事故应急池，配置管道转换阀门，对事故火灾状态下的消防废水进行收集。</w:t>
            </w:r>
            <w:r>
              <w:rPr>
                <w:rFonts w:hint="default" w:ascii="Times New Roman" w:hAnsi="Times New Roman" w:eastAsia="宋体" w:cs="Times New Roman"/>
                <w:sz w:val="24"/>
                <w:szCs w:val="24"/>
              </w:rPr>
              <w:t>根据《事故状态下水体污染的预防与控制技术要求》（Q/SY1190-2013），明确事故存储设施总有效容积的计算公式如下：</w:t>
            </w:r>
          </w:p>
          <w:p w14:paraId="54FE29B5">
            <w:pPr>
              <w:keepLines w:val="0"/>
              <w:pageBreakBefore w:val="0"/>
              <w:kinsoku/>
              <w:wordWrap/>
              <w:topLinePunct w:val="0"/>
              <w:autoSpaceDE/>
              <w:autoSpaceDN/>
              <w:bidi w:val="0"/>
              <w:adjustRightInd/>
              <w:snapToGrid/>
              <w:spacing w:line="360" w:lineRule="auto"/>
              <w:ind w:firstLine="48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w:t>
            </w:r>
            <w:r>
              <w:rPr>
                <w:rFonts w:hint="default" w:ascii="Times New Roman" w:hAnsi="Times New Roman" w:eastAsia="宋体" w:cs="Times New Roman"/>
                <w:sz w:val="24"/>
                <w:szCs w:val="24"/>
                <w:vertAlign w:val="subscript"/>
              </w:rPr>
              <w:t>总</w:t>
            </w:r>
            <w:r>
              <w:rPr>
                <w:rFonts w:hint="default" w:ascii="Times New Roman" w:hAnsi="Times New Roman" w:eastAsia="宋体" w:cs="Times New Roman"/>
                <w:sz w:val="24"/>
                <w:szCs w:val="24"/>
              </w:rPr>
              <w:t>=（V</w:t>
            </w:r>
            <w:r>
              <w:rPr>
                <w:rFonts w:hint="default" w:ascii="Times New Roman" w:hAnsi="Times New Roman" w:eastAsia="宋体" w:cs="Times New Roman"/>
                <w:sz w:val="24"/>
                <w:szCs w:val="24"/>
                <w:vertAlign w:val="subscript"/>
              </w:rPr>
              <w:t>1</w:t>
            </w:r>
            <w:r>
              <w:rPr>
                <w:rFonts w:hint="default" w:ascii="Times New Roman" w:hAnsi="Times New Roman" w:eastAsia="宋体" w:cs="Times New Roman"/>
                <w:sz w:val="24"/>
                <w:szCs w:val="24"/>
              </w:rPr>
              <w:t>+V</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-V</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vertAlign w:val="subscript"/>
              </w:rPr>
              <w:t>max</w:t>
            </w:r>
            <w:r>
              <w:rPr>
                <w:rFonts w:hint="default" w:ascii="Times New Roman" w:hAnsi="Times New Roman" w:eastAsia="宋体" w:cs="Times New Roman"/>
                <w:sz w:val="24"/>
                <w:szCs w:val="24"/>
              </w:rPr>
              <w:t>+V</w:t>
            </w:r>
            <w:r>
              <w:rPr>
                <w:rFonts w:hint="default" w:ascii="Times New Roman" w:hAnsi="Times New Roman" w:eastAsia="宋体" w:cs="Times New Roman"/>
                <w:sz w:val="24"/>
                <w:szCs w:val="24"/>
                <w:vertAlign w:val="subscript"/>
              </w:rPr>
              <w:t>4</w:t>
            </w:r>
            <w:r>
              <w:rPr>
                <w:rFonts w:hint="default" w:ascii="Times New Roman" w:hAnsi="Times New Roman" w:eastAsia="宋体" w:cs="Times New Roman"/>
                <w:sz w:val="24"/>
                <w:szCs w:val="24"/>
              </w:rPr>
              <w:t>+V</w:t>
            </w:r>
            <w:r>
              <w:rPr>
                <w:rFonts w:hint="default" w:ascii="Times New Roman" w:hAnsi="Times New Roman" w:eastAsia="宋体" w:cs="Times New Roman"/>
                <w:sz w:val="24"/>
                <w:szCs w:val="24"/>
                <w:vertAlign w:val="subscript"/>
              </w:rPr>
              <w:t>5</w:t>
            </w:r>
          </w:p>
          <w:p w14:paraId="3592EDA8">
            <w:pPr>
              <w:keepLines w:val="0"/>
              <w:pageBreakBefore w:val="0"/>
              <w:widowControl/>
              <w:kinsoku/>
              <w:wordWrap/>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(V1+ V2-V3)max——收集系统范围内不同罐组或装置分别计算V1+V2-V3，取其中最大值。</w:t>
            </w:r>
          </w:p>
          <w:p w14:paraId="60B404E5">
            <w:pPr>
              <w:pStyle w:val="65"/>
              <w:keepLines w:val="0"/>
              <w:pageBreakBefore w:val="0"/>
              <w:kinsoku/>
              <w:wordWrap/>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V1——收集系统范围内发生的一根罐组或一套装置的物料量，本项目不设置罐区。</w:t>
            </w:r>
          </w:p>
          <w:p w14:paraId="752CAE3D">
            <w:pPr>
              <w:pStyle w:val="65"/>
              <w:keepLines w:val="0"/>
              <w:pageBreakBefore w:val="0"/>
              <w:kinsoku/>
              <w:wordWrap/>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V2——发生事故的储罐或装置的消防水量，m³；根据《消防给水及消火栓系统技术规范》（GB50974-2014），</w:t>
            </w:r>
            <w:r>
              <w:rPr>
                <w:rFonts w:hint="eastAsia" w:cs="Times New Roman"/>
                <w:sz w:val="24"/>
                <w:szCs w:val="24"/>
                <w:lang w:val="en-US" w:eastAsia="zh-CN"/>
              </w:rPr>
              <w:t>本项目生产车间主体为钢结构厂房，耐火等级为二级中的丁类车间，建筑体积属于V&gt;50000m³</w:t>
            </w:r>
            <w:r>
              <w:rPr>
                <w:rFonts w:hint="default" w:ascii="Times New Roman" w:hAnsi="Times New Roman" w:eastAsia="宋体" w:cs="Times New Roman"/>
                <w:sz w:val="24"/>
                <w:szCs w:val="24"/>
              </w:rPr>
              <w:t>生产车间消火栓用水量为</w:t>
            </w:r>
            <w:r>
              <w:rPr>
                <w:rFonts w:hint="eastAsia" w:cs="Times New Roman"/>
                <w:sz w:val="24"/>
                <w:szCs w:val="24"/>
                <w:lang w:val="en-US" w:eastAsia="zh-CN"/>
              </w:rPr>
              <w:t>20</w:t>
            </w:r>
            <w:r>
              <w:rPr>
                <w:rFonts w:hint="default" w:ascii="Times New Roman" w:hAnsi="Times New Roman" w:eastAsia="宋体" w:cs="Times New Roman"/>
                <w:sz w:val="24"/>
                <w:szCs w:val="24"/>
              </w:rPr>
              <w:t>L/s；火灾事故延续时间按照1h计，则消防用水量为</w:t>
            </w:r>
            <w:r>
              <w:rPr>
                <w:rFonts w:hint="eastAsia" w:cs="Times New Roman"/>
                <w:sz w:val="24"/>
                <w:szCs w:val="24"/>
                <w:lang w:val="en-US" w:eastAsia="zh-CN"/>
              </w:rPr>
              <w:t>72</w:t>
            </w:r>
            <w:r>
              <w:rPr>
                <w:rFonts w:hint="default" w:ascii="Times New Roman" w:hAnsi="Times New Roman" w:eastAsia="宋体" w:cs="Times New Roman"/>
                <w:sz w:val="24"/>
                <w:szCs w:val="24"/>
              </w:rPr>
              <w:t>m³，则消防废水量V2为</w:t>
            </w:r>
            <w:r>
              <w:rPr>
                <w:rFonts w:hint="eastAsia" w:cs="Times New Roman"/>
                <w:sz w:val="24"/>
                <w:szCs w:val="24"/>
                <w:lang w:val="en-US" w:eastAsia="zh-CN"/>
              </w:rPr>
              <w:t>72</w:t>
            </w:r>
            <w:r>
              <w:rPr>
                <w:rFonts w:hint="default" w:ascii="Times New Roman" w:hAnsi="Times New Roman" w:eastAsia="宋体" w:cs="Times New Roman"/>
                <w:sz w:val="24"/>
                <w:szCs w:val="24"/>
              </w:rPr>
              <w:t>m³。</w:t>
            </w:r>
          </w:p>
          <w:p w14:paraId="4E254D53">
            <w:pPr>
              <w:pStyle w:val="65"/>
              <w:keepLines w:val="0"/>
              <w:pageBreakBefore w:val="0"/>
              <w:kinsoku/>
              <w:wordWrap/>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V3——发生事故时可以传输到其他储存或处理设施的物料量，m³；</w:t>
            </w:r>
            <w:r>
              <w:rPr>
                <w:rFonts w:hint="eastAsia" w:cs="Times New Roman"/>
                <w:sz w:val="24"/>
                <w:szCs w:val="24"/>
                <w:lang w:val="en-US" w:eastAsia="zh-CN"/>
              </w:rPr>
              <w:t>本项目未设置发生事故时其他暂存的区域，故</w:t>
            </w:r>
            <w:r>
              <w:rPr>
                <w:rFonts w:hint="default" w:ascii="Times New Roman" w:hAnsi="Times New Roman" w:eastAsia="宋体" w:cs="Times New Roman"/>
                <w:sz w:val="24"/>
                <w:szCs w:val="24"/>
              </w:rPr>
              <w:t>本项目取0m³；</w:t>
            </w:r>
          </w:p>
          <w:p w14:paraId="08144A0A">
            <w:pPr>
              <w:pStyle w:val="65"/>
              <w:keepLines w:val="0"/>
              <w:pageBreakBefore w:val="0"/>
              <w:kinsoku/>
              <w:wordWrap/>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V4——发生事故时仍必须进入该收集系统的生产废水量，m³；</w:t>
            </w:r>
            <w:r>
              <w:rPr>
                <w:rFonts w:hint="eastAsia" w:cs="Times New Roman"/>
                <w:sz w:val="24"/>
                <w:szCs w:val="24"/>
                <w:lang w:val="en-US" w:eastAsia="zh-CN"/>
              </w:rPr>
              <w:t>本项目生产发生事故时仍必须进入收集的生产废水为脱脂废水、清洗废水，无铬钝化废水，</w:t>
            </w:r>
            <w:r>
              <w:rPr>
                <w:rFonts w:hint="default" w:ascii="Times New Roman" w:hAnsi="Times New Roman" w:eastAsia="宋体" w:cs="Times New Roman"/>
                <w:sz w:val="24"/>
                <w:szCs w:val="24"/>
              </w:rPr>
              <w:t>本项目取</w:t>
            </w:r>
            <w:r>
              <w:rPr>
                <w:rFonts w:hint="eastAsia" w:cs="Times New Roman"/>
                <w:sz w:val="24"/>
                <w:szCs w:val="24"/>
                <w:lang w:val="en-US" w:eastAsia="zh-CN"/>
              </w:rPr>
              <w:t>17.1</w:t>
            </w:r>
            <w:r>
              <w:rPr>
                <w:rFonts w:hint="default" w:ascii="Times New Roman" w:hAnsi="Times New Roman" w:eastAsia="宋体" w:cs="Times New Roman"/>
                <w:sz w:val="24"/>
                <w:szCs w:val="24"/>
              </w:rPr>
              <w:t>m³；</w:t>
            </w:r>
          </w:p>
          <w:p w14:paraId="0D690FCB">
            <w:pPr>
              <w:pStyle w:val="65"/>
              <w:keepLines w:val="0"/>
              <w:pageBreakBefore w:val="0"/>
              <w:kinsoku/>
              <w:wordWrap/>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V5——发生事故时可能进入该收集系统的降雨量，m³。发生事故时可能进入该收集系统的降雨量，按照本项目所在地区的暴雨进行考虑。</w:t>
            </w:r>
          </w:p>
          <w:p w14:paraId="128F8E07">
            <w:pPr>
              <w:pStyle w:val="65"/>
              <w:keepLines w:val="0"/>
              <w:pageBreakBefore w:val="0"/>
              <w:kinsoku/>
              <w:wordWrap/>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m:oMathPara>
              <m:oMath>
                <m:r>
                  <m:rPr/>
                  <w:rPr>
                    <w:rFonts w:hint="default" w:ascii="Cambria Math" w:hAnsi="Cambria Math" w:eastAsia="宋体" w:cs="Times New Roman"/>
                    <w:sz w:val="24"/>
                    <w:szCs w:val="24"/>
                  </w:rPr>
                  <m:t>x=</m:t>
                </m:r>
                <m:f>
                  <m:fPr>
                    <m:ctrlPr>
                      <w:rPr>
                        <w:rFonts w:hint="default" w:ascii="Cambria Math" w:hAnsi="Cambria Math" w:eastAsia="宋体" w:cs="Times New Roman"/>
                        <w:i/>
                        <w:sz w:val="24"/>
                        <w:szCs w:val="24"/>
                      </w:rPr>
                    </m:ctrlPr>
                  </m:fPr>
                  <m:num>
                    <m:r>
                      <m:rPr>
                        <m:nor/>
                        <m:sty m:val="p"/>
                      </m:rPr>
                      <w:rPr>
                        <w:rFonts w:hint="default" w:ascii="Times New Roman" w:hAnsi="Times New Roman" w:eastAsia="宋体" w:cs="Times New Roman"/>
                        <w:b w:val="0"/>
                        <w:i w:val="0"/>
                        <w:sz w:val="24"/>
                        <w:szCs w:val="24"/>
                      </w:rPr>
                      <m:t>1104.984×</m:t>
                    </m:r>
                    <m:d>
                      <m:dPr>
                        <m:ctrlPr>
                          <w:rPr>
                            <w:rFonts w:hint="default" w:ascii="Cambria Math" w:hAnsi="Cambria Math" w:eastAsia="宋体" w:cs="Times New Roman"/>
                            <w:i/>
                            <w:sz w:val="24"/>
                            <w:szCs w:val="24"/>
                          </w:rPr>
                        </m:ctrlPr>
                      </m:dPr>
                      <m:e>
                        <m:r>
                          <m:rPr>
                            <m:nor/>
                            <m:sty m:val="p"/>
                          </m:rPr>
                          <w:rPr>
                            <w:rFonts w:hint="default" w:ascii="Times New Roman" w:hAnsi="Times New Roman" w:eastAsia="宋体" w:cs="Times New Roman"/>
                            <w:b w:val="0"/>
                            <w:i w:val="0"/>
                            <w:sz w:val="24"/>
                            <w:szCs w:val="24"/>
                          </w:rPr>
                          <m:t>1+0.620</m:t>
                        </m:r>
                        <m:r>
                          <m:rPr>
                            <m:nor/>
                          </m:rPr>
                          <w:rPr>
                            <w:rFonts w:hint="default" w:ascii="Times New Roman" w:hAnsi="Times New Roman" w:eastAsia="宋体" w:cs="Times New Roman"/>
                            <w:i/>
                            <w:sz w:val="24"/>
                            <w:szCs w:val="24"/>
                          </w:rPr>
                          <m:t>lgP</m:t>
                        </m:r>
                        <m:ctrlPr>
                          <w:rPr>
                            <w:rFonts w:hint="default" w:ascii="Cambria Math" w:hAnsi="Cambria Math" w:eastAsia="宋体" w:cs="Times New Roman"/>
                            <w:i/>
                            <w:sz w:val="24"/>
                            <w:szCs w:val="24"/>
                          </w:rPr>
                        </m:ctrlPr>
                      </m:e>
                    </m:d>
                    <m:ctrlPr>
                      <w:rPr>
                        <w:rFonts w:hint="default" w:ascii="Cambria Math" w:hAnsi="Cambria Math" w:eastAsia="宋体" w:cs="Times New Roman"/>
                        <w:i/>
                        <w:sz w:val="24"/>
                        <w:szCs w:val="24"/>
                      </w:rPr>
                    </m:ctrlPr>
                  </m:num>
                  <m:den>
                    <m:sSup>
                      <m:sSupPr>
                        <m:ctrlPr>
                          <w:rPr>
                            <w:rFonts w:hint="default" w:ascii="Cambria Math" w:hAnsi="Cambria Math" w:eastAsia="宋体" w:cs="Times New Roman"/>
                            <w:i/>
                            <w:sz w:val="24"/>
                            <w:szCs w:val="24"/>
                          </w:rPr>
                        </m:ctrlPr>
                      </m:sSupPr>
                      <m:e>
                        <m:d>
                          <m:dPr>
                            <m:ctrlPr>
                              <w:rPr>
                                <w:rFonts w:hint="default" w:ascii="Cambria Math" w:hAnsi="Cambria Math" w:eastAsia="宋体" w:cs="Times New Roman"/>
                                <w:i/>
                                <w:sz w:val="24"/>
                                <w:szCs w:val="24"/>
                              </w:rPr>
                            </m:ctrlPr>
                          </m:dPr>
                          <m:e>
                            <m:r>
                              <m:rPr>
                                <m:nor/>
                              </m:rPr>
                              <w:rPr>
                                <w:rFonts w:hint="default" w:ascii="Times New Roman" w:hAnsi="Times New Roman" w:eastAsia="宋体" w:cs="Times New Roman"/>
                                <w:i/>
                                <w:sz w:val="24"/>
                                <w:szCs w:val="24"/>
                              </w:rPr>
                              <m:t>t</m:t>
                            </m:r>
                            <m:r>
                              <m:rPr>
                                <m:nor/>
                                <m:sty m:val="p"/>
                              </m:rPr>
                              <w:rPr>
                                <w:rFonts w:hint="default" w:ascii="Times New Roman" w:hAnsi="Times New Roman" w:eastAsia="宋体" w:cs="Times New Roman"/>
                                <w:b w:val="0"/>
                                <w:i w:val="0"/>
                                <w:sz w:val="24"/>
                                <w:szCs w:val="24"/>
                              </w:rPr>
                              <m:t>+4.203</m:t>
                            </m:r>
                            <m:ctrlPr>
                              <w:rPr>
                                <w:rFonts w:hint="default" w:ascii="Cambria Math" w:hAnsi="Cambria Math" w:eastAsia="宋体" w:cs="Times New Roman"/>
                                <w:i/>
                                <w:sz w:val="24"/>
                                <w:szCs w:val="24"/>
                              </w:rPr>
                            </m:ctrlPr>
                          </m:e>
                        </m:d>
                        <m:ctrlPr>
                          <w:rPr>
                            <w:rFonts w:hint="default" w:ascii="Cambria Math" w:hAnsi="Cambria Math" w:eastAsia="宋体" w:cs="Times New Roman"/>
                            <w:i/>
                            <w:sz w:val="24"/>
                            <w:szCs w:val="24"/>
                          </w:rPr>
                        </m:ctrlPr>
                      </m:e>
                      <m:sup>
                        <m:r>
                          <m:rPr>
                            <m:nor/>
                            <m:sty m:val="p"/>
                          </m:rPr>
                          <w:rPr>
                            <w:rFonts w:hint="default" w:ascii="Times New Roman" w:hAnsi="Times New Roman" w:eastAsia="宋体" w:cs="Times New Roman"/>
                            <w:b w:val="0"/>
                            <w:i w:val="0"/>
                            <w:sz w:val="24"/>
                            <w:szCs w:val="24"/>
                          </w:rPr>
                          <m:t>0.542</m:t>
                        </m:r>
                        <m:ctrlPr>
                          <w:rPr>
                            <w:rFonts w:hint="default" w:ascii="Cambria Math" w:hAnsi="Cambria Math" w:eastAsia="宋体" w:cs="Times New Roman"/>
                            <w:i/>
                            <w:sz w:val="24"/>
                            <w:szCs w:val="24"/>
                          </w:rPr>
                        </m:ctrlPr>
                      </m:sup>
                    </m:sSup>
                    <m:ctrlPr>
                      <w:rPr>
                        <w:rFonts w:hint="default" w:ascii="Cambria Math" w:hAnsi="Cambria Math" w:eastAsia="宋体" w:cs="Times New Roman"/>
                        <w:i/>
                        <w:sz w:val="24"/>
                        <w:szCs w:val="24"/>
                      </w:rPr>
                    </m:ctrlPr>
                  </m:den>
                </m:f>
              </m:oMath>
            </m:oMathPara>
          </w:p>
          <w:p w14:paraId="28486D9F">
            <w:pPr>
              <w:keepLines w:val="0"/>
              <w:pageBreakBefore w:val="0"/>
              <w:kinsoku/>
              <w:wordWrap/>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式中：q——设计暴雨强度，（单位：升/秒/公顷；L/s·hm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14:paraId="7DA246BF">
            <w:pPr>
              <w:keepLines w:val="0"/>
              <w:pageBreakBefore w:val="0"/>
              <w:kinsoku/>
              <w:wordWrap/>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P——设计重现期，一般地区P=2年；重要地区（如政府所在地、车站等）及汇水区域较大的主干管（渠）宜采用高标准，P=3-5年；a。</w:t>
            </w:r>
          </w:p>
          <w:p w14:paraId="5581135C">
            <w:pPr>
              <w:keepLines w:val="0"/>
              <w:pageBreakBefore w:val="0"/>
              <w:kinsoku/>
              <w:wordWrap/>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t——降雨历时，t=15min。</w:t>
            </w:r>
          </w:p>
          <w:p w14:paraId="53D08191">
            <w:pPr>
              <w:keepLines w:val="0"/>
              <w:pageBreakBefore w:val="0"/>
              <w:kinsoku/>
              <w:wordWrap/>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得暴雨强度q=280.972L/s·hm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14:paraId="01078D05">
            <w:pPr>
              <w:keepLines w:val="0"/>
              <w:pageBreakBefore w:val="0"/>
              <w:kinsoku/>
              <w:wordWrap/>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再计算雨水设计流量：</w:t>
            </w:r>
          </w:p>
          <w:p w14:paraId="19B9972A">
            <w:pPr>
              <w:keepLines w:val="0"/>
              <w:pageBreakBefore w:val="0"/>
              <w:kinsoku/>
              <w:wordWrap/>
              <w:topLinePunct w:val="0"/>
              <w:autoSpaceDE/>
              <w:autoSpaceDN/>
              <w:bidi w:val="0"/>
              <w:adjustRightInd/>
              <w:snapToGrid/>
              <w:spacing w:line="360" w:lineRule="auto"/>
              <w:ind w:firstLine="48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Qs=qΨF</w:t>
            </w:r>
          </w:p>
          <w:p w14:paraId="7FE8EF63">
            <w:pPr>
              <w:keepLines w:val="0"/>
              <w:pageBreakBefore w:val="0"/>
              <w:kinsoku/>
              <w:wordWrap/>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式中：Qs——雨水设计流量，L/s；</w:t>
            </w:r>
          </w:p>
          <w:p w14:paraId="26349919">
            <w:pPr>
              <w:keepLines w:val="0"/>
              <w:pageBreakBefore w:val="0"/>
              <w:kinsoku/>
              <w:wordWrap/>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q——设计暴雨强度，L/s·hm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；暴雨强度q=280.972L/s·hm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14:paraId="4AE21425">
            <w:pPr>
              <w:keepLines w:val="0"/>
              <w:pageBreakBefore w:val="0"/>
              <w:kinsoku/>
              <w:wordWrap/>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Ψ——综合径流系数；取Ψ=0.5。</w:t>
            </w:r>
          </w:p>
          <w:p w14:paraId="5E2BB4E5">
            <w:pPr>
              <w:keepLines w:val="0"/>
              <w:pageBreakBefore w:val="0"/>
              <w:kinsoku/>
              <w:wordWrap/>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F——汇水面积，hm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；汇水面积按生产区面积，F=0.3hm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14:paraId="4DC78CC8">
            <w:pPr>
              <w:keepLines w:val="0"/>
              <w:pageBreakBefore w:val="0"/>
              <w:kinsoku/>
              <w:wordWrap/>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从而得雨水设计流量为：Q =59L/s；若按15min历时，则初期雨水量为42.1m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。V</w:t>
            </w:r>
            <w:r>
              <w:rPr>
                <w:rFonts w:hint="default" w:ascii="Times New Roman" w:hAnsi="Times New Roman" w:eastAsia="宋体" w:cs="Times New Roman"/>
                <w:sz w:val="24"/>
                <w:szCs w:val="24"/>
                <w:vertAlign w:val="subscript"/>
              </w:rPr>
              <w:t>5</w:t>
            </w:r>
            <w:r>
              <w:rPr>
                <w:rFonts w:hint="default" w:ascii="Times New Roman" w:hAnsi="Times New Roman" w:eastAsia="宋体" w:cs="Times New Roman"/>
                <w:sz w:val="24"/>
                <w:szCs w:val="24"/>
              </w:rPr>
              <w:t>=42.1m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14:paraId="7B70BB74">
            <w:pPr>
              <w:keepLines w:val="0"/>
              <w:pageBreakBefore w:val="0"/>
              <w:kinsoku/>
              <w:wordWrap/>
              <w:topLinePunct w:val="0"/>
              <w:autoSpaceDE/>
              <w:autoSpaceDN/>
              <w:bidi w:val="0"/>
              <w:adjustRightInd/>
              <w:snapToGrid/>
              <w:spacing w:line="360" w:lineRule="auto"/>
              <w:ind w:firstLine="600" w:firstLineChars="25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则需收集的事故废水量及收集设施容积见下表。</w:t>
            </w:r>
          </w:p>
          <w:p w14:paraId="2ED4597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eastAsia" w:cs="Times New Roman"/>
                <w:b/>
                <w:color w:val="000000" w:themeColor="text1"/>
                <w:sz w:val="24"/>
                <w:szCs w:val="24"/>
                <w:lang w:val="en-US" w:eastAsia="zh-CN"/>
                <w14:textFill>
                  <w14:solidFill>
                    <w14:schemeClr w14:val="tx1"/>
                  </w14:solidFill>
                </w14:textFill>
              </w:rPr>
              <w:t>4-20</w:t>
            </w:r>
            <w:r>
              <w:rPr>
                <w:rFonts w:hint="default" w:ascii="Times New Roman" w:hAnsi="Times New Roman" w:eastAsia="宋体" w:cs="Times New Roman"/>
                <w:b/>
                <w:color w:val="000000" w:themeColor="text1"/>
                <w:sz w:val="24"/>
                <w:szCs w:val="24"/>
                <w14:textFill>
                  <w14:solidFill>
                    <w14:schemeClr w14:val="tx1"/>
                  </w14:solidFill>
                </w14:textFill>
              </w:rPr>
              <w:t xml:space="preserve">  项目需收集的事故废水量  单位：m</w:t>
            </w:r>
            <w:r>
              <w:rPr>
                <w:rFonts w:hint="default" w:ascii="Times New Roman" w:hAnsi="Times New Roman" w:eastAsia="宋体" w:cs="Times New Roman"/>
                <w:b/>
                <w:color w:val="000000" w:themeColor="text1"/>
                <w:sz w:val="24"/>
                <w:szCs w:val="24"/>
                <w:vertAlign w:val="superscript"/>
                <w14:textFill>
                  <w14:solidFill>
                    <w14:schemeClr w14:val="tx1"/>
                  </w14:solidFill>
                </w14:textFill>
              </w:rPr>
              <w:t>3</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076"/>
              <w:gridCol w:w="1076"/>
              <w:gridCol w:w="1076"/>
              <w:gridCol w:w="1076"/>
              <w:gridCol w:w="1076"/>
              <w:gridCol w:w="1077"/>
            </w:tblGrid>
            <w:tr w14:paraId="080C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3" w:type="pct"/>
                  <w:vAlign w:val="center"/>
                </w:tcPr>
                <w:p w14:paraId="2377E0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类型</w:t>
                  </w:r>
                </w:p>
              </w:tc>
              <w:tc>
                <w:tcPr>
                  <w:tcW w:w="664" w:type="pct"/>
                  <w:vAlign w:val="center"/>
                </w:tcPr>
                <w:p w14:paraId="48F5EF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subscript"/>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w:t>
                  </w:r>
                  <w:r>
                    <w:rPr>
                      <w:rFonts w:hint="default" w:ascii="Times New Roman" w:hAnsi="Times New Roman" w:eastAsia="宋体" w:cs="Times New Roman"/>
                      <w:color w:val="000000" w:themeColor="text1"/>
                      <w:sz w:val="21"/>
                      <w:szCs w:val="21"/>
                      <w:vertAlign w:val="subscript"/>
                      <w14:textFill>
                        <w14:solidFill>
                          <w14:schemeClr w14:val="tx1"/>
                        </w14:solidFill>
                      </w14:textFill>
                    </w:rPr>
                    <w:t>1</w:t>
                  </w:r>
                </w:p>
              </w:tc>
              <w:tc>
                <w:tcPr>
                  <w:tcW w:w="664" w:type="pct"/>
                  <w:vAlign w:val="center"/>
                </w:tcPr>
                <w:p w14:paraId="1DDFD2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subscript"/>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664" w:type="pct"/>
                  <w:vAlign w:val="center"/>
                </w:tcPr>
                <w:p w14:paraId="2E8C4B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subscript"/>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c>
                <w:tcPr>
                  <w:tcW w:w="664" w:type="pct"/>
                  <w:vAlign w:val="center"/>
                </w:tcPr>
                <w:p w14:paraId="573CF4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subscript"/>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w:t>
                  </w:r>
                  <w:r>
                    <w:rPr>
                      <w:rFonts w:hint="default" w:ascii="Times New Roman" w:hAnsi="Times New Roman" w:eastAsia="宋体" w:cs="Times New Roman"/>
                      <w:color w:val="000000" w:themeColor="text1"/>
                      <w:sz w:val="21"/>
                      <w:szCs w:val="21"/>
                      <w:vertAlign w:val="subscript"/>
                      <w14:textFill>
                        <w14:solidFill>
                          <w14:schemeClr w14:val="tx1"/>
                        </w14:solidFill>
                      </w14:textFill>
                    </w:rPr>
                    <w:t>4</w:t>
                  </w:r>
                </w:p>
              </w:tc>
              <w:tc>
                <w:tcPr>
                  <w:tcW w:w="664" w:type="pct"/>
                  <w:vAlign w:val="center"/>
                </w:tcPr>
                <w:p w14:paraId="5885CD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p>
              </w:tc>
              <w:tc>
                <w:tcPr>
                  <w:tcW w:w="665" w:type="pct"/>
                  <w:vAlign w:val="center"/>
                </w:tcPr>
                <w:p w14:paraId="2026B5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subscript"/>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w:t>
                  </w:r>
                  <w:r>
                    <w:rPr>
                      <w:rFonts w:hint="default" w:ascii="Times New Roman" w:hAnsi="Times New Roman" w:eastAsia="宋体" w:cs="Times New Roman"/>
                      <w:color w:val="000000" w:themeColor="text1"/>
                      <w:sz w:val="21"/>
                      <w:szCs w:val="21"/>
                      <w:vertAlign w:val="subscript"/>
                      <w14:textFill>
                        <w14:solidFill>
                          <w14:schemeClr w14:val="tx1"/>
                        </w14:solidFill>
                      </w14:textFill>
                    </w:rPr>
                    <w:t>总</w:t>
                  </w:r>
                </w:p>
              </w:tc>
            </w:tr>
            <w:tr w14:paraId="4CA6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3" w:type="pct"/>
                  <w:vAlign w:val="center"/>
                </w:tcPr>
                <w:p w14:paraId="6DF575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装置及罐区</w:t>
                  </w:r>
                </w:p>
              </w:tc>
              <w:tc>
                <w:tcPr>
                  <w:tcW w:w="664" w:type="pct"/>
                  <w:vAlign w:val="center"/>
                </w:tcPr>
                <w:p w14:paraId="7CB489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664" w:type="pct"/>
                  <w:vAlign w:val="center"/>
                </w:tcPr>
                <w:p w14:paraId="34FB44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72</w:t>
                  </w:r>
                </w:p>
              </w:tc>
              <w:tc>
                <w:tcPr>
                  <w:tcW w:w="664" w:type="pct"/>
                  <w:vAlign w:val="center"/>
                </w:tcPr>
                <w:p w14:paraId="267F5E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664" w:type="pct"/>
                  <w:vAlign w:val="center"/>
                </w:tcPr>
                <w:p w14:paraId="7F4EC9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17.2</w:t>
                  </w:r>
                </w:p>
              </w:tc>
              <w:tc>
                <w:tcPr>
                  <w:tcW w:w="664" w:type="pct"/>
                  <w:vAlign w:val="center"/>
                </w:tcPr>
                <w:p w14:paraId="0C9D21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42.1</w:t>
                  </w:r>
                </w:p>
              </w:tc>
              <w:tc>
                <w:tcPr>
                  <w:tcW w:w="665" w:type="pct"/>
                  <w:vAlign w:val="center"/>
                </w:tcPr>
                <w:p w14:paraId="031B62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131.2</w:t>
                  </w:r>
                </w:p>
              </w:tc>
            </w:tr>
          </w:tbl>
          <w:p w14:paraId="2F186DD6">
            <w:pPr>
              <w:pStyle w:val="73"/>
              <w:keepLines w:val="0"/>
              <w:pageBreakBefore w:val="0"/>
              <w:tabs>
                <w:tab w:val="left" w:pos="358"/>
              </w:tabs>
              <w:kinsoku/>
              <w:wordWrap/>
              <w:topLinePunct w:val="0"/>
              <w:autoSpaceDE/>
              <w:autoSpaceDN/>
              <w:bidi w:val="0"/>
              <w:adjustRightInd/>
              <w:snapToGrid/>
              <w:spacing w:before="0" w:after="0" w:line="360" w:lineRule="auto"/>
              <w:ind w:firstLine="480"/>
              <w:textAlignment w:val="auto"/>
              <w:outlineLvl w:val="9"/>
              <w:rPr>
                <w:rFonts w:hint="default" w:ascii="Times New Roman" w:hAnsi="Times New Roman" w:eastAsia="宋体" w:cs="Times New Roman"/>
                <w:b w:val="0"/>
                <w:color w:val="000000" w:themeColor="text1"/>
                <w:sz w:val="24"/>
                <w:szCs w:val="24"/>
                <w14:textFill>
                  <w14:solidFill>
                    <w14:schemeClr w14:val="tx1"/>
                  </w14:solidFill>
                </w14:textFill>
              </w:rPr>
            </w:pPr>
            <w:r>
              <w:rPr>
                <w:rFonts w:hint="default" w:ascii="Times New Roman" w:hAnsi="Times New Roman" w:eastAsia="宋体" w:cs="Times New Roman"/>
                <w:b w:val="0"/>
                <w:color w:val="000000" w:themeColor="text1"/>
                <w:sz w:val="24"/>
                <w:szCs w:val="24"/>
                <w14:textFill>
                  <w14:solidFill>
                    <w14:schemeClr w14:val="tx1"/>
                  </w14:solidFill>
                </w14:textFill>
              </w:rPr>
              <w:t>经以上计算得知，企业至少设置</w:t>
            </w:r>
            <w:r>
              <w:rPr>
                <w:rFonts w:hint="eastAsia" w:cs="Times New Roman"/>
                <w:b w:val="0"/>
                <w:color w:val="000000" w:themeColor="text1"/>
                <w:sz w:val="24"/>
                <w:szCs w:val="24"/>
                <w:lang w:val="en-US" w:eastAsia="zh-CN"/>
                <w14:textFill>
                  <w14:solidFill>
                    <w14:schemeClr w14:val="tx1"/>
                  </w14:solidFill>
                </w14:textFill>
              </w:rPr>
              <w:t>140</w:t>
            </w:r>
            <w:r>
              <w:rPr>
                <w:rFonts w:hint="default" w:ascii="Times New Roman" w:hAnsi="Times New Roman" w:eastAsia="宋体" w:cs="Times New Roman"/>
                <w:b w:val="0"/>
                <w:color w:val="000000" w:themeColor="text1"/>
                <w:sz w:val="24"/>
                <w:szCs w:val="24"/>
                <w14:textFill>
                  <w14:solidFill>
                    <w14:schemeClr w14:val="tx1"/>
                  </w14:solidFill>
                </w14:textFill>
              </w:rPr>
              <w:t>m³的应急事故池，可以满足事故废水储池需要。</w:t>
            </w:r>
          </w:p>
          <w:p w14:paraId="203C029A">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eastAsia" w:ascii="Times New Roman" w:hAnsi="Times New Roman" w:eastAsia="宋体" w:cs="Times New Roman"/>
                <w:b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auto"/>
                <w:sz w:val="24"/>
                <w:lang w:val="en-US" w:eastAsia="zh-CN"/>
              </w:rPr>
              <w:t>项目拟建设的事故池位于</w:t>
            </w:r>
            <w:r>
              <w:rPr>
                <w:rFonts w:hint="eastAsia" w:cs="Times New Roman"/>
                <w:color w:val="auto"/>
                <w:sz w:val="24"/>
                <w:lang w:val="en-US" w:eastAsia="zh-CN"/>
              </w:rPr>
              <w:t>厂区东</w:t>
            </w:r>
            <w:r>
              <w:rPr>
                <w:rFonts w:hint="eastAsia" w:ascii="Times New Roman" w:hAnsi="Times New Roman" w:cs="Times New Roman"/>
                <w:color w:val="auto"/>
                <w:sz w:val="24"/>
                <w:lang w:val="en-US" w:eastAsia="zh-CN"/>
              </w:rPr>
              <w:t>南侧，设置地下事故应急池，事故池设置位置相较于车间的下方，地势较低，通过车间预埋管道能够做到自流收集，并在雨水管网处设置截止阀，防止事故废水经雨水管网</w:t>
            </w:r>
            <w:r>
              <w:rPr>
                <w:rFonts w:hint="eastAsia" w:cs="Times New Roman"/>
                <w:color w:val="auto"/>
                <w:sz w:val="24"/>
                <w:lang w:val="en-US" w:eastAsia="zh-CN"/>
              </w:rPr>
              <w:t>排出</w:t>
            </w:r>
            <w:r>
              <w:rPr>
                <w:rFonts w:hint="eastAsia" w:ascii="Times New Roman" w:hAnsi="Times New Roman" w:cs="Times New Roman"/>
                <w:color w:val="auto"/>
                <w:sz w:val="24"/>
                <w:lang w:val="en-US" w:eastAsia="zh-CN"/>
              </w:rPr>
              <w:t>厂外。</w:t>
            </w:r>
          </w:p>
          <w:p w14:paraId="24624B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eastAsia" w:cs="Times New Roman"/>
                <w:color w:val="auto"/>
                <w:kern w:val="0"/>
                <w:sz w:val="24"/>
                <w:highlight w:val="none"/>
                <w:lang w:val="en-US" w:eastAsia="zh-CN"/>
              </w:rPr>
              <w:t>（6）</w:t>
            </w:r>
            <w:r>
              <w:rPr>
                <w:rFonts w:hint="default" w:ascii="Times New Roman" w:hAnsi="Times New Roman" w:cs="Times New Roman"/>
                <w:color w:val="auto"/>
                <w:sz w:val="24"/>
                <w:highlight w:val="none"/>
              </w:rPr>
              <w:t>制定事故应急预案：为了有效地处理风险事故，应有切实可行的处置措施。项目风险事故应急措施包括设备器材、事故现场指挥、救护、通讯等系统的建立、现场应急措施 方案</w:t>
            </w:r>
            <w:r>
              <w:rPr>
                <w:rFonts w:hint="default" w:ascii="Times New Roman" w:hAnsi="Times New Roman" w:eastAsia="宋体" w:cs="Times New Roman"/>
                <w:color w:val="auto"/>
                <w:sz w:val="24"/>
                <w:highlight w:val="none"/>
                <w:lang w:eastAsia="zh-CN"/>
              </w:rPr>
              <w:t>、</w:t>
            </w:r>
            <w:r>
              <w:rPr>
                <w:rFonts w:hint="default" w:ascii="Times New Roman" w:hAnsi="Times New Roman" w:cs="Times New Roman"/>
                <w:color w:val="auto"/>
                <w:sz w:val="24"/>
                <w:highlight w:val="none"/>
              </w:rPr>
              <w:t>现场撤离和善后措施方案等。项目建成后，公司应立即建立完善的管理制度，内容涵盖生产、供应、销售、安全、环保各方面，通过完善的制度保障应急救援行动的有效启动和实施设立应急报警、通讯系统以及事故处置管理体系。明确职责，并落实到具体部门及负责人员。对事故现场管理以及事故处置全过程的监督，应由富有事故处置经验的人员或有关部门工作人员承担。</w:t>
            </w:r>
          </w:p>
          <w:p w14:paraId="3C44F8B7">
            <w:pPr>
              <w:keepNext w:val="0"/>
              <w:keepLines w:val="0"/>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lang w:val="zh-CN"/>
              </w:rPr>
              <w:t>（</w:t>
            </w:r>
            <w:r>
              <w:rPr>
                <w:rFonts w:hint="eastAsia" w:cs="Times New Roman"/>
                <w:color w:val="auto"/>
                <w:kern w:val="0"/>
                <w:sz w:val="24"/>
                <w:highlight w:val="none"/>
                <w:lang w:val="en-US" w:eastAsia="zh-CN"/>
              </w:rPr>
              <w:t>7</w:t>
            </w:r>
            <w:r>
              <w:rPr>
                <w:rFonts w:hint="default" w:ascii="Times New Roman" w:hAnsi="Times New Roman" w:eastAsia="宋体" w:cs="Times New Roman"/>
                <w:color w:val="auto"/>
                <w:kern w:val="0"/>
                <w:sz w:val="24"/>
                <w:highlight w:val="none"/>
                <w:lang w:val="zh-CN"/>
              </w:rPr>
              <w:t>）风险评价结论</w:t>
            </w:r>
          </w:p>
          <w:p w14:paraId="6CC85626">
            <w:pPr>
              <w:pStyle w:val="14"/>
              <w:keepNext w:val="0"/>
              <w:keepLines w:val="0"/>
              <w:pageBreakBefore w:val="0"/>
              <w:widowControl/>
              <w:kinsoku/>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color w:val="auto"/>
                <w:sz w:val="24"/>
                <w:highlight w:val="none"/>
                <w:lang w:val="zh-CN"/>
              </w:rPr>
            </w:pPr>
            <w:r>
              <w:rPr>
                <w:rFonts w:ascii="Times New Roman" w:hAnsi="Times New Roman"/>
                <w:color w:val="auto"/>
                <w:spacing w:val="0"/>
                <w:kern w:val="2"/>
                <w:position w:val="0"/>
                <w:szCs w:val="24"/>
                <w:highlight w:val="none"/>
              </w:rPr>
              <w:t>综上所述，本项目</w:t>
            </w:r>
            <w:r>
              <w:rPr>
                <w:rFonts w:ascii="Times New Roman" w:hAnsi="Times New Roman"/>
                <w:color w:val="auto"/>
                <w:spacing w:val="0"/>
                <w:position w:val="0"/>
                <w:highlight w:val="none"/>
              </w:rPr>
              <w:t>的事故风险在相应的备用设备齐全以及风险防范措施落实到位的情况下，环境风险是可以接受的。为了防范事故和减少危害，需制定事故应急预案。同时建设单位应当加强各项风险防范措施的定期维护和检修，加强应急演习训练。</w:t>
            </w:r>
          </w:p>
          <w:p w14:paraId="427363DF">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360" w:lineRule="auto"/>
              <w:ind w:left="0" w:leftChars="0" w:firstLine="482" w:firstLineChars="200"/>
              <w:textAlignment w:val="baseline"/>
              <w:rPr>
                <w:rFonts w:hint="default" w:ascii="Times New Roman" w:hAnsi="Times New Roman" w:eastAsia="宋体" w:cs="Times New Roman"/>
                <w:b/>
                <w:bCs/>
                <w:color w:val="auto"/>
                <w:kern w:val="2"/>
                <w:sz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7、</w:t>
            </w:r>
            <w:r>
              <w:rPr>
                <w:rFonts w:hint="eastAsia" w:ascii="Times New Roman" w:hAnsi="Times New Roman" w:cs="Times New Roman"/>
                <w:b/>
                <w:bCs/>
                <w:color w:val="auto"/>
                <w:kern w:val="2"/>
                <w:sz w:val="24"/>
                <w:highlight w:val="none"/>
                <w:lang w:val="en-US" w:eastAsia="zh-CN"/>
              </w:rPr>
              <w:t>生态</w:t>
            </w:r>
          </w:p>
          <w:p w14:paraId="152A6FA0">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360" w:lineRule="auto"/>
              <w:ind w:firstLine="440" w:firstLineChars="200"/>
              <w:textAlignment w:val="baseline"/>
              <w:rPr>
                <w:rFonts w:hint="default" w:ascii="Times New Roman" w:hAnsi="Times New Roman" w:eastAsia="宋体" w:cs="Times New Roman"/>
                <w:b/>
                <w:bCs/>
                <w:color w:val="auto"/>
                <w:kern w:val="2"/>
                <w:sz w:val="24"/>
                <w:highlight w:val="none"/>
                <w:lang w:val="en-US" w:eastAsia="zh-CN"/>
              </w:rPr>
            </w:pPr>
            <w:r>
              <w:rPr>
                <w:rFonts w:hint="eastAsia" w:eastAsia="宋体" w:cs="宋体"/>
                <w:bCs/>
                <w:color w:val="auto"/>
                <w:spacing w:val="-10"/>
                <w:sz w:val="24"/>
                <w:szCs w:val="24"/>
                <w:highlight w:val="none"/>
                <w:lang w:val="en-US" w:eastAsia="zh-CN"/>
              </w:rPr>
              <w:t>本项目不涉及产业园区外建设项目新增用地且用地范围内不含有生态环境保护目标，故不对该部分内容进行分析</w:t>
            </w:r>
          </w:p>
          <w:p w14:paraId="3F831C11">
            <w:pPr>
              <w:pStyle w:val="58"/>
              <w:keepNext w:val="0"/>
              <w:keepLines w:val="0"/>
              <w:pageBreakBefore w:val="0"/>
              <w:widowControl/>
              <w:kinsoku/>
              <w:wordWrap/>
              <w:overflowPunct/>
              <w:topLinePunct w:val="0"/>
              <w:autoSpaceDE w:val="0"/>
              <w:autoSpaceDN w:val="0"/>
              <w:bidi w:val="0"/>
              <w:adjustRightInd/>
              <w:snapToGrid/>
              <w:spacing w:before="0" w:line="360" w:lineRule="auto"/>
              <w:ind w:firstLine="482" w:firstLineChars="200"/>
              <w:textAlignment w:val="baseline"/>
              <w:rPr>
                <w:rFonts w:ascii="Times New Roman" w:hAnsi="Times New Roman" w:eastAsia="宋体" w:cs="Times New Roman"/>
                <w:b/>
                <w:bCs/>
                <w:color w:val="auto"/>
                <w:kern w:val="2"/>
                <w:sz w:val="24"/>
                <w:highlight w:val="none"/>
                <w:lang w:eastAsia="zh-CN"/>
              </w:rPr>
            </w:pPr>
            <w:r>
              <w:rPr>
                <w:rFonts w:hint="eastAsia" w:ascii="Times New Roman" w:hAnsi="Times New Roman" w:cs="Times New Roman"/>
                <w:b/>
                <w:bCs/>
                <w:color w:val="auto"/>
                <w:kern w:val="2"/>
                <w:sz w:val="24"/>
                <w:highlight w:val="none"/>
                <w:lang w:val="en-US" w:eastAsia="zh-CN"/>
              </w:rPr>
              <w:t>8</w:t>
            </w:r>
            <w:r>
              <w:rPr>
                <w:rFonts w:hint="eastAsia" w:ascii="Times New Roman" w:hAnsi="Times New Roman" w:eastAsia="宋体" w:cs="Times New Roman"/>
                <w:b/>
                <w:bCs/>
                <w:color w:val="auto"/>
                <w:kern w:val="2"/>
                <w:sz w:val="24"/>
                <w:highlight w:val="none"/>
                <w:lang w:eastAsia="zh-CN"/>
              </w:rPr>
              <w:t>、电磁辐射</w:t>
            </w:r>
          </w:p>
          <w:p w14:paraId="04D95B77">
            <w:pPr>
              <w:pStyle w:val="58"/>
              <w:pageBreakBefore w:val="0"/>
              <w:kinsoku/>
              <w:overflowPunct/>
              <w:topLinePunct w:val="0"/>
              <w:bidi w:val="0"/>
              <w:adjustRightInd/>
              <w:snapToGrid/>
              <w:spacing w:before="0" w:line="360" w:lineRule="auto"/>
              <w:ind w:firstLine="440" w:firstLineChars="200"/>
              <w:rPr>
                <w:rFonts w:hint="default"/>
                <w:color w:val="auto"/>
                <w:highlight w:val="none"/>
              </w:rPr>
            </w:pPr>
            <w:r>
              <w:rPr>
                <w:rFonts w:hint="eastAsia" w:eastAsia="宋体" w:cs="宋体"/>
                <w:bCs/>
                <w:color w:val="auto"/>
                <w:spacing w:val="-10"/>
                <w:sz w:val="24"/>
                <w:szCs w:val="24"/>
                <w:highlight w:val="none"/>
                <w:lang w:eastAsia="zh-CN"/>
              </w:rPr>
              <w:t>本项目不涉及电磁辐射，故不对该部分内容进行分析。</w:t>
            </w:r>
          </w:p>
        </w:tc>
      </w:tr>
    </w:tbl>
    <w:p w14:paraId="5DBFE0D8">
      <w:pPr>
        <w:jc w:val="center"/>
        <w:rPr>
          <w:color w:val="auto"/>
          <w:highlight w:val="none"/>
        </w:rPr>
        <w:sectPr>
          <w:pgSz w:w="11906" w:h="16838"/>
          <w:pgMar w:top="1440" w:right="1800" w:bottom="1440" w:left="1800" w:header="851" w:footer="992" w:gutter="0"/>
          <w:pgNumType w:fmt="decimal"/>
          <w:cols w:space="425" w:num="1"/>
          <w:docGrid w:type="lines" w:linePitch="312" w:charSpace="0"/>
        </w:sectPr>
      </w:pPr>
    </w:p>
    <w:p w14:paraId="5356E31C">
      <w:pPr>
        <w:pStyle w:val="23"/>
        <w:keepNext w:val="0"/>
        <w:keepLines w:val="0"/>
        <w:pageBreakBefore w:val="0"/>
        <w:widowControl/>
        <w:kinsoku w:val="0"/>
        <w:wordWrap/>
        <w:overflowPunct/>
        <w:topLinePunct w:val="0"/>
        <w:autoSpaceDE w:val="0"/>
        <w:autoSpaceDN w:val="0"/>
        <w:bidi w:val="0"/>
        <w:adjustRightInd/>
        <w:snapToGrid/>
        <w:spacing w:before="0" w:beforeAutospacing="0" w:after="0" w:afterAutospacing="0" w:line="360" w:lineRule="auto"/>
        <w:jc w:val="center"/>
        <w:textAlignment w:val="baseline"/>
        <w:outlineLvl w:val="0"/>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lang w:eastAsia="zh-CN"/>
        </w:rPr>
        <w:t>五、</w:t>
      </w:r>
      <w:bookmarkStart w:id="62" w:name="_Hlk54167917"/>
      <w:r>
        <w:rPr>
          <w:rFonts w:hint="eastAsia" w:ascii="宋体" w:hAnsi="宋体" w:eastAsia="宋体" w:cs="宋体"/>
          <w:b/>
          <w:bCs/>
          <w:color w:val="auto"/>
          <w:sz w:val="30"/>
          <w:szCs w:val="30"/>
          <w:highlight w:val="none"/>
          <w:lang w:eastAsia="zh-CN"/>
        </w:rPr>
        <w:t>环境保护措施监督检查清单</w:t>
      </w:r>
      <w:bookmarkEnd w:id="62"/>
    </w:p>
    <w:tbl>
      <w:tblPr>
        <w:tblStyle w:val="25"/>
        <w:tblW w:w="55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1566"/>
        <w:gridCol w:w="1190"/>
        <w:gridCol w:w="2163"/>
        <w:gridCol w:w="3507"/>
      </w:tblGrid>
      <w:tr w14:paraId="2433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516" w:type="pct"/>
            <w:vAlign w:val="center"/>
          </w:tcPr>
          <w:p w14:paraId="47538D47">
            <w:pPr>
              <w:pStyle w:val="9"/>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内容要素</w:t>
            </w:r>
          </w:p>
        </w:tc>
        <w:tc>
          <w:tcPr>
            <w:tcW w:w="833" w:type="pct"/>
            <w:vAlign w:val="center"/>
          </w:tcPr>
          <w:p w14:paraId="6B5FAA0B">
            <w:pPr>
              <w:pStyle w:val="9"/>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排放口（编号、名称）/污染源</w:t>
            </w:r>
          </w:p>
        </w:tc>
        <w:tc>
          <w:tcPr>
            <w:tcW w:w="633" w:type="pct"/>
            <w:vAlign w:val="center"/>
          </w:tcPr>
          <w:p w14:paraId="500B4C40">
            <w:pPr>
              <w:pStyle w:val="9"/>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污染物项目</w:t>
            </w:r>
          </w:p>
        </w:tc>
        <w:tc>
          <w:tcPr>
            <w:tcW w:w="1151" w:type="pct"/>
            <w:vAlign w:val="center"/>
          </w:tcPr>
          <w:p w14:paraId="5C790E96">
            <w:pPr>
              <w:pStyle w:val="9"/>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环境保护措施</w:t>
            </w:r>
          </w:p>
        </w:tc>
        <w:tc>
          <w:tcPr>
            <w:tcW w:w="1865" w:type="pct"/>
            <w:vAlign w:val="center"/>
          </w:tcPr>
          <w:p w14:paraId="2B317A71">
            <w:pPr>
              <w:pStyle w:val="9"/>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执行标准</w:t>
            </w:r>
          </w:p>
        </w:tc>
      </w:tr>
      <w:tr w14:paraId="725A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16" w:type="pct"/>
            <w:vMerge w:val="restart"/>
            <w:vAlign w:val="center"/>
          </w:tcPr>
          <w:p w14:paraId="44B51397">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大气环境</w:t>
            </w:r>
          </w:p>
        </w:tc>
        <w:tc>
          <w:tcPr>
            <w:tcW w:w="833" w:type="pct"/>
            <w:tcBorders>
              <w:bottom w:val="single" w:color="000000" w:sz="2" w:space="0"/>
            </w:tcBorders>
            <w:vAlign w:val="center"/>
          </w:tcPr>
          <w:p w14:paraId="70FBC263">
            <w:pPr>
              <w:pStyle w:val="41"/>
              <w:keepNext w:val="0"/>
              <w:keepLines w:val="0"/>
              <w:pageBreakBefore w:val="0"/>
              <w:widowControl/>
              <w:kinsoku w:val="0"/>
              <w:wordWrap/>
              <w:overflowPunct/>
              <w:topLinePunct w:val="0"/>
              <w:autoSpaceDE w:val="0"/>
              <w:autoSpaceDN w:val="0"/>
              <w:bidi w:val="0"/>
              <w:adjustRightInd/>
              <w:snapToGrid/>
              <w:textAlignment w:val="baseline"/>
              <w:rPr>
                <w:rFonts w:hint="default" w:ascii="Times New Roman" w:hAnsi="Times New Roman" w:eastAsia="宋体"/>
                <w:bCs/>
                <w:color w:val="auto"/>
                <w:kern w:val="24"/>
                <w:sz w:val="24"/>
                <w:szCs w:val="24"/>
                <w:highlight w:val="none"/>
                <w:lang w:val="en-US" w:eastAsia="zh-CN"/>
              </w:rPr>
            </w:pPr>
            <w:r>
              <w:rPr>
                <w:rFonts w:ascii="Times New Roman" w:hAnsi="Times New Roman" w:eastAsia="宋体"/>
                <w:bCs/>
                <w:color w:val="auto"/>
                <w:kern w:val="24"/>
                <w:sz w:val="24"/>
                <w:szCs w:val="24"/>
                <w:highlight w:val="none"/>
                <w:lang w:eastAsia="zh-CN"/>
              </w:rPr>
              <w:t>DA001/</w:t>
            </w:r>
            <w:r>
              <w:rPr>
                <w:rFonts w:hint="eastAsia" w:ascii="Times New Roman" w:hAnsi="Times New Roman" w:eastAsia="宋体"/>
                <w:bCs/>
                <w:color w:val="auto"/>
                <w:kern w:val="24"/>
                <w:sz w:val="24"/>
                <w:szCs w:val="24"/>
                <w:highlight w:val="none"/>
                <w:lang w:val="en-US" w:eastAsia="zh-CN"/>
              </w:rPr>
              <w:t>下料、焊接</w:t>
            </w:r>
            <w:r>
              <w:rPr>
                <w:rFonts w:hint="eastAsia"/>
                <w:bCs/>
                <w:color w:val="auto"/>
                <w:kern w:val="24"/>
                <w:sz w:val="24"/>
                <w:szCs w:val="24"/>
                <w:highlight w:val="none"/>
                <w:lang w:val="en-US" w:eastAsia="zh-CN"/>
              </w:rPr>
              <w:t>、打磨抛光</w:t>
            </w:r>
            <w:r>
              <w:rPr>
                <w:rFonts w:ascii="Times New Roman" w:hAnsi="Times New Roman" w:eastAsia="宋体"/>
                <w:bCs/>
                <w:color w:val="auto"/>
                <w:kern w:val="24"/>
                <w:sz w:val="24"/>
                <w:szCs w:val="24"/>
                <w:highlight w:val="none"/>
                <w:lang w:eastAsia="zh-CN"/>
              </w:rPr>
              <w:t>粉尘</w:t>
            </w:r>
          </w:p>
        </w:tc>
        <w:tc>
          <w:tcPr>
            <w:tcW w:w="633" w:type="pct"/>
            <w:tcBorders>
              <w:bottom w:val="single" w:color="000000" w:sz="2" w:space="0"/>
            </w:tcBorders>
            <w:vAlign w:val="center"/>
          </w:tcPr>
          <w:p w14:paraId="7FFF31D8">
            <w:pPr>
              <w:keepNext w:val="0"/>
              <w:keepLines w:val="0"/>
              <w:pageBreakBefore w:val="0"/>
              <w:widowControl/>
              <w:kinsoku w:val="0"/>
              <w:wordWrap/>
              <w:overflowPunct/>
              <w:topLinePunct w:val="0"/>
              <w:autoSpaceDE w:val="0"/>
              <w:autoSpaceDN w:val="0"/>
              <w:bidi w:val="0"/>
              <w:adjustRightInd/>
              <w:snapToGrid/>
              <w:jc w:val="center"/>
              <w:textAlignment w:val="baseline"/>
              <w:rPr>
                <w:rFonts w:hint="eastAsia" w:ascii="Times New Roman" w:hAnsi="Times New Roman" w:eastAsia="宋体" w:cs="Times New Roman"/>
                <w:bCs/>
                <w:color w:val="auto"/>
                <w:kern w:val="24"/>
                <w:sz w:val="24"/>
                <w:szCs w:val="24"/>
                <w:highlight w:val="none"/>
                <w:lang w:val="en-US" w:eastAsia="zh-CN"/>
              </w:rPr>
            </w:pPr>
            <w:r>
              <w:rPr>
                <w:rFonts w:hint="eastAsia" w:ascii="Times New Roman" w:hAnsi="Times New Roman" w:eastAsia="宋体" w:cs="Times New Roman"/>
                <w:bCs/>
                <w:color w:val="auto"/>
                <w:kern w:val="24"/>
                <w:sz w:val="24"/>
                <w:szCs w:val="24"/>
                <w:highlight w:val="none"/>
                <w:lang w:val="en-US" w:eastAsia="zh-CN"/>
              </w:rPr>
              <w:t>颗粒物</w:t>
            </w:r>
          </w:p>
        </w:tc>
        <w:tc>
          <w:tcPr>
            <w:tcW w:w="1151" w:type="pct"/>
            <w:tcBorders>
              <w:bottom w:val="single" w:color="000000" w:sz="2" w:space="0"/>
            </w:tcBorders>
            <w:vAlign w:val="center"/>
          </w:tcPr>
          <w:p w14:paraId="6F5B8319">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集气罩+</w:t>
            </w:r>
            <w:r>
              <w:rPr>
                <w:rFonts w:hint="eastAsia" w:cs="Times New Roman"/>
                <w:bCs/>
                <w:color w:val="auto"/>
                <w:sz w:val="24"/>
                <w:szCs w:val="24"/>
                <w:highlight w:val="none"/>
                <w:lang w:val="en-US" w:eastAsia="zh-CN"/>
              </w:rPr>
              <w:t>布袋除尘器+15m高排气筒</w:t>
            </w:r>
          </w:p>
        </w:tc>
        <w:tc>
          <w:tcPr>
            <w:tcW w:w="1865" w:type="pct"/>
            <w:vMerge w:val="restart"/>
            <w:vAlign w:val="center"/>
          </w:tcPr>
          <w:p w14:paraId="63661092">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lang w:eastAsia="zh-CN"/>
              </w:rPr>
            </w:pPr>
            <w:r>
              <w:rPr>
                <w:rFonts w:hint="eastAsia" w:cs="宋体"/>
                <w:color w:val="auto"/>
                <w:highlight w:val="none"/>
              </w:rPr>
              <w:t>《</w:t>
            </w:r>
            <w:r>
              <w:rPr>
                <w:rFonts w:hint="eastAsia" w:ascii="Times New Roman" w:hAnsi="Times New Roman" w:eastAsia="宋体" w:cs="Times New Roman"/>
                <w:bCs/>
                <w:color w:val="auto"/>
                <w:sz w:val="24"/>
                <w:szCs w:val="24"/>
                <w:highlight w:val="none"/>
                <w:lang w:val="en-US" w:eastAsia="zh-CN"/>
              </w:rPr>
              <w:t>大气污染物综合排放标准》（GB16297—1996）中二级标准限值要求</w:t>
            </w:r>
          </w:p>
        </w:tc>
      </w:tr>
      <w:tr w14:paraId="0268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16" w:type="pct"/>
            <w:vMerge w:val="continue"/>
            <w:vAlign w:val="center"/>
          </w:tcPr>
          <w:p w14:paraId="2E5D12DB">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Cs/>
                <w:color w:val="auto"/>
                <w:sz w:val="24"/>
                <w:szCs w:val="24"/>
                <w:highlight w:val="none"/>
                <w:lang w:val="en-US" w:eastAsia="zh-CN"/>
              </w:rPr>
            </w:pPr>
          </w:p>
        </w:tc>
        <w:tc>
          <w:tcPr>
            <w:tcW w:w="833" w:type="pct"/>
            <w:tcBorders>
              <w:bottom w:val="single" w:color="000000" w:sz="2" w:space="0"/>
            </w:tcBorders>
            <w:vAlign w:val="center"/>
          </w:tcPr>
          <w:p w14:paraId="43A9316D">
            <w:pPr>
              <w:pStyle w:val="41"/>
              <w:keepNext w:val="0"/>
              <w:keepLines w:val="0"/>
              <w:pageBreakBefore w:val="0"/>
              <w:widowControl/>
              <w:kinsoku w:val="0"/>
              <w:wordWrap/>
              <w:overflowPunct/>
              <w:topLinePunct w:val="0"/>
              <w:autoSpaceDE w:val="0"/>
              <w:autoSpaceDN w:val="0"/>
              <w:bidi w:val="0"/>
              <w:adjustRightInd/>
              <w:snapToGrid/>
              <w:textAlignment w:val="baseline"/>
              <w:rPr>
                <w:rFonts w:hint="default" w:ascii="Times New Roman" w:hAnsi="Times New Roman" w:eastAsia="宋体"/>
                <w:bCs/>
                <w:color w:val="auto"/>
                <w:kern w:val="24"/>
                <w:sz w:val="24"/>
                <w:szCs w:val="24"/>
                <w:highlight w:val="none"/>
                <w:lang w:val="en-US" w:eastAsia="zh-CN"/>
              </w:rPr>
            </w:pPr>
            <w:r>
              <w:rPr>
                <w:rFonts w:hint="eastAsia"/>
                <w:bCs/>
                <w:color w:val="auto"/>
                <w:kern w:val="24"/>
                <w:sz w:val="24"/>
                <w:szCs w:val="24"/>
                <w:highlight w:val="none"/>
                <w:lang w:val="en-US" w:eastAsia="zh-CN"/>
              </w:rPr>
              <w:t>DA002抛丸废气</w:t>
            </w:r>
          </w:p>
        </w:tc>
        <w:tc>
          <w:tcPr>
            <w:tcW w:w="633" w:type="pct"/>
            <w:tcBorders>
              <w:bottom w:val="single" w:color="000000" w:sz="2" w:space="0"/>
            </w:tcBorders>
            <w:vAlign w:val="center"/>
          </w:tcPr>
          <w:p w14:paraId="4CDA0295">
            <w:pPr>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kern w:val="24"/>
                <w:sz w:val="24"/>
                <w:szCs w:val="24"/>
                <w:highlight w:val="none"/>
              </w:rPr>
            </w:pPr>
            <w:r>
              <w:rPr>
                <w:rFonts w:ascii="Times New Roman" w:hAnsi="Times New Roman" w:eastAsia="宋体" w:cs="Times New Roman"/>
                <w:bCs/>
                <w:color w:val="auto"/>
                <w:kern w:val="24"/>
                <w:sz w:val="24"/>
                <w:szCs w:val="24"/>
                <w:highlight w:val="none"/>
              </w:rPr>
              <w:t>颗粒物</w:t>
            </w:r>
          </w:p>
        </w:tc>
        <w:tc>
          <w:tcPr>
            <w:tcW w:w="1151" w:type="pct"/>
            <w:tcBorders>
              <w:bottom w:val="single" w:color="000000" w:sz="2" w:space="0"/>
            </w:tcBorders>
            <w:vAlign w:val="center"/>
          </w:tcPr>
          <w:p w14:paraId="62A1DBC1">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lang w:eastAsia="zh-CN"/>
              </w:rPr>
            </w:pPr>
            <w:r>
              <w:rPr>
                <w:rFonts w:hint="eastAsia" w:cs="Times New Roman"/>
                <w:bCs/>
                <w:color w:val="auto"/>
                <w:sz w:val="24"/>
                <w:szCs w:val="24"/>
                <w:highlight w:val="none"/>
                <w:lang w:val="en-US" w:eastAsia="zh-CN"/>
              </w:rPr>
              <w:t>负压收集</w:t>
            </w:r>
            <w:r>
              <w:rPr>
                <w:rFonts w:hint="eastAsia" w:ascii="Times New Roman" w:hAnsi="Times New Roman" w:eastAsia="宋体" w:cs="Times New Roman"/>
                <w:bCs/>
                <w:color w:val="auto"/>
                <w:sz w:val="24"/>
                <w:szCs w:val="24"/>
                <w:highlight w:val="none"/>
                <w:lang w:val="en-US" w:eastAsia="zh-CN"/>
              </w:rPr>
              <w:t>+</w:t>
            </w:r>
            <w:r>
              <w:rPr>
                <w:rFonts w:ascii="Times New Roman" w:hAnsi="Times New Roman" w:eastAsia="宋体" w:cs="Times New Roman"/>
                <w:bCs/>
                <w:color w:val="auto"/>
                <w:sz w:val="24"/>
                <w:szCs w:val="24"/>
                <w:highlight w:val="none"/>
                <w:lang w:eastAsia="zh-CN"/>
              </w:rPr>
              <w:t>布袋除尘器+</w:t>
            </w:r>
            <w:r>
              <w:rPr>
                <w:rFonts w:hint="eastAsia" w:cs="Times New Roman"/>
                <w:bCs/>
                <w:color w:val="auto"/>
                <w:sz w:val="24"/>
                <w:szCs w:val="24"/>
                <w:highlight w:val="none"/>
                <w:lang w:val="en-US" w:eastAsia="zh-CN"/>
              </w:rPr>
              <w:t>15</w:t>
            </w:r>
            <w:r>
              <w:rPr>
                <w:rFonts w:hint="eastAsia" w:ascii="Times New Roman" w:hAnsi="Times New Roman" w:eastAsia="宋体" w:cs="Times New Roman"/>
                <w:bCs/>
                <w:color w:val="auto"/>
                <w:sz w:val="24"/>
                <w:szCs w:val="24"/>
                <w:highlight w:val="none"/>
                <w:lang w:eastAsia="zh-CN"/>
              </w:rPr>
              <w:t>m</w:t>
            </w:r>
            <w:r>
              <w:rPr>
                <w:rFonts w:ascii="Times New Roman" w:hAnsi="Times New Roman" w:eastAsia="宋体" w:cs="Times New Roman"/>
                <w:bCs/>
                <w:color w:val="auto"/>
                <w:sz w:val="24"/>
                <w:szCs w:val="24"/>
                <w:highlight w:val="none"/>
                <w:lang w:eastAsia="zh-CN"/>
              </w:rPr>
              <w:t>高排气筒</w:t>
            </w:r>
          </w:p>
        </w:tc>
        <w:tc>
          <w:tcPr>
            <w:tcW w:w="1865" w:type="pct"/>
            <w:vMerge w:val="continue"/>
            <w:vAlign w:val="center"/>
          </w:tcPr>
          <w:p w14:paraId="76785BD8">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lang w:eastAsia="zh-CN"/>
              </w:rPr>
            </w:pPr>
          </w:p>
        </w:tc>
      </w:tr>
      <w:tr w14:paraId="2256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16" w:type="pct"/>
            <w:vMerge w:val="continue"/>
            <w:vAlign w:val="center"/>
          </w:tcPr>
          <w:p w14:paraId="1FDC8332">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Cs/>
                <w:color w:val="auto"/>
                <w:sz w:val="24"/>
                <w:szCs w:val="24"/>
                <w:highlight w:val="none"/>
                <w:lang w:val="en-US" w:eastAsia="zh-CN"/>
              </w:rPr>
            </w:pPr>
          </w:p>
        </w:tc>
        <w:tc>
          <w:tcPr>
            <w:tcW w:w="833" w:type="pct"/>
            <w:tcBorders>
              <w:bottom w:val="single" w:color="000000" w:sz="2" w:space="0"/>
            </w:tcBorders>
            <w:vAlign w:val="center"/>
          </w:tcPr>
          <w:p w14:paraId="72F7D6D3">
            <w:pPr>
              <w:pStyle w:val="41"/>
              <w:keepNext w:val="0"/>
              <w:keepLines w:val="0"/>
              <w:pageBreakBefore w:val="0"/>
              <w:widowControl/>
              <w:kinsoku w:val="0"/>
              <w:wordWrap/>
              <w:overflowPunct/>
              <w:topLinePunct w:val="0"/>
              <w:autoSpaceDE w:val="0"/>
              <w:autoSpaceDN w:val="0"/>
              <w:bidi w:val="0"/>
              <w:adjustRightInd/>
              <w:snapToGrid/>
              <w:textAlignment w:val="baseline"/>
              <w:rPr>
                <w:rFonts w:hint="default"/>
                <w:bCs/>
                <w:color w:val="auto"/>
                <w:kern w:val="24"/>
                <w:sz w:val="24"/>
                <w:szCs w:val="24"/>
                <w:highlight w:val="none"/>
                <w:lang w:val="en-US" w:eastAsia="zh-CN"/>
              </w:rPr>
            </w:pPr>
            <w:r>
              <w:rPr>
                <w:rFonts w:hint="eastAsia"/>
                <w:bCs/>
                <w:color w:val="auto"/>
                <w:kern w:val="24"/>
                <w:sz w:val="24"/>
                <w:szCs w:val="24"/>
                <w:highlight w:val="none"/>
                <w:lang w:val="en-US" w:eastAsia="zh-CN"/>
              </w:rPr>
              <w:t>DA003/</w:t>
            </w:r>
            <w:r>
              <w:rPr>
                <w:rFonts w:hint="eastAsia" w:ascii="Times New Roman" w:hAnsi="Times New Roman" w:eastAsia="宋体"/>
                <w:bCs/>
                <w:color w:val="auto"/>
                <w:kern w:val="24"/>
                <w:sz w:val="24"/>
                <w:szCs w:val="24"/>
                <w:highlight w:val="none"/>
                <w:lang w:val="en-US" w:eastAsia="zh-CN"/>
              </w:rPr>
              <w:t>喷塑粉尘</w:t>
            </w:r>
          </w:p>
        </w:tc>
        <w:tc>
          <w:tcPr>
            <w:tcW w:w="633" w:type="pct"/>
            <w:tcBorders>
              <w:bottom w:val="single" w:color="000000" w:sz="2" w:space="0"/>
            </w:tcBorders>
            <w:vAlign w:val="center"/>
          </w:tcPr>
          <w:p w14:paraId="3C9D991F">
            <w:pPr>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kern w:val="24"/>
                <w:sz w:val="24"/>
                <w:szCs w:val="24"/>
                <w:highlight w:val="none"/>
              </w:rPr>
            </w:pPr>
            <w:r>
              <w:rPr>
                <w:rFonts w:ascii="Times New Roman" w:hAnsi="Times New Roman" w:eastAsia="宋体" w:cs="Times New Roman"/>
                <w:bCs/>
                <w:color w:val="auto"/>
                <w:kern w:val="24"/>
                <w:sz w:val="24"/>
                <w:szCs w:val="24"/>
                <w:highlight w:val="none"/>
              </w:rPr>
              <w:t>颗粒物</w:t>
            </w:r>
          </w:p>
        </w:tc>
        <w:tc>
          <w:tcPr>
            <w:tcW w:w="1151" w:type="pct"/>
            <w:tcBorders>
              <w:bottom w:val="single" w:color="000000" w:sz="2" w:space="0"/>
            </w:tcBorders>
            <w:vAlign w:val="center"/>
          </w:tcPr>
          <w:p w14:paraId="63AB28E9">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密闭负压收集+滤芯除尘+布袋除尘器+15m高排气筒</w:t>
            </w:r>
          </w:p>
        </w:tc>
        <w:tc>
          <w:tcPr>
            <w:tcW w:w="1865" w:type="pct"/>
            <w:vMerge w:val="continue"/>
            <w:vAlign w:val="center"/>
          </w:tcPr>
          <w:p w14:paraId="55D0D14D">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lang w:eastAsia="zh-CN"/>
              </w:rPr>
            </w:pPr>
          </w:p>
        </w:tc>
      </w:tr>
      <w:tr w14:paraId="452C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516" w:type="pct"/>
            <w:vMerge w:val="continue"/>
            <w:vAlign w:val="center"/>
          </w:tcPr>
          <w:p w14:paraId="434ED500">
            <w:pPr>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sz w:val="24"/>
                <w:szCs w:val="24"/>
                <w:highlight w:val="none"/>
              </w:rPr>
            </w:pPr>
          </w:p>
        </w:tc>
        <w:tc>
          <w:tcPr>
            <w:tcW w:w="833" w:type="pct"/>
            <w:vMerge w:val="restart"/>
            <w:vAlign w:val="center"/>
          </w:tcPr>
          <w:p w14:paraId="178C649F">
            <w:pPr>
              <w:pStyle w:val="41"/>
              <w:keepNext w:val="0"/>
              <w:keepLines w:val="0"/>
              <w:pageBreakBefore w:val="0"/>
              <w:widowControl/>
              <w:kinsoku w:val="0"/>
              <w:wordWrap/>
              <w:overflowPunct/>
              <w:topLinePunct w:val="0"/>
              <w:autoSpaceDE w:val="0"/>
              <w:autoSpaceDN w:val="0"/>
              <w:bidi w:val="0"/>
              <w:adjustRightInd/>
              <w:snapToGrid/>
              <w:textAlignment w:val="baseline"/>
              <w:rPr>
                <w:rFonts w:hint="default" w:ascii="Times New Roman" w:hAnsi="Times New Roman" w:eastAsia="宋体"/>
                <w:bCs/>
                <w:color w:val="auto"/>
                <w:kern w:val="24"/>
                <w:sz w:val="24"/>
                <w:szCs w:val="24"/>
                <w:highlight w:val="none"/>
                <w:lang w:val="en-US" w:eastAsia="zh-CN"/>
              </w:rPr>
            </w:pPr>
            <w:r>
              <w:rPr>
                <w:rFonts w:hint="eastAsia" w:ascii="Times New Roman" w:hAnsi="Times New Roman" w:eastAsia="宋体"/>
                <w:bCs/>
                <w:color w:val="auto"/>
                <w:kern w:val="24"/>
                <w:sz w:val="24"/>
                <w:szCs w:val="24"/>
                <w:highlight w:val="none"/>
                <w:lang w:val="en-US" w:eastAsia="zh-CN"/>
              </w:rPr>
              <w:t>DA00</w:t>
            </w:r>
            <w:r>
              <w:rPr>
                <w:rFonts w:hint="eastAsia"/>
                <w:bCs/>
                <w:color w:val="auto"/>
                <w:kern w:val="24"/>
                <w:sz w:val="24"/>
                <w:szCs w:val="24"/>
                <w:highlight w:val="none"/>
                <w:lang w:val="en-US" w:eastAsia="zh-CN"/>
              </w:rPr>
              <w:t>4</w:t>
            </w:r>
            <w:r>
              <w:rPr>
                <w:rFonts w:hint="eastAsia" w:ascii="Times New Roman" w:hAnsi="Times New Roman" w:eastAsia="宋体"/>
                <w:bCs/>
                <w:color w:val="auto"/>
                <w:kern w:val="24"/>
                <w:sz w:val="24"/>
                <w:szCs w:val="24"/>
                <w:highlight w:val="none"/>
                <w:lang w:val="en-US" w:eastAsia="zh-CN"/>
              </w:rPr>
              <w:t>/固化/烘干</w:t>
            </w:r>
            <w:r>
              <w:rPr>
                <w:rFonts w:ascii="Times New Roman" w:hAnsi="Times New Roman" w:eastAsia="宋体"/>
                <w:bCs/>
                <w:color w:val="auto"/>
                <w:kern w:val="24"/>
                <w:sz w:val="24"/>
                <w:szCs w:val="24"/>
                <w:highlight w:val="none"/>
                <w:lang w:eastAsia="zh-CN"/>
              </w:rPr>
              <w:t>废气</w:t>
            </w:r>
          </w:p>
        </w:tc>
        <w:tc>
          <w:tcPr>
            <w:tcW w:w="633" w:type="pct"/>
            <w:tcBorders>
              <w:bottom w:val="single" w:color="000000" w:sz="2" w:space="0"/>
            </w:tcBorders>
            <w:vAlign w:val="center"/>
          </w:tcPr>
          <w:p w14:paraId="5F326523">
            <w:pPr>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kern w:val="24"/>
                <w:sz w:val="24"/>
                <w:szCs w:val="24"/>
                <w:highlight w:val="none"/>
              </w:rPr>
            </w:pPr>
            <w:r>
              <w:rPr>
                <w:rFonts w:hint="eastAsia" w:ascii="Times New Roman" w:hAnsi="Times New Roman" w:eastAsia="宋体" w:cs="Times New Roman"/>
                <w:bCs/>
                <w:color w:val="auto"/>
                <w:kern w:val="24"/>
                <w:sz w:val="24"/>
                <w:szCs w:val="24"/>
                <w:highlight w:val="none"/>
                <w:lang w:val="en-US" w:eastAsia="zh-CN"/>
              </w:rPr>
              <w:t>非甲烷总烃</w:t>
            </w:r>
          </w:p>
        </w:tc>
        <w:tc>
          <w:tcPr>
            <w:tcW w:w="1151" w:type="pct"/>
            <w:vMerge w:val="restart"/>
            <w:vAlign w:val="center"/>
          </w:tcPr>
          <w:p w14:paraId="447B65A3">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天然气低氮燃烧，废气集气罩</w:t>
            </w:r>
            <w:r>
              <w:rPr>
                <w:rFonts w:hint="eastAsia" w:ascii="Times New Roman" w:hAnsi="Times New Roman" w:eastAsia="宋体" w:cs="Times New Roman"/>
                <w:bCs/>
                <w:color w:val="auto"/>
                <w:sz w:val="24"/>
                <w:szCs w:val="24"/>
                <w:highlight w:val="none"/>
                <w:lang w:eastAsia="zh-CN"/>
              </w:rPr>
              <w:t>收集</w:t>
            </w:r>
            <w:r>
              <w:rPr>
                <w:rFonts w:ascii="Times New Roman" w:hAnsi="Times New Roman" w:eastAsia="宋体" w:cs="Times New Roman"/>
                <w:bCs/>
                <w:color w:val="auto"/>
                <w:sz w:val="24"/>
                <w:szCs w:val="24"/>
                <w:highlight w:val="none"/>
                <w:lang w:eastAsia="zh-CN"/>
              </w:rPr>
              <w:t>+</w:t>
            </w:r>
            <w:r>
              <w:rPr>
                <w:rFonts w:hint="eastAsia" w:cs="Times New Roman"/>
                <w:bCs/>
                <w:color w:val="auto"/>
                <w:sz w:val="24"/>
                <w:szCs w:val="24"/>
                <w:highlight w:val="none"/>
                <w:lang w:val="en-US" w:eastAsia="zh-CN"/>
              </w:rPr>
              <w:t>风冷+</w:t>
            </w:r>
            <w:r>
              <w:rPr>
                <w:rFonts w:ascii="Times New Roman" w:hAnsi="Times New Roman" w:eastAsia="宋体" w:cs="Times New Roman"/>
                <w:bCs/>
                <w:color w:val="auto"/>
                <w:sz w:val="24"/>
                <w:szCs w:val="24"/>
                <w:highlight w:val="none"/>
                <w:lang w:eastAsia="zh-CN"/>
              </w:rPr>
              <w:t>二级活性炭+</w:t>
            </w:r>
            <w:r>
              <w:rPr>
                <w:rFonts w:hint="eastAsia" w:ascii="Times New Roman" w:hAnsi="Times New Roman" w:eastAsia="宋体" w:cs="Times New Roman"/>
                <w:bCs/>
                <w:color w:val="auto"/>
                <w:sz w:val="24"/>
                <w:szCs w:val="24"/>
                <w:highlight w:val="none"/>
                <w:lang w:val="en-US" w:eastAsia="zh-CN"/>
              </w:rPr>
              <w:t>15</w:t>
            </w:r>
            <w:r>
              <w:rPr>
                <w:rFonts w:hint="eastAsia" w:ascii="Times New Roman" w:hAnsi="Times New Roman" w:eastAsia="宋体" w:cs="Times New Roman"/>
                <w:bCs/>
                <w:color w:val="auto"/>
                <w:sz w:val="24"/>
                <w:szCs w:val="24"/>
                <w:highlight w:val="none"/>
                <w:lang w:eastAsia="zh-CN"/>
              </w:rPr>
              <w:t>m</w:t>
            </w:r>
            <w:r>
              <w:rPr>
                <w:rFonts w:ascii="Times New Roman" w:hAnsi="Times New Roman" w:eastAsia="宋体" w:cs="Times New Roman"/>
                <w:bCs/>
                <w:color w:val="auto"/>
                <w:sz w:val="24"/>
                <w:szCs w:val="24"/>
                <w:highlight w:val="none"/>
                <w:lang w:eastAsia="zh-CN"/>
              </w:rPr>
              <w:t>高排气筒</w:t>
            </w:r>
          </w:p>
        </w:tc>
        <w:tc>
          <w:tcPr>
            <w:tcW w:w="1865" w:type="pct"/>
            <w:vAlign w:val="center"/>
          </w:tcPr>
          <w:p w14:paraId="1D8D6E8D">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lang w:val="zh-CN" w:eastAsia="zh-CN"/>
              </w:rPr>
            </w:pPr>
            <w:r>
              <w:rPr>
                <w:rFonts w:hint="eastAsia" w:ascii="Times New Roman" w:hAnsi="Times New Roman" w:eastAsia="宋体" w:cs="Times New Roman"/>
                <w:bCs/>
                <w:color w:val="auto"/>
                <w:sz w:val="24"/>
                <w:szCs w:val="24"/>
                <w:highlight w:val="none"/>
                <w:lang w:val="en-US" w:eastAsia="zh-CN"/>
              </w:rPr>
              <w:t>安徽省《固定源挥发性有机物第六部分：其他行业》（DB34/4812.6-2024）中表1标准限值要求</w:t>
            </w:r>
          </w:p>
        </w:tc>
      </w:tr>
      <w:tr w14:paraId="7175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16" w:type="pct"/>
            <w:vMerge w:val="continue"/>
            <w:vAlign w:val="center"/>
          </w:tcPr>
          <w:p w14:paraId="1198DF13">
            <w:pPr>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sz w:val="24"/>
                <w:szCs w:val="24"/>
                <w:highlight w:val="none"/>
                <w:lang w:eastAsia="zh-CN"/>
              </w:rPr>
            </w:pPr>
          </w:p>
        </w:tc>
        <w:tc>
          <w:tcPr>
            <w:tcW w:w="833" w:type="pct"/>
            <w:vMerge w:val="continue"/>
            <w:vAlign w:val="center"/>
          </w:tcPr>
          <w:p w14:paraId="0F8D7F3D">
            <w:pPr>
              <w:pStyle w:val="41"/>
              <w:keepNext w:val="0"/>
              <w:keepLines w:val="0"/>
              <w:pageBreakBefore w:val="0"/>
              <w:widowControl/>
              <w:kinsoku w:val="0"/>
              <w:wordWrap/>
              <w:overflowPunct/>
              <w:topLinePunct w:val="0"/>
              <w:autoSpaceDE w:val="0"/>
              <w:autoSpaceDN w:val="0"/>
              <w:bidi w:val="0"/>
              <w:adjustRightInd/>
              <w:snapToGrid/>
              <w:ind w:firstLine="0" w:firstLineChars="0"/>
              <w:textAlignment w:val="baseline"/>
              <w:rPr>
                <w:rFonts w:ascii="Times New Roman" w:hAnsi="Times New Roman" w:eastAsia="宋体"/>
                <w:bCs/>
                <w:color w:val="auto"/>
                <w:kern w:val="24"/>
                <w:sz w:val="24"/>
                <w:szCs w:val="24"/>
                <w:highlight w:val="none"/>
                <w:lang w:eastAsia="zh-CN"/>
              </w:rPr>
            </w:pPr>
          </w:p>
        </w:tc>
        <w:tc>
          <w:tcPr>
            <w:tcW w:w="633" w:type="pct"/>
            <w:tcBorders>
              <w:top w:val="single" w:color="000000" w:sz="2" w:space="0"/>
              <w:bottom w:val="single" w:color="000000" w:sz="2" w:space="0"/>
            </w:tcBorders>
            <w:vAlign w:val="center"/>
          </w:tcPr>
          <w:p w14:paraId="703C8B4D">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Cs/>
                <w:color w:val="auto"/>
                <w:kern w:val="24"/>
                <w:sz w:val="24"/>
                <w:szCs w:val="24"/>
                <w:highlight w:val="none"/>
                <w:lang w:val="en-US" w:eastAsia="zh-CN"/>
              </w:rPr>
            </w:pPr>
            <w:r>
              <w:rPr>
                <w:rFonts w:hint="eastAsia" w:cs="Times New Roman"/>
                <w:bCs/>
                <w:color w:val="auto"/>
                <w:kern w:val="24"/>
                <w:sz w:val="24"/>
                <w:szCs w:val="24"/>
                <w:highlight w:val="none"/>
                <w:lang w:val="en-US" w:eastAsia="zh-CN"/>
              </w:rPr>
              <w:t>颗粒物、氮氧化物、二氧化硫</w:t>
            </w:r>
          </w:p>
        </w:tc>
        <w:tc>
          <w:tcPr>
            <w:tcW w:w="1151" w:type="pct"/>
            <w:vMerge w:val="continue"/>
            <w:tcBorders>
              <w:bottom w:val="single" w:color="000000" w:sz="2" w:space="0"/>
            </w:tcBorders>
            <w:vAlign w:val="center"/>
          </w:tcPr>
          <w:p w14:paraId="3A973900">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hint="eastAsia" w:ascii="Times New Roman" w:hAnsi="Times New Roman" w:eastAsia="宋体" w:cs="Times New Roman"/>
                <w:bCs/>
                <w:color w:val="auto"/>
                <w:sz w:val="24"/>
                <w:szCs w:val="24"/>
                <w:highlight w:val="none"/>
                <w:lang w:eastAsia="zh-CN"/>
              </w:rPr>
            </w:pPr>
          </w:p>
        </w:tc>
        <w:tc>
          <w:tcPr>
            <w:tcW w:w="1865" w:type="pct"/>
            <w:vAlign w:val="center"/>
          </w:tcPr>
          <w:p w14:paraId="528EF2D3">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hint="eastAsia" w:cs="宋体"/>
                <w:color w:val="auto"/>
                <w:sz w:val="24"/>
                <w:szCs w:val="24"/>
                <w:highlight w:val="none"/>
                <w:lang w:eastAsia="zh-CN"/>
              </w:rPr>
              <w:t>《</w:t>
            </w:r>
            <w:r>
              <w:rPr>
                <w:rFonts w:hint="eastAsia" w:cs="宋体"/>
                <w:color w:val="auto"/>
                <w:sz w:val="24"/>
                <w:szCs w:val="24"/>
                <w:highlight w:val="none"/>
              </w:rPr>
              <w:t>工业炉窑大气污染物排放标准》（</w:t>
            </w:r>
            <w:r>
              <w:rPr>
                <w:color w:val="auto"/>
                <w:sz w:val="24"/>
                <w:szCs w:val="24"/>
                <w:highlight w:val="none"/>
              </w:rPr>
              <w:t>GB 9078-1996</w:t>
            </w:r>
            <w:r>
              <w:rPr>
                <w:rFonts w:hint="eastAsia" w:cs="宋体"/>
                <w:color w:val="auto"/>
                <w:sz w:val="24"/>
                <w:szCs w:val="24"/>
                <w:highlight w:val="none"/>
              </w:rPr>
              <w:t>）表</w:t>
            </w:r>
            <w:r>
              <w:rPr>
                <w:color w:val="auto"/>
                <w:sz w:val="24"/>
                <w:szCs w:val="24"/>
                <w:highlight w:val="none"/>
              </w:rPr>
              <w:t>2</w:t>
            </w:r>
            <w:r>
              <w:rPr>
                <w:rFonts w:hint="eastAsia" w:cs="宋体"/>
                <w:color w:val="auto"/>
                <w:sz w:val="24"/>
                <w:szCs w:val="24"/>
                <w:highlight w:val="none"/>
              </w:rPr>
              <w:t>相关标准要求及“关于印发《工业炉窑大气污染综合治理方案》的通知”（环大气〔</w:t>
            </w:r>
            <w:r>
              <w:rPr>
                <w:color w:val="auto"/>
                <w:sz w:val="24"/>
                <w:szCs w:val="24"/>
                <w:highlight w:val="none"/>
              </w:rPr>
              <w:t>2019</w:t>
            </w:r>
            <w:r>
              <w:rPr>
                <w:rFonts w:hint="eastAsia" w:cs="宋体"/>
                <w:color w:val="auto"/>
                <w:sz w:val="24"/>
                <w:szCs w:val="24"/>
                <w:highlight w:val="none"/>
              </w:rPr>
              <w:t>〕</w:t>
            </w:r>
            <w:r>
              <w:rPr>
                <w:color w:val="auto"/>
                <w:sz w:val="24"/>
                <w:szCs w:val="24"/>
                <w:highlight w:val="none"/>
              </w:rPr>
              <w:t>56</w:t>
            </w:r>
            <w:r>
              <w:rPr>
                <w:rFonts w:hint="eastAsia" w:cs="宋体"/>
                <w:color w:val="auto"/>
                <w:sz w:val="24"/>
                <w:szCs w:val="24"/>
                <w:highlight w:val="none"/>
              </w:rPr>
              <w:t>号）中“重点区域原则上按照颗粒物、二氧化硫、氮氧化物原则上按照排放限值分别不高于</w:t>
            </w:r>
            <w:r>
              <w:rPr>
                <w:color w:val="auto"/>
                <w:sz w:val="24"/>
                <w:szCs w:val="24"/>
                <w:highlight w:val="none"/>
              </w:rPr>
              <w:t>30</w:t>
            </w:r>
            <w:r>
              <w:rPr>
                <w:rFonts w:hint="eastAsia" w:cs="宋体"/>
                <w:color w:val="auto"/>
                <w:sz w:val="24"/>
                <w:szCs w:val="24"/>
                <w:highlight w:val="none"/>
              </w:rPr>
              <w:t>、</w:t>
            </w:r>
            <w:r>
              <w:rPr>
                <w:color w:val="auto"/>
                <w:sz w:val="24"/>
                <w:szCs w:val="24"/>
                <w:highlight w:val="none"/>
              </w:rPr>
              <w:t>200</w:t>
            </w:r>
            <w:r>
              <w:rPr>
                <w:rFonts w:hint="eastAsia" w:cs="宋体"/>
                <w:color w:val="auto"/>
                <w:sz w:val="24"/>
                <w:szCs w:val="24"/>
                <w:highlight w:val="none"/>
              </w:rPr>
              <w:t>、</w:t>
            </w:r>
            <w:r>
              <w:rPr>
                <w:color w:val="auto"/>
                <w:sz w:val="24"/>
                <w:szCs w:val="24"/>
                <w:highlight w:val="none"/>
              </w:rPr>
              <w:t>300</w:t>
            </w:r>
            <w:r>
              <w:rPr>
                <w:rFonts w:hint="eastAsia" w:cs="宋体"/>
                <w:color w:val="auto"/>
                <w:sz w:val="24"/>
                <w:szCs w:val="24"/>
                <w:highlight w:val="none"/>
              </w:rPr>
              <w:t>毫克</w:t>
            </w:r>
            <w:r>
              <w:rPr>
                <w:color w:val="auto"/>
                <w:sz w:val="24"/>
                <w:szCs w:val="24"/>
                <w:highlight w:val="none"/>
              </w:rPr>
              <w:t>/</w:t>
            </w:r>
            <w:r>
              <w:rPr>
                <w:rFonts w:hint="eastAsia" w:cs="宋体"/>
                <w:color w:val="auto"/>
                <w:sz w:val="24"/>
                <w:szCs w:val="24"/>
                <w:highlight w:val="none"/>
              </w:rPr>
              <w:t>立方米实施改造”</w:t>
            </w:r>
          </w:p>
        </w:tc>
      </w:tr>
      <w:tr w14:paraId="2EA6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516" w:type="pct"/>
            <w:vMerge w:val="continue"/>
            <w:vAlign w:val="center"/>
          </w:tcPr>
          <w:p w14:paraId="765C700B">
            <w:pPr>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bCs/>
                <w:color w:val="auto"/>
                <w:sz w:val="24"/>
                <w:szCs w:val="24"/>
                <w:highlight w:val="none"/>
                <w:lang w:eastAsia="zh-CN"/>
              </w:rPr>
            </w:pPr>
          </w:p>
        </w:tc>
        <w:tc>
          <w:tcPr>
            <w:tcW w:w="833" w:type="pct"/>
            <w:tcBorders>
              <w:top w:val="single" w:color="000000" w:sz="2" w:space="0"/>
              <w:bottom w:val="single" w:color="000000" w:sz="2" w:space="0"/>
            </w:tcBorders>
            <w:vAlign w:val="center"/>
          </w:tcPr>
          <w:p w14:paraId="3EF20496">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Cs/>
                <w:color w:val="auto"/>
                <w:sz w:val="24"/>
                <w:szCs w:val="24"/>
                <w:highlight w:val="none"/>
                <w:lang w:val="en-US" w:eastAsia="zh-CN"/>
              </w:rPr>
            </w:pPr>
            <w:r>
              <w:rPr>
                <w:rFonts w:ascii="Times New Roman" w:hAnsi="Times New Roman" w:eastAsia="宋体"/>
                <w:bCs/>
                <w:color w:val="auto"/>
                <w:kern w:val="24"/>
                <w:sz w:val="24"/>
                <w:szCs w:val="24"/>
                <w:highlight w:val="none"/>
                <w:lang w:eastAsia="zh-CN"/>
              </w:rPr>
              <w:t>DA00</w:t>
            </w:r>
            <w:r>
              <w:rPr>
                <w:rFonts w:hint="eastAsia"/>
                <w:bCs/>
                <w:color w:val="auto"/>
                <w:kern w:val="24"/>
                <w:sz w:val="24"/>
                <w:szCs w:val="24"/>
                <w:highlight w:val="none"/>
                <w:lang w:val="en-US" w:eastAsia="zh-CN"/>
              </w:rPr>
              <w:t>5</w:t>
            </w:r>
            <w:r>
              <w:rPr>
                <w:rFonts w:ascii="Times New Roman" w:hAnsi="Times New Roman" w:eastAsia="宋体"/>
                <w:bCs/>
                <w:color w:val="auto"/>
                <w:kern w:val="24"/>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喷漆</w:t>
            </w:r>
          </w:p>
        </w:tc>
        <w:tc>
          <w:tcPr>
            <w:tcW w:w="633" w:type="pct"/>
            <w:tcBorders>
              <w:top w:val="single" w:color="000000" w:sz="2" w:space="0"/>
              <w:bottom w:val="single" w:color="000000" w:sz="2" w:space="0"/>
            </w:tcBorders>
            <w:vAlign w:val="center"/>
          </w:tcPr>
          <w:p w14:paraId="65A6B6A5">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Cs/>
                <w:color w:val="auto"/>
                <w:sz w:val="24"/>
                <w:szCs w:val="24"/>
                <w:highlight w:val="none"/>
                <w:lang w:val="en-US" w:eastAsia="zh-CN"/>
              </w:rPr>
            </w:pPr>
            <w:r>
              <w:rPr>
                <w:rFonts w:ascii="Times New Roman" w:hAnsi="Times New Roman" w:eastAsia="宋体" w:cs="Times New Roman"/>
                <w:bCs/>
                <w:color w:val="auto"/>
                <w:sz w:val="24"/>
                <w:szCs w:val="24"/>
                <w:highlight w:val="none"/>
              </w:rPr>
              <w:t>颗粒物</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非甲烷总烃</w:t>
            </w:r>
          </w:p>
        </w:tc>
        <w:tc>
          <w:tcPr>
            <w:tcW w:w="1151" w:type="pct"/>
            <w:tcBorders>
              <w:top w:val="single" w:color="000000" w:sz="2" w:space="0"/>
              <w:bottom w:val="single" w:color="000000" w:sz="2" w:space="0"/>
            </w:tcBorders>
            <w:vAlign w:val="center"/>
          </w:tcPr>
          <w:p w14:paraId="47B9D512">
            <w:pPr>
              <w:pStyle w:val="41"/>
              <w:keepNext w:val="0"/>
              <w:keepLines w:val="0"/>
              <w:pageBreakBefore w:val="0"/>
              <w:widowControl/>
              <w:kinsoku w:val="0"/>
              <w:wordWrap/>
              <w:overflowPunct/>
              <w:topLinePunct w:val="0"/>
              <w:autoSpaceDE w:val="0"/>
              <w:autoSpaceDN w:val="0"/>
              <w:bidi w:val="0"/>
              <w:adjustRightInd/>
              <w:snapToGrid/>
              <w:textAlignment w:val="baseline"/>
              <w:rPr>
                <w:rFonts w:hint="default" w:ascii="Times New Roman" w:hAnsi="Times New Roman" w:eastAsia="宋体"/>
                <w:bCs/>
                <w:color w:val="auto"/>
                <w:sz w:val="24"/>
                <w:szCs w:val="24"/>
                <w:highlight w:val="none"/>
                <w:lang w:val="en-US" w:eastAsia="zh-CN"/>
              </w:rPr>
            </w:pPr>
            <w:r>
              <w:rPr>
                <w:rFonts w:hint="eastAsia" w:ascii="Times New Roman" w:hAnsi="Times New Roman" w:eastAsia="宋体"/>
                <w:bCs/>
                <w:color w:val="auto"/>
                <w:sz w:val="24"/>
                <w:szCs w:val="24"/>
                <w:highlight w:val="none"/>
                <w:lang w:val="en-US" w:eastAsia="zh-CN"/>
              </w:rPr>
              <w:t>密闭负压收集+干式过滤+二级活性炭+</w:t>
            </w:r>
            <w:r>
              <w:rPr>
                <w:rFonts w:hint="eastAsia"/>
                <w:bCs/>
                <w:color w:val="auto"/>
                <w:sz w:val="24"/>
                <w:szCs w:val="24"/>
                <w:highlight w:val="none"/>
                <w:lang w:val="en-US" w:eastAsia="zh-CN"/>
              </w:rPr>
              <w:t>15</w:t>
            </w:r>
            <w:r>
              <w:rPr>
                <w:rFonts w:hint="eastAsia" w:ascii="Times New Roman" w:hAnsi="Times New Roman" w:eastAsia="宋体" w:cs="Times New Roman"/>
                <w:bCs/>
                <w:color w:val="auto"/>
                <w:sz w:val="24"/>
                <w:szCs w:val="24"/>
                <w:highlight w:val="none"/>
                <w:lang w:eastAsia="zh-CN"/>
              </w:rPr>
              <w:t>m</w:t>
            </w:r>
            <w:r>
              <w:rPr>
                <w:rFonts w:ascii="Times New Roman" w:hAnsi="Times New Roman" w:eastAsia="宋体" w:cs="Times New Roman"/>
                <w:bCs/>
                <w:color w:val="auto"/>
                <w:sz w:val="24"/>
                <w:szCs w:val="24"/>
                <w:highlight w:val="none"/>
                <w:lang w:eastAsia="zh-CN"/>
              </w:rPr>
              <w:t>高排气筒</w:t>
            </w:r>
          </w:p>
        </w:tc>
        <w:tc>
          <w:tcPr>
            <w:tcW w:w="1865" w:type="pct"/>
            <w:vAlign w:val="center"/>
          </w:tcPr>
          <w:p w14:paraId="1726CA1C">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hint="eastAsia" w:ascii="Times New Roman" w:hAnsi="Times New Roman" w:eastAsia="宋体" w:cs="Times New Roman"/>
                <w:bCs/>
                <w:color w:val="auto"/>
                <w:sz w:val="24"/>
                <w:szCs w:val="24"/>
                <w:highlight w:val="none"/>
                <w:lang w:val="en-US" w:eastAsia="zh-CN"/>
              </w:rPr>
            </w:pPr>
            <w:r>
              <w:rPr>
                <w:rFonts w:hint="eastAsia" w:cs="宋体"/>
                <w:color w:val="auto"/>
                <w:highlight w:val="none"/>
              </w:rPr>
              <w:t>《</w:t>
            </w:r>
            <w:r>
              <w:rPr>
                <w:rFonts w:hint="eastAsia" w:ascii="Times New Roman" w:hAnsi="Times New Roman" w:eastAsia="宋体" w:cs="Times New Roman"/>
                <w:bCs/>
                <w:color w:val="auto"/>
                <w:sz w:val="24"/>
                <w:szCs w:val="24"/>
                <w:highlight w:val="none"/>
                <w:lang w:val="en-US" w:eastAsia="zh-CN"/>
              </w:rPr>
              <w:t>大气污染物综合排放标准》（GB16297—1996）中二级标准限值要求；</w:t>
            </w:r>
          </w:p>
          <w:p w14:paraId="3F2FFA6A">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安徽省《固定源挥发性有机物第六部分：其他行业》（DB34/4812.6-2024）中表1标准限值要求</w:t>
            </w:r>
          </w:p>
        </w:tc>
      </w:tr>
      <w:tr w14:paraId="7F90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516" w:type="pct"/>
            <w:vMerge w:val="restart"/>
            <w:vAlign w:val="center"/>
          </w:tcPr>
          <w:p w14:paraId="48F18402">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水污染物</w:t>
            </w:r>
          </w:p>
        </w:tc>
        <w:tc>
          <w:tcPr>
            <w:tcW w:w="833" w:type="pct"/>
            <w:vAlign w:val="center"/>
          </w:tcPr>
          <w:p w14:paraId="746229C6">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hint="default" w:ascii="Times New Roman" w:hAnsi="Times New Roman" w:eastAsia="宋体" w:cs="Times New Roman"/>
                <w:bCs/>
                <w:color w:val="auto"/>
                <w:sz w:val="24"/>
                <w:szCs w:val="24"/>
                <w:highlight w:val="none"/>
                <w:lang w:val="en-US" w:eastAsia="zh-CN"/>
              </w:rPr>
            </w:pPr>
            <w:r>
              <w:rPr>
                <w:rFonts w:ascii="Times New Roman" w:hAnsi="Times New Roman" w:eastAsia="宋体" w:cs="Times New Roman"/>
                <w:bCs/>
                <w:color w:val="auto"/>
                <w:sz w:val="24"/>
                <w:szCs w:val="24"/>
                <w:highlight w:val="none"/>
              </w:rPr>
              <w:t>DW001/</w:t>
            </w:r>
            <w:r>
              <w:rPr>
                <w:rFonts w:ascii="Times New Roman" w:hAnsi="Times New Roman" w:eastAsia="宋体" w:cs="Times New Roman"/>
                <w:bCs/>
                <w:color w:val="auto"/>
                <w:sz w:val="24"/>
                <w:szCs w:val="24"/>
                <w:highlight w:val="none"/>
                <w:lang w:eastAsia="zh-CN"/>
              </w:rPr>
              <w:t>生活污水</w:t>
            </w:r>
          </w:p>
        </w:tc>
        <w:tc>
          <w:tcPr>
            <w:tcW w:w="633" w:type="pct"/>
            <w:vAlign w:val="center"/>
          </w:tcPr>
          <w:p w14:paraId="74E98417">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hint="default" w:ascii="Times New Roman" w:hAnsi="Times New Roman" w:eastAsia="宋体" w:cs="Times New Roman"/>
                <w:bCs/>
                <w:color w:val="auto"/>
                <w:sz w:val="24"/>
                <w:szCs w:val="24"/>
                <w:highlight w:val="none"/>
                <w:lang w:val="en-US" w:eastAsia="zh-CN"/>
              </w:rPr>
            </w:pPr>
            <w:r>
              <w:rPr>
                <w:rFonts w:ascii="Times New Roman" w:hAnsi="Times New Roman" w:eastAsia="宋体" w:cs="Times New Roman"/>
                <w:bCs/>
                <w:color w:val="auto"/>
                <w:sz w:val="24"/>
                <w:szCs w:val="24"/>
                <w:highlight w:val="none"/>
              </w:rPr>
              <w:t>pH、COD、BOD</w:t>
            </w:r>
            <w:r>
              <w:rPr>
                <w:rFonts w:ascii="Times New Roman" w:hAnsi="Times New Roman" w:eastAsia="宋体" w:cs="Times New Roman"/>
                <w:bCs/>
                <w:color w:val="auto"/>
                <w:sz w:val="24"/>
                <w:szCs w:val="24"/>
                <w:highlight w:val="none"/>
                <w:vertAlign w:val="subscript"/>
              </w:rPr>
              <w:t>5</w:t>
            </w:r>
            <w:r>
              <w:rPr>
                <w:rFonts w:ascii="Times New Roman" w:hAnsi="Times New Roman" w:eastAsia="宋体" w:cs="Times New Roman"/>
                <w:bCs/>
                <w:color w:val="auto"/>
                <w:sz w:val="24"/>
                <w:szCs w:val="24"/>
                <w:highlight w:val="none"/>
              </w:rPr>
              <w:t>、NH</w:t>
            </w:r>
            <w:r>
              <w:rPr>
                <w:rFonts w:ascii="Times New Roman" w:hAnsi="Times New Roman" w:eastAsia="宋体" w:cs="Times New Roman"/>
                <w:bCs/>
                <w:color w:val="auto"/>
                <w:sz w:val="24"/>
                <w:szCs w:val="24"/>
                <w:highlight w:val="none"/>
                <w:vertAlign w:val="subscript"/>
              </w:rPr>
              <w:t>3</w:t>
            </w:r>
            <w:r>
              <w:rPr>
                <w:rFonts w:ascii="Times New Roman" w:hAnsi="Times New Roman" w:eastAsia="宋体" w:cs="Times New Roman"/>
                <w:bCs/>
                <w:color w:val="auto"/>
                <w:sz w:val="24"/>
                <w:szCs w:val="24"/>
                <w:highlight w:val="none"/>
              </w:rPr>
              <w:t>-N、SS</w:t>
            </w:r>
          </w:p>
        </w:tc>
        <w:tc>
          <w:tcPr>
            <w:tcW w:w="1151" w:type="pct"/>
            <w:vAlign w:val="center"/>
          </w:tcPr>
          <w:p w14:paraId="3D7D6D9A">
            <w:pPr>
              <w:keepNext w:val="0"/>
              <w:keepLines w:val="0"/>
              <w:pageBreakBefore w:val="0"/>
              <w:widowControl/>
              <w:kinsoku w:val="0"/>
              <w:wordWrap/>
              <w:overflowPunct/>
              <w:topLinePunct w:val="0"/>
              <w:autoSpaceDE w:val="0"/>
              <w:autoSpaceDN w:val="0"/>
              <w:bidi w:val="0"/>
              <w:adjustRightInd/>
              <w:snapToGrid/>
              <w:jc w:val="center"/>
              <w:textAlignment w:val="baseline"/>
              <w:outlineLvl w:val="9"/>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生活污水经</w:t>
            </w:r>
            <w:r>
              <w:rPr>
                <w:rFonts w:hint="eastAsia" w:cs="Times New Roman"/>
                <w:bCs/>
                <w:color w:val="auto"/>
                <w:sz w:val="24"/>
                <w:szCs w:val="24"/>
                <w:highlight w:val="none"/>
                <w:lang w:val="en-US" w:eastAsia="zh-CN"/>
              </w:rPr>
              <w:t>隔油池、</w:t>
            </w:r>
            <w:r>
              <w:rPr>
                <w:rFonts w:ascii="Times New Roman" w:hAnsi="Times New Roman" w:eastAsia="宋体" w:cs="Times New Roman"/>
                <w:bCs/>
                <w:color w:val="auto"/>
                <w:sz w:val="24"/>
                <w:szCs w:val="24"/>
                <w:highlight w:val="none"/>
                <w:lang w:eastAsia="zh-CN"/>
              </w:rPr>
              <w:t>化粪池处理后，排入园区污水管网</w:t>
            </w:r>
          </w:p>
        </w:tc>
        <w:tc>
          <w:tcPr>
            <w:tcW w:w="1865" w:type="pct"/>
            <w:vAlign w:val="center"/>
          </w:tcPr>
          <w:p w14:paraId="0FE2818B">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lang w:eastAsia="zh-CN" w:bidi="ar"/>
              </w:rPr>
            </w:pPr>
            <w:r>
              <w:rPr>
                <w:rFonts w:ascii="Times New Roman" w:hAnsi="Times New Roman" w:eastAsia="宋体" w:cs="Times New Roman"/>
                <w:bCs/>
                <w:color w:val="auto"/>
                <w:sz w:val="24"/>
                <w:szCs w:val="24"/>
                <w:highlight w:val="none"/>
                <w:lang w:eastAsia="zh-CN"/>
              </w:rPr>
              <w:t>满足《污水综合排放标准》（GB8978-1996）三级标准并满足</w:t>
            </w:r>
            <w:r>
              <w:rPr>
                <w:rFonts w:hint="eastAsia" w:ascii="Times New Roman" w:hAnsi="Times New Roman" w:eastAsia="宋体" w:cs="Times New Roman"/>
                <w:b w:val="0"/>
                <w:color w:val="auto"/>
                <w:kern w:val="2"/>
                <w:sz w:val="24"/>
                <w:szCs w:val="24"/>
                <w:highlight w:val="none"/>
                <w:lang w:val="en-US" w:eastAsia="zh-CN" w:bidi="ar-SA"/>
              </w:rPr>
              <w:t>安徽淮相科技发展有限公司第二污水处理厂</w:t>
            </w:r>
            <w:r>
              <w:rPr>
                <w:rFonts w:ascii="Times New Roman" w:hAnsi="Times New Roman" w:eastAsia="宋体" w:cs="Times New Roman"/>
                <w:bCs/>
                <w:color w:val="auto"/>
                <w:sz w:val="24"/>
                <w:szCs w:val="24"/>
                <w:highlight w:val="none"/>
                <w:lang w:eastAsia="zh-CN"/>
              </w:rPr>
              <w:t>接管标准</w:t>
            </w:r>
          </w:p>
        </w:tc>
      </w:tr>
      <w:tr w14:paraId="5231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516" w:type="pct"/>
            <w:vMerge w:val="continue"/>
            <w:vAlign w:val="center"/>
          </w:tcPr>
          <w:p w14:paraId="11E1C74C">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p>
        </w:tc>
        <w:tc>
          <w:tcPr>
            <w:tcW w:w="833" w:type="pct"/>
            <w:vAlign w:val="center"/>
          </w:tcPr>
          <w:p w14:paraId="6D0D9799">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hint="eastAsia" w:cs="Times New Roman"/>
                <w:bCs/>
                <w:color w:val="auto"/>
                <w:sz w:val="24"/>
                <w:szCs w:val="24"/>
                <w:highlight w:val="none"/>
                <w:lang w:val="en-US" w:eastAsia="zh-CN"/>
              </w:rPr>
              <w:t>生产废水</w:t>
            </w:r>
          </w:p>
        </w:tc>
        <w:tc>
          <w:tcPr>
            <w:tcW w:w="633" w:type="pct"/>
            <w:vAlign w:val="center"/>
          </w:tcPr>
          <w:p w14:paraId="376B8ED8">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pH、COD、BOD</w:t>
            </w:r>
            <w:r>
              <w:rPr>
                <w:rFonts w:ascii="Times New Roman" w:hAnsi="Times New Roman" w:eastAsia="宋体" w:cs="Times New Roman"/>
                <w:bCs/>
                <w:color w:val="auto"/>
                <w:sz w:val="24"/>
                <w:szCs w:val="24"/>
                <w:highlight w:val="none"/>
                <w:vertAlign w:val="subscript"/>
              </w:rPr>
              <w:t>5</w:t>
            </w:r>
            <w:r>
              <w:rPr>
                <w:rFonts w:ascii="Times New Roman" w:hAnsi="Times New Roman" w:eastAsia="宋体" w:cs="Times New Roman"/>
                <w:bCs/>
                <w:color w:val="auto"/>
                <w:sz w:val="24"/>
                <w:szCs w:val="24"/>
                <w:highlight w:val="none"/>
              </w:rPr>
              <w:t>、NH</w:t>
            </w:r>
            <w:r>
              <w:rPr>
                <w:rFonts w:ascii="Times New Roman" w:hAnsi="Times New Roman" w:eastAsia="宋体" w:cs="Times New Roman"/>
                <w:bCs/>
                <w:color w:val="auto"/>
                <w:sz w:val="24"/>
                <w:szCs w:val="24"/>
                <w:highlight w:val="none"/>
                <w:vertAlign w:val="subscript"/>
              </w:rPr>
              <w:t>3</w:t>
            </w:r>
            <w:r>
              <w:rPr>
                <w:rFonts w:ascii="Times New Roman" w:hAnsi="Times New Roman" w:eastAsia="宋体" w:cs="Times New Roman"/>
                <w:bCs/>
                <w:color w:val="auto"/>
                <w:sz w:val="24"/>
                <w:szCs w:val="24"/>
                <w:highlight w:val="none"/>
              </w:rPr>
              <w:t>-N、SS</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val="en-US" w:eastAsia="zh-CN"/>
              </w:rPr>
              <w:t>石油类</w:t>
            </w:r>
          </w:p>
        </w:tc>
        <w:tc>
          <w:tcPr>
            <w:tcW w:w="1151" w:type="pct"/>
            <w:vAlign w:val="center"/>
          </w:tcPr>
          <w:p w14:paraId="637FA6D2">
            <w:pPr>
              <w:keepNext w:val="0"/>
              <w:keepLines w:val="0"/>
              <w:pageBreakBefore w:val="0"/>
              <w:widowControl/>
              <w:kinsoku w:val="0"/>
              <w:wordWrap/>
              <w:overflowPunct/>
              <w:topLinePunct w:val="0"/>
              <w:autoSpaceDE w:val="0"/>
              <w:autoSpaceDN w:val="0"/>
              <w:bidi w:val="0"/>
              <w:adjustRightInd/>
              <w:snapToGrid/>
              <w:jc w:val="center"/>
              <w:textAlignment w:val="baseline"/>
              <w:outlineLvl w:val="9"/>
              <w:rPr>
                <w:rFonts w:ascii="Times New Roman" w:hAnsi="Times New Roman" w:eastAsia="宋体" w:cs="Times New Roman"/>
                <w:bCs/>
                <w:color w:val="auto"/>
                <w:sz w:val="24"/>
                <w:szCs w:val="24"/>
                <w:highlight w:val="none"/>
                <w:lang w:eastAsia="zh-CN"/>
              </w:rPr>
            </w:pPr>
            <w:r>
              <w:rPr>
                <w:rFonts w:hint="eastAsia" w:cs="Times New Roman"/>
                <w:bCs/>
                <w:color w:val="auto"/>
                <w:sz w:val="24"/>
                <w:szCs w:val="24"/>
                <w:highlight w:val="none"/>
                <w:lang w:val="en-US" w:eastAsia="zh-CN"/>
              </w:rPr>
              <w:t>生产废水经自建污水处理站处理后回用脱脂用水</w:t>
            </w:r>
          </w:p>
        </w:tc>
        <w:tc>
          <w:tcPr>
            <w:tcW w:w="1865" w:type="pct"/>
            <w:vAlign w:val="center"/>
          </w:tcPr>
          <w:p w14:paraId="34CB622E">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w:t>
            </w:r>
          </w:p>
        </w:tc>
      </w:tr>
      <w:tr w14:paraId="24F4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jc w:val="center"/>
        </w:trPr>
        <w:tc>
          <w:tcPr>
            <w:tcW w:w="516" w:type="pct"/>
            <w:vAlign w:val="center"/>
          </w:tcPr>
          <w:p w14:paraId="61E8D158">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声环境</w:t>
            </w:r>
          </w:p>
        </w:tc>
        <w:tc>
          <w:tcPr>
            <w:tcW w:w="833" w:type="pct"/>
            <w:vAlign w:val="center"/>
          </w:tcPr>
          <w:p w14:paraId="3BB3F768">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生产设备</w:t>
            </w:r>
          </w:p>
        </w:tc>
        <w:tc>
          <w:tcPr>
            <w:tcW w:w="633" w:type="pct"/>
            <w:vAlign w:val="center"/>
          </w:tcPr>
          <w:p w14:paraId="022733D7">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设备噪声</w:t>
            </w:r>
          </w:p>
        </w:tc>
        <w:tc>
          <w:tcPr>
            <w:tcW w:w="1151" w:type="pct"/>
            <w:vAlign w:val="center"/>
          </w:tcPr>
          <w:p w14:paraId="34FC7787">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lang w:eastAsia="zh-CN"/>
              </w:rPr>
            </w:pPr>
            <w:r>
              <w:rPr>
                <w:rFonts w:hint="eastAsia" w:cs="宋体"/>
                <w:color w:val="auto"/>
                <w:sz w:val="24"/>
                <w:szCs w:val="24"/>
                <w:highlight w:val="none"/>
              </w:rPr>
              <w:t>厂房隔声，使用低噪设备，合理安排工作时间等</w:t>
            </w:r>
          </w:p>
        </w:tc>
        <w:tc>
          <w:tcPr>
            <w:tcW w:w="1865" w:type="pct"/>
            <w:vAlign w:val="center"/>
          </w:tcPr>
          <w:p w14:paraId="54824744">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满足《工业企业厂界环境噪声排放标准》（GB12348-2008）中3类标准</w:t>
            </w:r>
          </w:p>
        </w:tc>
      </w:tr>
      <w:tr w14:paraId="245E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516" w:type="pct"/>
            <w:vAlign w:val="center"/>
          </w:tcPr>
          <w:p w14:paraId="628E0630">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固体废物</w:t>
            </w:r>
          </w:p>
        </w:tc>
        <w:tc>
          <w:tcPr>
            <w:tcW w:w="4483" w:type="pct"/>
            <w:gridSpan w:val="4"/>
            <w:vAlign w:val="center"/>
          </w:tcPr>
          <w:p w14:paraId="6EEBE484">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1、生活垃圾由环卫部门清运；</w:t>
            </w:r>
          </w:p>
          <w:p w14:paraId="6AAA8081">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2、项目</w:t>
            </w:r>
            <w:r>
              <w:rPr>
                <w:rFonts w:hint="default" w:ascii="Times New Roman" w:hAnsi="Times New Roman" w:eastAsia="宋体" w:cs="Times New Roman"/>
                <w:color w:val="auto"/>
                <w:sz w:val="24"/>
                <w:szCs w:val="24"/>
                <w:highlight w:val="none"/>
                <w:lang w:val="en-US" w:eastAsia="zh-CN"/>
              </w:rPr>
              <w:t>建设一座20m²的一般固废暂存间，用于暂存生产过程中产生的</w:t>
            </w:r>
            <w:r>
              <w:rPr>
                <w:rFonts w:hint="default" w:ascii="Times New Roman" w:hAnsi="Times New Roman" w:eastAsia="宋体" w:cs="Times New Roman"/>
                <w:color w:val="auto"/>
                <w:sz w:val="24"/>
                <w:szCs w:val="24"/>
                <w:highlight w:val="none"/>
              </w:rPr>
              <w:t>金属边角料、焊渣、</w:t>
            </w:r>
            <w:r>
              <w:rPr>
                <w:rFonts w:hint="eastAsia" w:ascii="Times New Roman" w:hAnsi="Times New Roman" w:eastAsia="宋体" w:cs="Times New Roman"/>
                <w:color w:val="auto"/>
                <w:sz w:val="24"/>
                <w:szCs w:val="24"/>
                <w:highlight w:val="none"/>
                <w:lang w:val="en-US" w:eastAsia="zh-CN"/>
              </w:rPr>
              <w:t>布袋除尘器收尘、滤芯收集尘</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焊渣</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布袋除尘器收集尘定期外售处理</w:t>
            </w:r>
            <w:r>
              <w:rPr>
                <w:rFonts w:hint="default" w:ascii="Times New Roman" w:hAnsi="Times New Roman" w:eastAsia="宋体" w:cs="Times New Roman"/>
                <w:color w:val="auto"/>
                <w:sz w:val="24"/>
                <w:szCs w:val="24"/>
                <w:highlight w:val="none"/>
              </w:rPr>
              <w:t>，金属边角料外售至物资回收公司；</w:t>
            </w:r>
            <w:r>
              <w:rPr>
                <w:rFonts w:hint="eastAsia" w:ascii="Times New Roman" w:hAnsi="Times New Roman" w:eastAsia="宋体" w:cs="Times New Roman"/>
                <w:color w:val="auto"/>
                <w:sz w:val="24"/>
                <w:szCs w:val="24"/>
                <w:highlight w:val="none"/>
                <w:lang w:val="en-US" w:eastAsia="zh-CN"/>
              </w:rPr>
              <w:t>滤芯收集尘回用于生产。</w:t>
            </w:r>
          </w:p>
          <w:p w14:paraId="4B2A0818">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left"/>
              <w:textAlignment w:val="baseline"/>
              <w:rPr>
                <w:rFonts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color w:val="auto"/>
                <w:sz w:val="24"/>
                <w:szCs w:val="24"/>
                <w:highlight w:val="none"/>
              </w:rPr>
              <w:t>3、</w:t>
            </w:r>
            <w:r>
              <w:rPr>
                <w:rFonts w:hint="default" w:ascii="Times New Roman" w:hAnsi="Times New Roman" w:eastAsia="宋体" w:cs="Times New Roman"/>
                <w:color w:val="auto"/>
                <w:sz w:val="24"/>
                <w:szCs w:val="24"/>
                <w:highlight w:val="none"/>
                <w:lang w:val="en-US" w:eastAsia="zh-CN"/>
              </w:rPr>
              <w:t>项目建设一间</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0m</w:t>
            </w:r>
            <w:r>
              <w:rPr>
                <w:rFonts w:hint="default" w:ascii="Times New Roman" w:hAnsi="Times New Roman" w:eastAsia="宋体" w:cs="Times New Roman"/>
                <w:color w:val="auto"/>
                <w:sz w:val="24"/>
                <w:szCs w:val="24"/>
                <w:highlight w:val="none"/>
                <w:lang w:val="en-US" w:eastAsia="zh-CN"/>
              </w:rPr>
              <w:t>²的危废暂存间，用于暂存</w:t>
            </w:r>
            <w:r>
              <w:rPr>
                <w:rFonts w:hint="eastAsia" w:ascii="Times New Roman" w:hAnsi="Times New Roman" w:eastAsia="宋体" w:cs="Times New Roman"/>
                <w:color w:val="auto"/>
                <w:sz w:val="24"/>
                <w:szCs w:val="24"/>
                <w:highlight w:val="none"/>
                <w:lang w:val="en-US" w:eastAsia="zh-CN"/>
              </w:rPr>
              <w:t>废过滤棉、废漆桶和</w:t>
            </w:r>
            <w:r>
              <w:rPr>
                <w:rFonts w:hint="default" w:ascii="Times New Roman" w:hAnsi="Times New Roman" w:eastAsia="宋体" w:cs="Times New Roman"/>
                <w:color w:val="auto"/>
                <w:sz w:val="24"/>
                <w:szCs w:val="24"/>
                <w:highlight w:val="none"/>
              </w:rPr>
              <w:t>废活性炭</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废机油、废机油桶、槽渣及污泥</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液体危废暂存于专用密闭包装桶中，废漆桶加盖密闭暂存，漆渣、过滤棉危废专用编织袋包装封口</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废活性炭</w:t>
            </w:r>
            <w:r>
              <w:rPr>
                <w:rFonts w:hint="eastAsia" w:ascii="Times New Roman" w:hAnsi="Times New Roman" w:cs="Times New Roman"/>
                <w:color w:val="auto"/>
                <w:sz w:val="24"/>
                <w:szCs w:val="24"/>
                <w:highlight w:val="none"/>
                <w:lang w:val="en-US" w:eastAsia="zh-CN"/>
              </w:rPr>
              <w:t>采用薄膜缠绕包裹暂存密闭桶内，</w:t>
            </w:r>
            <w:r>
              <w:rPr>
                <w:rFonts w:hint="eastAsia" w:cs="Times New Roman"/>
                <w:color w:val="auto"/>
                <w:sz w:val="24"/>
                <w:szCs w:val="24"/>
                <w:highlight w:val="none"/>
                <w:lang w:val="en-US" w:eastAsia="zh-CN"/>
              </w:rPr>
              <w:t>槽渣与污泥暂存于防腐密闭容器内</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定期委托有</w:t>
            </w:r>
            <w:r>
              <w:rPr>
                <w:rFonts w:hint="default" w:ascii="Times New Roman" w:hAnsi="Times New Roman" w:eastAsia="宋体" w:cs="Times New Roman"/>
                <w:color w:val="auto"/>
                <w:sz w:val="24"/>
                <w:szCs w:val="24"/>
                <w:highlight w:val="none"/>
              </w:rPr>
              <w:t>资质单位进行处理。</w:t>
            </w:r>
          </w:p>
        </w:tc>
      </w:tr>
      <w:tr w14:paraId="1DB1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516" w:type="pct"/>
            <w:vAlign w:val="center"/>
          </w:tcPr>
          <w:p w14:paraId="67381958">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土壤及地下水污染防治措施</w:t>
            </w:r>
          </w:p>
        </w:tc>
        <w:tc>
          <w:tcPr>
            <w:tcW w:w="4483" w:type="pct"/>
            <w:gridSpan w:val="4"/>
            <w:vAlign w:val="center"/>
          </w:tcPr>
          <w:p w14:paraId="6E313FB3">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分区防渗：</w:t>
            </w:r>
          </w:p>
          <w:p w14:paraId="7265A418">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（1）重点防渗：</w:t>
            </w:r>
            <w:r>
              <w:rPr>
                <w:rFonts w:hint="default" w:ascii="Times New Roman" w:hAnsi="Times New Roman" w:cs="Times New Roman"/>
                <w:color w:val="auto"/>
                <w:sz w:val="24"/>
                <w:szCs w:val="24"/>
                <w:highlight w:val="none"/>
                <w:lang w:val="en-US" w:eastAsia="zh-CN"/>
              </w:rPr>
              <w:t>依托原有已建C30防渗混凝土地面</w:t>
            </w:r>
            <w:r>
              <w:rPr>
                <w:rFonts w:hint="eastAsia" w:cs="Times New Roman"/>
                <w:color w:val="auto"/>
                <w:sz w:val="24"/>
                <w:szCs w:val="24"/>
                <w:highlight w:val="none"/>
                <w:lang w:val="en-US" w:eastAsia="zh-CN"/>
              </w:rPr>
              <w:t>，新增</w:t>
            </w:r>
            <w:r>
              <w:rPr>
                <w:rFonts w:hint="default" w:ascii="Times New Roman" w:hAnsi="Times New Roman"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mm环氧树脂</w:t>
            </w:r>
            <w:r>
              <w:rPr>
                <w:rFonts w:hint="eastAsia" w:ascii="Times New Roman" w:hAnsi="Times New Roman" w:cs="Times New Roman"/>
                <w:b w:val="0"/>
                <w:bCs w:val="0"/>
                <w:color w:val="auto"/>
                <w:sz w:val="24"/>
                <w:szCs w:val="24"/>
                <w:highlight w:val="none"/>
                <w:lang w:val="en-US" w:eastAsia="zh-CN"/>
              </w:rPr>
              <w:t>地坪</w:t>
            </w:r>
            <w:r>
              <w:rPr>
                <w:rFonts w:hint="default" w:ascii="Times New Roman" w:hAnsi="Times New Roman" w:eastAsia="宋体" w:cs="Times New Roman"/>
                <w:b w:val="0"/>
                <w:bCs w:val="0"/>
                <w:color w:val="auto"/>
                <w:sz w:val="24"/>
                <w:szCs w:val="24"/>
                <w:highlight w:val="none"/>
                <w:lang w:val="en-US" w:eastAsia="zh-CN"/>
              </w:rPr>
              <w:t>漆，</w:t>
            </w:r>
            <w:r>
              <w:rPr>
                <w:rFonts w:hint="default" w:ascii="Times New Roman" w:hAnsi="Times New Roman" w:eastAsia="宋体" w:cs="Times New Roman"/>
                <w:b w:val="0"/>
                <w:bCs w:val="0"/>
                <w:snapToGrid/>
                <w:color w:val="auto"/>
                <w:spacing w:val="0"/>
                <w:kern w:val="0"/>
                <w:position w:val="0"/>
                <w:sz w:val="24"/>
                <w:szCs w:val="24"/>
                <w:highlight w:val="none"/>
                <w:lang w:val="en-US" w:eastAsia="zh-CN"/>
              </w:rPr>
              <w:t>防渗层渗透系数达到</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val="0"/>
                <w:snapToGrid/>
                <w:color w:val="auto"/>
                <w:spacing w:val="0"/>
                <w:kern w:val="0"/>
                <w:position w:val="0"/>
                <w:sz w:val="24"/>
                <w:szCs w:val="24"/>
                <w:highlight w:val="none"/>
                <w:lang w:val="en-US" w:eastAsia="zh-CN"/>
              </w:rPr>
              <w:t>1.0×10</w:t>
            </w:r>
            <w:r>
              <w:rPr>
                <w:rFonts w:hint="default" w:ascii="Times New Roman" w:hAnsi="Times New Roman" w:eastAsia="宋体" w:cs="Times New Roman"/>
                <w:b w:val="0"/>
                <w:bCs w:val="0"/>
                <w:snapToGrid/>
                <w:color w:val="auto"/>
                <w:spacing w:val="0"/>
                <w:kern w:val="0"/>
                <w:position w:val="0"/>
                <w:sz w:val="24"/>
                <w:szCs w:val="24"/>
                <w:highlight w:val="none"/>
                <w:vertAlign w:val="superscript"/>
                <w:lang w:val="en-US" w:eastAsia="zh-CN"/>
              </w:rPr>
              <w:t>-</w:t>
            </w:r>
            <w:r>
              <w:rPr>
                <w:rFonts w:hint="default" w:ascii="Times New Roman" w:hAnsi="Times New Roman" w:cs="Times New Roman"/>
                <w:b w:val="0"/>
                <w:bCs w:val="0"/>
                <w:snapToGrid/>
                <w:color w:val="auto"/>
                <w:spacing w:val="0"/>
                <w:kern w:val="0"/>
                <w:position w:val="0"/>
                <w:sz w:val="24"/>
                <w:szCs w:val="24"/>
                <w:highlight w:val="none"/>
                <w:vertAlign w:val="superscript"/>
                <w:lang w:val="en-US" w:eastAsia="zh-CN"/>
              </w:rPr>
              <w:t>10</w:t>
            </w:r>
            <w:r>
              <w:rPr>
                <w:rFonts w:hint="default" w:ascii="Times New Roman" w:hAnsi="Times New Roman" w:eastAsia="宋体" w:cs="Times New Roman"/>
                <w:b w:val="0"/>
                <w:bCs w:val="0"/>
                <w:snapToGrid/>
                <w:color w:val="auto"/>
                <w:spacing w:val="0"/>
                <w:kern w:val="0"/>
                <w:position w:val="0"/>
                <w:sz w:val="24"/>
                <w:szCs w:val="24"/>
                <w:highlight w:val="none"/>
                <w:lang w:val="en-US" w:eastAsia="zh-CN"/>
              </w:rPr>
              <w:t>cm/s</w:t>
            </w:r>
            <w:r>
              <w:rPr>
                <w:rFonts w:ascii="Times New Roman" w:hAnsi="Times New Roman" w:eastAsia="宋体" w:cs="Times New Roman"/>
                <w:color w:val="auto"/>
                <w:sz w:val="24"/>
                <w:szCs w:val="24"/>
                <w:highlight w:val="none"/>
                <w:lang w:eastAsia="zh-CN"/>
              </w:rPr>
              <w:t>。</w:t>
            </w:r>
          </w:p>
          <w:p w14:paraId="4055267A">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 w:val="0"/>
                <w:bCs w:val="0"/>
                <w:snapToGrid/>
                <w:color w:val="auto"/>
                <w:spacing w:val="0"/>
                <w:kern w:val="0"/>
                <w:position w:val="0"/>
                <w:sz w:val="24"/>
                <w:szCs w:val="24"/>
                <w:highlight w:val="none"/>
                <w:lang w:val="en-US" w:eastAsia="zh-CN"/>
              </w:rPr>
              <w:t>（2）一般防渗：依托原有，现厂区车间使用C30混凝土建设20cm硬化地面，可满足一般防渗要求。</w:t>
            </w:r>
          </w:p>
        </w:tc>
      </w:tr>
      <w:tr w14:paraId="67B4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Align w:val="center"/>
          </w:tcPr>
          <w:p w14:paraId="4F4E5B72">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环境风险管控措施</w:t>
            </w:r>
          </w:p>
        </w:tc>
        <w:tc>
          <w:tcPr>
            <w:tcW w:w="4483" w:type="pct"/>
            <w:gridSpan w:val="4"/>
            <w:vAlign w:val="center"/>
          </w:tcPr>
          <w:p w14:paraId="0C16F4AA">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firstLine="480" w:firstLineChars="200"/>
              <w:jc w:val="both"/>
              <w:textAlignment w:val="baseline"/>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建设单位须制订环境突发事故应急预案，一旦突发环境风险事故，必须立即按应急预案提到的紧急处理、救援、监测方案等进行紧急救援，救援人员采取相应的防护措施，以避免造成人员伤亡事故。</w:t>
            </w:r>
          </w:p>
        </w:tc>
      </w:tr>
      <w:tr w14:paraId="263F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Align w:val="center"/>
          </w:tcPr>
          <w:p w14:paraId="11C8C10E">
            <w:pPr>
              <w:keepNext w:val="0"/>
              <w:keepLines w:val="0"/>
              <w:pageBreakBefore w:val="0"/>
              <w:widowControl/>
              <w:kinsoku w:val="0"/>
              <w:wordWrap/>
              <w:overflowPunct/>
              <w:topLinePunct w:val="0"/>
              <w:autoSpaceDE w:val="0"/>
              <w:autoSpaceDN w:val="0"/>
              <w:bidi w:val="0"/>
              <w:adjustRightInd/>
              <w:snapToGrid/>
              <w:jc w:val="center"/>
              <w:textAlignment w:val="baseline"/>
              <w:outlineLvl w:val="0"/>
              <w:rPr>
                <w:rFonts w:ascii="Times New Roman" w:hAnsi="Times New Roman" w:eastAsia="宋体" w:cs="Times New Roman"/>
                <w:bCs/>
                <w:color w:val="auto"/>
                <w:sz w:val="24"/>
                <w:szCs w:val="24"/>
                <w:highlight w:val="none"/>
              </w:rPr>
            </w:pPr>
            <w:r>
              <w:rPr>
                <w:rFonts w:ascii="Times New Roman" w:hAnsi="Times New Roman" w:eastAsia="宋体" w:cs="Times New Roman"/>
                <w:color w:val="auto"/>
                <w:sz w:val="24"/>
                <w:szCs w:val="24"/>
                <w:highlight w:val="none"/>
              </w:rPr>
              <w:t>其他环境管理要求</w:t>
            </w:r>
          </w:p>
        </w:tc>
        <w:tc>
          <w:tcPr>
            <w:tcW w:w="4483" w:type="pct"/>
            <w:gridSpan w:val="4"/>
            <w:vAlign w:val="center"/>
          </w:tcPr>
          <w:p w14:paraId="108D8D5B">
            <w:pPr>
              <w:keepNext w:val="0"/>
              <w:keepLines w:val="0"/>
              <w:pageBreakBefore w:val="0"/>
              <w:widowControl/>
              <w:kinsoku w:val="0"/>
              <w:wordWrap/>
              <w:overflowPunct/>
              <w:topLinePunct w:val="0"/>
              <w:autoSpaceDE w:val="0"/>
              <w:autoSpaceDN w:val="0"/>
              <w:bidi w:val="0"/>
              <w:adjustRightInd/>
              <w:snapToGrid/>
              <w:spacing w:line="360" w:lineRule="auto"/>
              <w:ind w:firstLine="482" w:firstLineChars="200"/>
              <w:textAlignment w:val="baseline"/>
              <w:rPr>
                <w:rFonts w:ascii="Times New Roman" w:hAnsi="Times New Roman" w:eastAsia="宋体" w:cs="Times New Roman"/>
                <w:b/>
                <w:bCs/>
                <w:color w:val="auto"/>
                <w:sz w:val="24"/>
                <w:szCs w:val="24"/>
                <w:highlight w:val="none"/>
                <w:lang w:eastAsia="zh-CN" w:bidi="ar"/>
              </w:rPr>
            </w:pPr>
            <w:r>
              <w:rPr>
                <w:rFonts w:ascii="Times New Roman" w:hAnsi="Times New Roman" w:eastAsia="宋体" w:cs="Times New Roman"/>
                <w:b/>
                <w:bCs/>
                <w:color w:val="auto"/>
                <w:sz w:val="24"/>
                <w:szCs w:val="24"/>
                <w:highlight w:val="none"/>
                <w:lang w:eastAsia="zh-CN" w:bidi="ar"/>
              </w:rPr>
              <w:t>1、排放口规范化及信息公开化</w:t>
            </w:r>
          </w:p>
          <w:p w14:paraId="3C45E5C2">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szCs w:val="24"/>
                <w:highlight w:val="none"/>
                <w:lang w:eastAsia="zh-CN" w:bidi="ar"/>
              </w:rPr>
            </w:pPr>
            <w:r>
              <w:rPr>
                <w:rFonts w:hint="eastAsia" w:ascii="Times New Roman" w:hAnsi="Times New Roman" w:eastAsia="宋体" w:cs="Times New Roman"/>
                <w:b w:val="0"/>
                <w:bCs w:val="0"/>
                <w:color w:val="auto"/>
                <w:kern w:val="2"/>
                <w:sz w:val="24"/>
                <w:szCs w:val="24"/>
                <w:highlight w:val="none"/>
                <w:lang w:val="en-US" w:eastAsia="zh-CN" w:bidi="ar"/>
              </w:rPr>
              <w:t>根据《</w:t>
            </w:r>
            <w:r>
              <w:rPr>
                <w:rFonts w:hint="default" w:ascii="Times New Roman" w:hAnsi="Times New Roman" w:eastAsia="宋体" w:cs="Times New Roman"/>
                <w:b w:val="0"/>
                <w:bCs w:val="0"/>
                <w:color w:val="auto"/>
                <w:kern w:val="2"/>
                <w:sz w:val="24"/>
                <w:szCs w:val="24"/>
                <w:highlight w:val="none"/>
                <w:lang w:val="en-US" w:eastAsia="zh-CN" w:bidi="ar"/>
              </w:rPr>
              <w:t>安徽省污染源排放口规范化整治管理办法</w:t>
            </w:r>
            <w:r>
              <w:rPr>
                <w:rFonts w:hint="eastAsia" w:ascii="Times New Roman" w:hAnsi="Times New Roman" w:eastAsia="宋体" w:cs="Times New Roman"/>
                <w:b w:val="0"/>
                <w:bCs w:val="0"/>
                <w:color w:val="auto"/>
                <w:kern w:val="2"/>
                <w:sz w:val="24"/>
                <w:szCs w:val="24"/>
                <w:highlight w:val="none"/>
                <w:lang w:val="en-US" w:eastAsia="zh-CN" w:bidi="ar"/>
              </w:rPr>
              <w:t>》（</w:t>
            </w:r>
            <w:r>
              <w:rPr>
                <w:rFonts w:hint="default" w:ascii="Times New Roman" w:hAnsi="Times New Roman" w:eastAsia="宋体" w:cs="Times New Roman"/>
                <w:b w:val="0"/>
                <w:bCs w:val="0"/>
                <w:color w:val="auto"/>
                <w:kern w:val="2"/>
                <w:sz w:val="24"/>
                <w:szCs w:val="24"/>
                <w:highlight w:val="none"/>
                <w:lang w:val="en-US" w:eastAsia="zh-CN" w:bidi="ar"/>
              </w:rPr>
              <w:t>环</w:t>
            </w:r>
            <w:r>
              <w:rPr>
                <w:rFonts w:hint="eastAsia" w:ascii="Times New Roman" w:hAnsi="Times New Roman" w:eastAsia="宋体" w:cs="Times New Roman"/>
                <w:b w:val="0"/>
                <w:bCs w:val="0"/>
                <w:color w:val="auto"/>
                <w:kern w:val="2"/>
                <w:sz w:val="24"/>
                <w:szCs w:val="24"/>
                <w:highlight w:val="none"/>
                <w:lang w:val="en-US" w:eastAsia="zh-CN" w:bidi="ar"/>
              </w:rPr>
              <w:t>法函[2005]114号）</w:t>
            </w:r>
            <w:r>
              <w:rPr>
                <w:rFonts w:ascii="Times New Roman" w:hAnsi="Times New Roman" w:eastAsia="宋体" w:cs="Times New Roman"/>
                <w:color w:val="auto"/>
                <w:sz w:val="24"/>
                <w:szCs w:val="24"/>
                <w:highlight w:val="none"/>
                <w:lang w:eastAsia="zh-CN" w:bidi="ar"/>
              </w:rPr>
              <w:t>、《排污口规范化整治技术要求》（环监[1996]470号）等规定的要求，一切新建、改造、扩建的排污单位以及限期治理的排污单位必须在建设污染治理设施的同时，建设规范化排放口。因此，建设项目产生的各类污染物的排放口必须规范化，并且规范化工作的完成必须与污染治理设施同步。</w:t>
            </w:r>
          </w:p>
          <w:p w14:paraId="49C6FF57">
            <w:pPr>
              <w:keepNext w:val="0"/>
              <w:keepLines w:val="0"/>
              <w:pageBreakBefore w:val="0"/>
              <w:widowControl/>
              <w:kinsoku/>
              <w:wordWrap/>
              <w:overflowPunct/>
              <w:topLinePunct w:val="0"/>
              <w:autoSpaceDE w:val="0"/>
              <w:autoSpaceDN w:val="0"/>
              <w:bidi w:val="0"/>
              <w:adjustRightInd/>
              <w:snapToGrid/>
              <w:spacing w:line="360" w:lineRule="auto"/>
              <w:ind w:firstLine="482" w:firstLineChars="200"/>
              <w:textAlignment w:val="baseline"/>
              <w:rPr>
                <w:rFonts w:hint="default" w:ascii="Times New Roman" w:hAnsi="Times New Roman" w:eastAsia="宋体" w:cs="Times New Roman"/>
                <w:b/>
                <w:bCs/>
                <w:color w:val="auto"/>
                <w:sz w:val="24"/>
                <w:szCs w:val="24"/>
                <w:highlight w:val="none"/>
                <w:lang w:val="en-US" w:eastAsia="zh-CN" w:bidi="ar"/>
              </w:rPr>
            </w:pPr>
            <w:r>
              <w:rPr>
                <w:rFonts w:hint="default" w:ascii="Times New Roman" w:hAnsi="Times New Roman" w:eastAsia="宋体" w:cs="Times New Roman"/>
                <w:b/>
                <w:bCs/>
                <w:color w:val="auto"/>
                <w:sz w:val="24"/>
                <w:szCs w:val="24"/>
                <w:highlight w:val="none"/>
                <w:lang w:val="en-US" w:eastAsia="zh-CN" w:bidi="ar"/>
              </w:rPr>
              <w:t>2、监测计划</w:t>
            </w:r>
          </w:p>
          <w:p w14:paraId="07A8F04F">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360" w:lineRule="auto"/>
              <w:ind w:firstLine="480" w:firstLineChars="200"/>
              <w:jc w:val="both"/>
              <w:textAlignment w:val="baseline"/>
              <w:rPr>
                <w:rFonts w:hint="default" w:ascii="Times New Roman" w:hAnsi="Times New Roman" w:eastAsia="宋体" w:cs="Times New Roman"/>
                <w:snapToGrid w:val="0"/>
                <w:color w:val="auto"/>
                <w:sz w:val="24"/>
                <w:szCs w:val="24"/>
                <w:highlight w:val="none"/>
                <w:lang w:val="en-US" w:eastAsia="zh-CN" w:bidi="ar-SA"/>
              </w:rPr>
            </w:pPr>
            <w:r>
              <w:rPr>
                <w:rFonts w:hint="default" w:ascii="Times New Roman" w:hAnsi="Times New Roman" w:eastAsia="宋体" w:cs="Times New Roman"/>
                <w:snapToGrid w:val="0"/>
                <w:color w:val="auto"/>
                <w:sz w:val="24"/>
                <w:szCs w:val="24"/>
                <w:highlight w:val="none"/>
                <w:lang w:val="en-US" w:eastAsia="zh-CN" w:bidi="ar-SA"/>
              </w:rPr>
              <w:t>依据《排污单位自行监测技术指南总则》（HJ819-2017）、</w:t>
            </w:r>
            <w:r>
              <w:rPr>
                <w:rFonts w:hint="default" w:ascii="Times New Roman" w:hAnsi="Times New Roman" w:eastAsia="宋体" w:cs="Times New Roman"/>
                <w:b w:val="0"/>
                <w:bCs/>
                <w:snapToGrid w:val="0"/>
                <w:color w:val="auto"/>
                <w:sz w:val="24"/>
                <w:szCs w:val="32"/>
                <w:highlight w:val="none"/>
                <w:lang w:val="en-US" w:eastAsia="zh-CN" w:bidi="ar-SA"/>
              </w:rPr>
              <w:t>《</w:t>
            </w:r>
            <w:r>
              <w:rPr>
                <w:rFonts w:hint="default" w:ascii="Times New Roman" w:hAnsi="Times New Roman" w:eastAsia="宋体" w:cs="Times New Roman"/>
                <w:b w:val="0"/>
                <w:bCs/>
                <w:snapToGrid w:val="0"/>
                <w:color w:val="auto"/>
                <w:sz w:val="24"/>
                <w:szCs w:val="32"/>
                <w:highlight w:val="none"/>
                <w:lang w:val="en-US" w:eastAsia="zh-CN" w:bidi="ar-SA"/>
              </w:rPr>
              <w:fldChar w:fldCharType="begin"/>
            </w:r>
            <w:r>
              <w:rPr>
                <w:rFonts w:hint="default" w:ascii="Times New Roman" w:hAnsi="Times New Roman" w:eastAsia="宋体" w:cs="Times New Roman"/>
                <w:b w:val="0"/>
                <w:bCs/>
                <w:snapToGrid w:val="0"/>
                <w:color w:val="auto"/>
                <w:sz w:val="24"/>
                <w:szCs w:val="32"/>
                <w:highlight w:val="none"/>
                <w:lang w:val="en-US" w:eastAsia="zh-CN" w:bidi="ar-SA"/>
              </w:rPr>
              <w:instrText xml:space="preserve"> HYPERLINK "https://www.eiacloud.com/hpyzs/lawsRegulations/searchDetail?modelName=%E6%8E%92%E6%B1%A1%E5%90%8D%E5%BD%95&amp;id=61c459b05d144dea89d584089fffd470" \t "https://www.eiacloud.com/hpyzs/category/_blank" </w:instrText>
            </w:r>
            <w:r>
              <w:rPr>
                <w:rFonts w:hint="default" w:ascii="Times New Roman" w:hAnsi="Times New Roman" w:eastAsia="宋体" w:cs="Times New Roman"/>
                <w:b w:val="0"/>
                <w:bCs/>
                <w:snapToGrid w:val="0"/>
                <w:color w:val="auto"/>
                <w:sz w:val="24"/>
                <w:szCs w:val="32"/>
                <w:highlight w:val="none"/>
                <w:lang w:val="en-US" w:eastAsia="zh-CN" w:bidi="ar-SA"/>
              </w:rPr>
              <w:fldChar w:fldCharType="separate"/>
            </w:r>
            <w:r>
              <w:rPr>
                <w:rFonts w:hint="default" w:ascii="Times New Roman" w:hAnsi="Times New Roman" w:eastAsia="宋体" w:cs="Times New Roman"/>
                <w:b w:val="0"/>
                <w:bCs/>
                <w:snapToGrid w:val="0"/>
                <w:color w:val="auto"/>
                <w:sz w:val="24"/>
                <w:szCs w:val="32"/>
                <w:highlight w:val="none"/>
                <w:lang w:val="en-US" w:eastAsia="zh-CN" w:bidi="ar-SA"/>
              </w:rPr>
              <w:t xml:space="preserve">排污单位自行监测技术指南 </w:t>
            </w:r>
            <w:r>
              <w:rPr>
                <w:rFonts w:hint="eastAsia" w:ascii="Times New Roman" w:hAnsi="Times New Roman" w:eastAsia="宋体" w:cs="Times New Roman"/>
                <w:b w:val="0"/>
                <w:bCs/>
                <w:snapToGrid w:val="0"/>
                <w:color w:val="auto"/>
                <w:sz w:val="24"/>
                <w:szCs w:val="32"/>
                <w:highlight w:val="none"/>
                <w:lang w:val="en-US" w:eastAsia="zh-CN" w:bidi="ar-SA"/>
              </w:rPr>
              <w:t>涂装</w:t>
            </w:r>
            <w:r>
              <w:rPr>
                <w:rFonts w:hint="default" w:ascii="Times New Roman" w:hAnsi="Times New Roman" w:eastAsia="宋体" w:cs="Times New Roman"/>
                <w:b w:val="0"/>
                <w:bCs/>
                <w:snapToGrid w:val="0"/>
                <w:color w:val="auto"/>
                <w:sz w:val="24"/>
                <w:szCs w:val="32"/>
                <w:highlight w:val="none"/>
                <w:lang w:val="en-US" w:eastAsia="zh-CN" w:bidi="ar-SA"/>
              </w:rPr>
              <w:t>》（ HJ1086-2020</w:t>
            </w:r>
            <w:r>
              <w:rPr>
                <w:rFonts w:hint="default" w:ascii="Times New Roman" w:hAnsi="Times New Roman" w:eastAsia="宋体" w:cs="Times New Roman"/>
                <w:b w:val="0"/>
                <w:bCs/>
                <w:snapToGrid w:val="0"/>
                <w:color w:val="auto"/>
                <w:sz w:val="24"/>
                <w:szCs w:val="32"/>
                <w:highlight w:val="none"/>
                <w:lang w:val="en-US" w:eastAsia="zh-CN" w:bidi="ar-SA"/>
              </w:rPr>
              <w:fldChar w:fldCharType="end"/>
            </w:r>
            <w:r>
              <w:rPr>
                <w:rFonts w:hint="default" w:ascii="Times New Roman" w:hAnsi="Times New Roman" w:eastAsia="宋体" w:cs="Times New Roman"/>
                <w:b w:val="0"/>
                <w:bCs/>
                <w:snapToGrid w:val="0"/>
                <w:color w:val="auto"/>
                <w:sz w:val="24"/>
                <w:szCs w:val="32"/>
                <w:highlight w:val="none"/>
                <w:lang w:val="en-US" w:eastAsia="zh-CN" w:bidi="ar-SA"/>
              </w:rPr>
              <w:t>）</w:t>
            </w:r>
            <w:r>
              <w:rPr>
                <w:rFonts w:hint="default" w:ascii="Times New Roman" w:hAnsi="Times New Roman" w:eastAsia="宋体" w:cs="Times New Roman"/>
                <w:snapToGrid w:val="0"/>
                <w:color w:val="auto"/>
                <w:sz w:val="24"/>
                <w:szCs w:val="24"/>
                <w:highlight w:val="none"/>
                <w:lang w:val="en-US" w:eastAsia="zh-CN" w:bidi="ar-SA"/>
              </w:rPr>
              <w:t>中自行监测内容进行设置。</w:t>
            </w:r>
          </w:p>
          <w:p w14:paraId="40EB9513">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ind w:firstLine="0" w:firstLineChars="0"/>
              <w:jc w:val="center"/>
              <w:textAlignment w:val="baseline"/>
              <w:rPr>
                <w:rFonts w:hint="default" w:ascii="Times New Roman" w:hAnsi="Times New Roman" w:eastAsia="宋体" w:cs="Times New Roman"/>
                <w:b/>
                <w:bCs/>
                <w:color w:val="auto"/>
                <w:sz w:val="24"/>
                <w:szCs w:val="24"/>
                <w:highlight w:val="none"/>
                <w:lang w:eastAsia="zh-CN"/>
              </w:rPr>
            </w:pPr>
          </w:p>
          <w:p w14:paraId="16327528">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ind w:firstLine="0" w:firstLineChars="0"/>
              <w:jc w:val="center"/>
              <w:textAlignment w:val="baseline"/>
              <w:rPr>
                <w:rFonts w:hint="default" w:ascii="Times New Roman" w:hAnsi="Times New Roman" w:eastAsia="宋体" w:cs="Times New Roman"/>
                <w:snapToGrid w:val="0"/>
                <w:color w:val="auto"/>
                <w:sz w:val="24"/>
                <w:szCs w:val="24"/>
                <w:highlight w:val="none"/>
                <w:lang w:val="en-US" w:eastAsia="zh-CN" w:bidi="ar-SA"/>
              </w:rPr>
            </w:pPr>
            <w:r>
              <w:rPr>
                <w:rFonts w:hint="default" w:ascii="Times New Roman" w:hAnsi="Times New Roman" w:eastAsia="宋体" w:cs="Times New Roman"/>
                <w:b/>
                <w:bCs/>
                <w:color w:val="auto"/>
                <w:sz w:val="24"/>
                <w:szCs w:val="24"/>
                <w:highlight w:val="none"/>
                <w:lang w:eastAsia="zh-CN"/>
              </w:rPr>
              <w:t>表</w:t>
            </w:r>
            <w:r>
              <w:rPr>
                <w:rFonts w:hint="default" w:ascii="Times New Roman" w:hAnsi="Times New Roman" w:eastAsia="宋体" w:cs="Times New Roman"/>
                <w:b/>
                <w:bCs/>
                <w:color w:val="auto"/>
                <w:sz w:val="24"/>
                <w:szCs w:val="24"/>
                <w:highlight w:val="none"/>
                <w:lang w:val="en-US" w:eastAsia="zh-CN"/>
              </w:rPr>
              <w:t xml:space="preserve">5-1  </w:t>
            </w:r>
            <w:r>
              <w:rPr>
                <w:rFonts w:hint="eastAsia" w:ascii="Times New Roman" w:hAnsi="Times New Roman" w:eastAsia="宋体" w:cs="Times New Roman"/>
                <w:b/>
                <w:bCs/>
                <w:color w:val="auto"/>
                <w:sz w:val="24"/>
                <w:szCs w:val="24"/>
                <w:highlight w:val="none"/>
                <w:lang w:val="en-US" w:eastAsia="zh-CN"/>
              </w:rPr>
              <w:t>自行</w:t>
            </w:r>
            <w:r>
              <w:rPr>
                <w:rFonts w:hint="default" w:ascii="Times New Roman" w:hAnsi="Times New Roman" w:eastAsia="宋体" w:cs="Times New Roman"/>
                <w:b/>
                <w:bCs/>
                <w:color w:val="auto"/>
                <w:sz w:val="24"/>
                <w:szCs w:val="24"/>
                <w:highlight w:val="none"/>
                <w:lang w:val="en-US" w:eastAsia="zh-CN"/>
              </w:rPr>
              <w:t>监测计划表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194"/>
              <w:gridCol w:w="1294"/>
              <w:gridCol w:w="1540"/>
              <w:gridCol w:w="3413"/>
            </w:tblGrid>
            <w:tr w14:paraId="6134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61" w:type="pct"/>
                  <w:vMerge w:val="restart"/>
                  <w:vAlign w:val="center"/>
                </w:tcPr>
                <w:p w14:paraId="1EDD906A">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p w14:paraId="36A42747">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污染源监测</w:t>
                  </w:r>
                </w:p>
              </w:tc>
              <w:tc>
                <w:tcPr>
                  <w:tcW w:w="728" w:type="pct"/>
                  <w:vMerge w:val="restart"/>
                  <w:vAlign w:val="center"/>
                </w:tcPr>
                <w:p w14:paraId="5009D575">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类别</w:t>
                  </w:r>
                </w:p>
              </w:tc>
              <w:tc>
                <w:tcPr>
                  <w:tcW w:w="789" w:type="pct"/>
                  <w:vAlign w:val="center"/>
                </w:tcPr>
                <w:p w14:paraId="1F100DB0">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监测项目</w:t>
                  </w:r>
                </w:p>
              </w:tc>
              <w:tc>
                <w:tcPr>
                  <w:tcW w:w="939" w:type="pct"/>
                  <w:vAlign w:val="center"/>
                </w:tcPr>
                <w:p w14:paraId="2B37FB67">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监测频次</w:t>
                  </w:r>
                </w:p>
              </w:tc>
              <w:tc>
                <w:tcPr>
                  <w:tcW w:w="2081" w:type="pct"/>
                  <w:vAlign w:val="center"/>
                </w:tcPr>
                <w:p w14:paraId="66526F12">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执行标准</w:t>
                  </w:r>
                </w:p>
              </w:tc>
            </w:tr>
            <w:tr w14:paraId="10791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vAlign w:val="center"/>
                </w:tcPr>
                <w:p w14:paraId="0AED472B">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Merge w:val="restart"/>
                  <w:vAlign w:val="center"/>
                </w:tcPr>
                <w:p w14:paraId="290A6505">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废气</w:t>
                  </w:r>
                </w:p>
              </w:tc>
              <w:tc>
                <w:tcPr>
                  <w:tcW w:w="789" w:type="pct"/>
                  <w:vAlign w:val="center"/>
                </w:tcPr>
                <w:p w14:paraId="64F2B240">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颗粒物</w:t>
                  </w:r>
                </w:p>
              </w:tc>
              <w:tc>
                <w:tcPr>
                  <w:tcW w:w="939" w:type="pct"/>
                  <w:vAlign w:val="center"/>
                </w:tcPr>
                <w:p w14:paraId="1E6D9651">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ascii="Times New Roman" w:hAnsi="Times New Roman" w:eastAsia="宋体" w:cs="Times New Roman"/>
                      <w:color w:val="auto"/>
                      <w:highlight w:val="none"/>
                      <w:lang w:eastAsia="zh-CN"/>
                    </w:rPr>
                    <w:t>1次/年</w:t>
                  </w:r>
                </w:p>
              </w:tc>
              <w:tc>
                <w:tcPr>
                  <w:tcW w:w="2081" w:type="pct"/>
                  <w:vAlign w:val="center"/>
                </w:tcPr>
                <w:p w14:paraId="223BB82D">
                  <w:pPr>
                    <w:pStyle w:val="56"/>
                    <w:widowControl w:val="0"/>
                    <w:kinsoku/>
                    <w:spacing w:line="240" w:lineRule="auto"/>
                    <w:ind w:firstLine="0" w:firstLineChars="0"/>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ascii="Times New Roman" w:hAnsi="Times New Roman" w:eastAsia="宋体" w:cs="Times New Roman"/>
                      <w:bCs/>
                      <w:color w:val="auto"/>
                      <w:spacing w:val="0"/>
                      <w:sz w:val="21"/>
                      <w:szCs w:val="21"/>
                      <w:highlight w:val="none"/>
                      <w:lang w:eastAsia="zh-CN"/>
                    </w:rPr>
                    <w:t>《大气污染物综合排放标准》（GB16297-1996）</w:t>
                  </w:r>
                </w:p>
              </w:tc>
            </w:tr>
            <w:tr w14:paraId="024F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vAlign w:val="center"/>
                </w:tcPr>
                <w:p w14:paraId="46EADF01">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Merge w:val="continue"/>
                  <w:vAlign w:val="center"/>
                </w:tcPr>
                <w:p w14:paraId="3D6A49AB">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89" w:type="pct"/>
                  <w:vAlign w:val="center"/>
                </w:tcPr>
                <w:p w14:paraId="247E9651">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非甲烷总烃</w:t>
                  </w:r>
                </w:p>
              </w:tc>
              <w:tc>
                <w:tcPr>
                  <w:tcW w:w="939" w:type="pct"/>
                  <w:vAlign w:val="center"/>
                </w:tcPr>
                <w:p w14:paraId="7C04CF8A">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ascii="Times New Roman" w:hAnsi="Times New Roman" w:eastAsia="宋体" w:cs="Times New Roman"/>
                      <w:color w:val="auto"/>
                      <w:highlight w:val="none"/>
                      <w:lang w:eastAsia="zh-CN"/>
                    </w:rPr>
                    <w:t>1次/年</w:t>
                  </w:r>
                </w:p>
              </w:tc>
              <w:tc>
                <w:tcPr>
                  <w:tcW w:w="2081" w:type="pct"/>
                  <w:vAlign w:val="center"/>
                </w:tcPr>
                <w:p w14:paraId="14070440">
                  <w:pPr>
                    <w:pStyle w:val="56"/>
                    <w:widowControl w:val="0"/>
                    <w:kinsoku/>
                    <w:spacing w:line="240" w:lineRule="auto"/>
                    <w:ind w:firstLine="0" w:firstLineChars="0"/>
                    <w:textAlignment w:val="auto"/>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pacing w:val="0"/>
                      <w:sz w:val="21"/>
                      <w:szCs w:val="21"/>
                      <w:highlight w:val="none"/>
                      <w:lang w:val="en-US" w:eastAsia="zh-CN"/>
                    </w:rPr>
                    <w:t>《固定源挥发性有机物第六部分：其他行业》（DB34/4812.6-2024）</w:t>
                  </w:r>
                </w:p>
              </w:tc>
            </w:tr>
            <w:tr w14:paraId="2CBC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461" w:type="pct"/>
                  <w:vMerge w:val="continue"/>
                  <w:vAlign w:val="center"/>
                </w:tcPr>
                <w:p w14:paraId="4C751910">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Merge w:val="restart"/>
                  <w:vAlign w:val="center"/>
                </w:tcPr>
                <w:p w14:paraId="392825F0">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天然气燃烧废气</w:t>
                  </w:r>
                </w:p>
              </w:tc>
              <w:tc>
                <w:tcPr>
                  <w:tcW w:w="789" w:type="pct"/>
                  <w:vAlign w:val="center"/>
                </w:tcPr>
                <w:p w14:paraId="449D479A">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颗粒物</w:t>
                  </w:r>
                </w:p>
              </w:tc>
              <w:tc>
                <w:tcPr>
                  <w:tcW w:w="939" w:type="pct"/>
                  <w:vAlign w:val="center"/>
                </w:tcPr>
                <w:p w14:paraId="09032604">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1次/年</w:t>
                  </w:r>
                </w:p>
              </w:tc>
              <w:tc>
                <w:tcPr>
                  <w:tcW w:w="2081" w:type="pct"/>
                  <w:vMerge w:val="restart"/>
                  <w:vAlign w:val="center"/>
                </w:tcPr>
                <w:p w14:paraId="632BFF0A">
                  <w:pPr>
                    <w:pStyle w:val="56"/>
                    <w:widowControl w:val="0"/>
                    <w:kinsoku/>
                    <w:spacing w:line="240" w:lineRule="auto"/>
                    <w:ind w:firstLine="0" w:firstLineChars="0"/>
                    <w:textAlignment w:val="auto"/>
                    <w:rPr>
                      <w:rFonts w:hint="eastAsia" w:ascii="Times New Roman" w:hAnsi="Times New Roman" w:eastAsia="宋体" w:cs="Times New Roman"/>
                      <w:bCs/>
                      <w:color w:val="auto"/>
                      <w:spacing w:val="0"/>
                      <w:sz w:val="21"/>
                      <w:szCs w:val="21"/>
                      <w:highlight w:val="none"/>
                      <w:lang w:val="en-US" w:eastAsia="zh-CN"/>
                    </w:rPr>
                  </w:pPr>
                  <w:r>
                    <w:rPr>
                      <w:rFonts w:hint="eastAsia" w:eastAsia="宋体"/>
                      <w:bCs/>
                      <w:color w:val="auto"/>
                      <w:spacing w:val="0"/>
                      <w:sz w:val="21"/>
                      <w:szCs w:val="21"/>
                      <w:highlight w:val="none"/>
                    </w:rPr>
                    <w:t>《工业窑炉大气污染物排放标准》（GB9078-1996）及关于印发《工业炉窑大气污染综合治理方案》的通知（环大气〔2019〕56号）</w:t>
                  </w:r>
                </w:p>
              </w:tc>
            </w:tr>
            <w:tr w14:paraId="126D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461" w:type="pct"/>
                  <w:vMerge w:val="continue"/>
                  <w:vAlign w:val="center"/>
                </w:tcPr>
                <w:p w14:paraId="6686EC0B">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Merge w:val="continue"/>
                  <w:shd w:val="clear" w:color="auto" w:fill="auto"/>
                  <w:vAlign w:val="center"/>
                </w:tcPr>
                <w:p w14:paraId="182A4F5E">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ind w:left="0" w:leftChars="0" w:firstLine="0" w:firstLineChars="0"/>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89" w:type="pct"/>
                  <w:vAlign w:val="center"/>
                </w:tcPr>
                <w:p w14:paraId="414BE182">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氮氧化物</w:t>
                  </w:r>
                </w:p>
              </w:tc>
              <w:tc>
                <w:tcPr>
                  <w:tcW w:w="939" w:type="pct"/>
                  <w:vAlign w:val="center"/>
                </w:tcPr>
                <w:p w14:paraId="6E59B741">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1次/年</w:t>
                  </w:r>
                </w:p>
              </w:tc>
              <w:tc>
                <w:tcPr>
                  <w:tcW w:w="2081" w:type="pct"/>
                  <w:vMerge w:val="continue"/>
                  <w:vAlign w:val="center"/>
                </w:tcPr>
                <w:p w14:paraId="369FECC1">
                  <w:pPr>
                    <w:pStyle w:val="56"/>
                    <w:widowControl w:val="0"/>
                    <w:kinsoku/>
                    <w:spacing w:line="240" w:lineRule="auto"/>
                    <w:ind w:firstLine="0" w:firstLineChars="0"/>
                    <w:textAlignment w:val="auto"/>
                    <w:rPr>
                      <w:rFonts w:hint="eastAsia" w:ascii="Times New Roman" w:hAnsi="Times New Roman" w:eastAsia="宋体" w:cs="Times New Roman"/>
                      <w:bCs/>
                      <w:color w:val="auto"/>
                      <w:spacing w:val="0"/>
                      <w:sz w:val="21"/>
                      <w:szCs w:val="21"/>
                      <w:highlight w:val="none"/>
                      <w:lang w:val="en-US" w:eastAsia="zh-CN"/>
                    </w:rPr>
                  </w:pPr>
                </w:p>
              </w:tc>
            </w:tr>
            <w:tr w14:paraId="0AFD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vAlign w:val="center"/>
                </w:tcPr>
                <w:p w14:paraId="28B7360B">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Merge w:val="continue"/>
                  <w:vAlign w:val="center"/>
                </w:tcPr>
                <w:p w14:paraId="7D90DBB3">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89" w:type="pct"/>
                  <w:vAlign w:val="center"/>
                </w:tcPr>
                <w:p w14:paraId="240C490B">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二氧化硫</w:t>
                  </w:r>
                </w:p>
              </w:tc>
              <w:tc>
                <w:tcPr>
                  <w:tcW w:w="939" w:type="pct"/>
                  <w:vAlign w:val="center"/>
                </w:tcPr>
                <w:p w14:paraId="590EFDA2">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1次/年</w:t>
                  </w:r>
                </w:p>
              </w:tc>
              <w:tc>
                <w:tcPr>
                  <w:tcW w:w="2081" w:type="pct"/>
                  <w:vMerge w:val="continue"/>
                  <w:vAlign w:val="center"/>
                </w:tcPr>
                <w:p w14:paraId="35A95F17">
                  <w:pPr>
                    <w:pStyle w:val="56"/>
                    <w:widowControl w:val="0"/>
                    <w:kinsoku/>
                    <w:spacing w:line="240" w:lineRule="auto"/>
                    <w:ind w:firstLine="0" w:firstLineChars="0"/>
                    <w:textAlignment w:val="auto"/>
                    <w:rPr>
                      <w:rFonts w:hint="eastAsia" w:ascii="Times New Roman" w:hAnsi="Times New Roman" w:eastAsia="宋体" w:cs="Times New Roman"/>
                      <w:bCs/>
                      <w:color w:val="auto"/>
                      <w:spacing w:val="0"/>
                      <w:sz w:val="21"/>
                      <w:szCs w:val="21"/>
                      <w:highlight w:val="none"/>
                      <w:lang w:val="en-US" w:eastAsia="zh-CN"/>
                    </w:rPr>
                  </w:pPr>
                </w:p>
              </w:tc>
            </w:tr>
            <w:tr w14:paraId="3433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vAlign w:val="center"/>
                </w:tcPr>
                <w:p w14:paraId="64BBE341">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Merge w:val="restart"/>
                  <w:vAlign w:val="center"/>
                </w:tcPr>
                <w:p w14:paraId="4BD46AA1">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厂界</w:t>
                  </w:r>
                </w:p>
              </w:tc>
              <w:tc>
                <w:tcPr>
                  <w:tcW w:w="789" w:type="pct"/>
                  <w:vAlign w:val="center"/>
                </w:tcPr>
                <w:p w14:paraId="5B00DBB9">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颗粒物</w:t>
                  </w:r>
                </w:p>
              </w:tc>
              <w:tc>
                <w:tcPr>
                  <w:tcW w:w="939" w:type="pct"/>
                  <w:vAlign w:val="center"/>
                </w:tcPr>
                <w:p w14:paraId="48EBE3FD">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ascii="Times New Roman" w:hAnsi="Times New Roman" w:eastAsia="宋体" w:cs="Times New Roman"/>
                      <w:color w:val="auto"/>
                      <w:highlight w:val="none"/>
                      <w:lang w:eastAsia="zh-CN"/>
                    </w:rPr>
                    <w:t>1次/</w:t>
                  </w:r>
                  <w:r>
                    <w:rPr>
                      <w:rFonts w:hint="eastAsia" w:ascii="Times New Roman" w:hAnsi="Times New Roman" w:eastAsia="宋体" w:cs="Times New Roman"/>
                      <w:color w:val="auto"/>
                      <w:highlight w:val="none"/>
                      <w:lang w:val="en-US" w:eastAsia="zh-CN"/>
                    </w:rPr>
                    <w:t>半</w:t>
                  </w:r>
                  <w:r>
                    <w:rPr>
                      <w:rFonts w:ascii="Times New Roman" w:hAnsi="Times New Roman" w:eastAsia="宋体" w:cs="Times New Roman"/>
                      <w:color w:val="auto"/>
                      <w:highlight w:val="none"/>
                      <w:lang w:eastAsia="zh-CN"/>
                    </w:rPr>
                    <w:t>年</w:t>
                  </w:r>
                </w:p>
              </w:tc>
              <w:tc>
                <w:tcPr>
                  <w:tcW w:w="2081" w:type="pct"/>
                  <w:vAlign w:val="center"/>
                </w:tcPr>
                <w:p w14:paraId="52504C57">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ascii="Times New Roman" w:hAnsi="Times New Roman" w:eastAsia="宋体" w:cs="Times New Roman"/>
                      <w:bCs/>
                      <w:color w:val="auto"/>
                      <w:spacing w:val="0"/>
                      <w:sz w:val="21"/>
                      <w:szCs w:val="21"/>
                      <w:highlight w:val="none"/>
                      <w:lang w:eastAsia="zh-CN"/>
                    </w:rPr>
                    <w:t>《大气污染物综合排放标准》（GB16297-1996）</w:t>
                  </w:r>
                </w:p>
              </w:tc>
            </w:tr>
            <w:tr w14:paraId="64B7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vAlign w:val="center"/>
                </w:tcPr>
                <w:p w14:paraId="677C0947">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Merge w:val="continue"/>
                  <w:vAlign w:val="center"/>
                </w:tcPr>
                <w:p w14:paraId="4FA7F760">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89" w:type="pct"/>
                  <w:vAlign w:val="center"/>
                </w:tcPr>
                <w:p w14:paraId="2A5A072D">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非甲烷总烃</w:t>
                  </w:r>
                </w:p>
              </w:tc>
              <w:tc>
                <w:tcPr>
                  <w:tcW w:w="939" w:type="pct"/>
                  <w:vAlign w:val="center"/>
                </w:tcPr>
                <w:p w14:paraId="60006549">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1次/</w:t>
                  </w:r>
                  <w:r>
                    <w:rPr>
                      <w:rFonts w:hint="eastAsia" w:ascii="Times New Roman" w:hAnsi="Times New Roman" w:eastAsia="宋体" w:cs="Times New Roman"/>
                      <w:color w:val="auto"/>
                      <w:highlight w:val="none"/>
                      <w:lang w:val="en-US" w:eastAsia="zh-CN"/>
                    </w:rPr>
                    <w:t>半</w:t>
                  </w:r>
                  <w:r>
                    <w:rPr>
                      <w:rFonts w:ascii="Times New Roman" w:hAnsi="Times New Roman" w:eastAsia="宋体" w:cs="Times New Roman"/>
                      <w:color w:val="auto"/>
                      <w:highlight w:val="none"/>
                      <w:lang w:eastAsia="zh-CN"/>
                    </w:rPr>
                    <w:t>年</w:t>
                  </w:r>
                </w:p>
              </w:tc>
              <w:tc>
                <w:tcPr>
                  <w:tcW w:w="2081" w:type="pct"/>
                  <w:vMerge w:val="restart"/>
                  <w:vAlign w:val="center"/>
                </w:tcPr>
                <w:p w14:paraId="6DCF6C80">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Cs/>
                      <w:color w:val="auto"/>
                      <w:spacing w:val="0"/>
                      <w:sz w:val="21"/>
                      <w:szCs w:val="21"/>
                      <w:highlight w:val="none"/>
                      <w:lang w:val="en-US" w:eastAsia="zh-CN"/>
                    </w:rPr>
                    <w:t>《固定源挥发性有机物第六部分：其他行业》（DB34/4812.6-2024）</w:t>
                  </w:r>
                </w:p>
              </w:tc>
            </w:tr>
            <w:tr w14:paraId="3011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vAlign w:val="center"/>
                </w:tcPr>
                <w:p w14:paraId="406F508E">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Align w:val="center"/>
                </w:tcPr>
                <w:p w14:paraId="69951B7D">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cs="Times New Roman"/>
                      <w:b w:val="0"/>
                      <w:bCs w:val="0"/>
                      <w:snapToGrid w:val="0"/>
                      <w:color w:val="auto"/>
                      <w:kern w:val="2"/>
                      <w:sz w:val="21"/>
                      <w:szCs w:val="21"/>
                      <w:highlight w:val="none"/>
                      <w:vertAlign w:val="baseline"/>
                      <w:lang w:val="en-US" w:eastAsia="zh-CN" w:bidi="ar-SA"/>
                    </w:rPr>
                    <w:t>涂装工段旁</w:t>
                  </w:r>
                </w:p>
              </w:tc>
              <w:tc>
                <w:tcPr>
                  <w:tcW w:w="789" w:type="pct"/>
                  <w:vAlign w:val="center"/>
                </w:tcPr>
                <w:p w14:paraId="59D59605">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非甲烷总烃</w:t>
                  </w:r>
                </w:p>
              </w:tc>
              <w:tc>
                <w:tcPr>
                  <w:tcW w:w="939" w:type="pct"/>
                  <w:vAlign w:val="center"/>
                </w:tcPr>
                <w:p w14:paraId="0F07A5B3">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ascii="Times New Roman" w:hAnsi="Times New Roman" w:eastAsia="宋体" w:cs="Times New Roman"/>
                      <w:color w:val="auto"/>
                      <w:highlight w:val="none"/>
                      <w:lang w:eastAsia="zh-CN"/>
                    </w:rPr>
                    <w:t>1次/</w:t>
                  </w:r>
                  <w:r>
                    <w:rPr>
                      <w:rFonts w:hint="eastAsia" w:ascii="Times New Roman" w:hAnsi="Times New Roman" w:eastAsia="宋体" w:cs="Times New Roman"/>
                      <w:color w:val="auto"/>
                      <w:highlight w:val="none"/>
                      <w:lang w:val="en-US" w:eastAsia="zh-CN"/>
                    </w:rPr>
                    <w:t>季度</w:t>
                  </w:r>
                </w:p>
              </w:tc>
              <w:tc>
                <w:tcPr>
                  <w:tcW w:w="2081" w:type="pct"/>
                  <w:vMerge w:val="continue"/>
                  <w:vAlign w:val="center"/>
                </w:tcPr>
                <w:p w14:paraId="11EB4A57">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r>
            <w:tr w14:paraId="2898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vAlign w:val="center"/>
                </w:tcPr>
                <w:p w14:paraId="55F62E0D">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p>
              </w:tc>
              <w:tc>
                <w:tcPr>
                  <w:tcW w:w="728" w:type="pct"/>
                  <w:vAlign w:val="center"/>
                </w:tcPr>
                <w:p w14:paraId="3CFB65E3">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厂界噪声</w:t>
                  </w:r>
                </w:p>
              </w:tc>
              <w:tc>
                <w:tcPr>
                  <w:tcW w:w="789" w:type="pct"/>
                  <w:vAlign w:val="center"/>
                </w:tcPr>
                <w:p w14:paraId="2C0EA91B">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噪声</w:t>
                  </w:r>
                </w:p>
              </w:tc>
              <w:tc>
                <w:tcPr>
                  <w:tcW w:w="939" w:type="pct"/>
                  <w:vAlign w:val="center"/>
                </w:tcPr>
                <w:p w14:paraId="5A859FE4">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1次/季度</w:t>
                  </w:r>
                </w:p>
              </w:tc>
              <w:tc>
                <w:tcPr>
                  <w:tcW w:w="2081" w:type="pct"/>
                  <w:vAlign w:val="center"/>
                </w:tcPr>
                <w:p w14:paraId="2EF77405">
                  <w:pPr>
                    <w:pStyle w:val="58"/>
                    <w:keepNext w:val="0"/>
                    <w:keepLines w:val="0"/>
                    <w:pageBreakBefore w:val="0"/>
                    <w:widowControl/>
                    <w:numPr>
                      <w:ilvl w:val="0"/>
                      <w:numId w:val="0"/>
                    </w:numPr>
                    <w:kinsoku/>
                    <w:wordWrap/>
                    <w:overflowPunct/>
                    <w:topLinePunct w:val="0"/>
                    <w:autoSpaceDE w:val="0"/>
                    <w:autoSpaceDN w:val="0"/>
                    <w:bidi w:val="0"/>
                    <w:adjustRightInd/>
                    <w:snapToGrid/>
                    <w:spacing w:before="0" w:line="240" w:lineRule="auto"/>
                    <w:jc w:val="center"/>
                    <w:textAlignment w:val="baseline"/>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bCs/>
                      <w:color w:val="auto"/>
                      <w:spacing w:val="0"/>
                      <w:sz w:val="21"/>
                      <w:szCs w:val="21"/>
                      <w:highlight w:val="none"/>
                      <w:lang w:val="en-US" w:eastAsia="zh-CN"/>
                    </w:rPr>
                    <w:t>《排污许可证申请与核发技术规范 工业噪声》（HJ1301-2023）</w:t>
                  </w:r>
                </w:p>
              </w:tc>
            </w:tr>
          </w:tbl>
          <w:p w14:paraId="3ECFE47A">
            <w:pPr>
              <w:keepNext w:val="0"/>
              <w:keepLines w:val="0"/>
              <w:pageBreakBefore w:val="0"/>
              <w:widowControl/>
              <w:kinsoku w:val="0"/>
              <w:wordWrap/>
              <w:overflowPunct/>
              <w:topLinePunct w:val="0"/>
              <w:autoSpaceDE w:val="0"/>
              <w:autoSpaceDN w:val="0"/>
              <w:bidi w:val="0"/>
              <w:adjustRightInd/>
              <w:snapToGrid/>
              <w:spacing w:line="360" w:lineRule="auto"/>
              <w:ind w:firstLine="482" w:firstLineChars="200"/>
              <w:textAlignment w:val="baseline"/>
              <w:rPr>
                <w:rFonts w:ascii="Times New Roman" w:hAnsi="Times New Roman" w:eastAsia="宋体" w:cs="Times New Roman"/>
                <w:b/>
                <w:bCs/>
                <w:color w:val="auto"/>
                <w:sz w:val="24"/>
                <w:szCs w:val="24"/>
                <w:highlight w:val="none"/>
                <w:lang w:eastAsia="zh-CN" w:bidi="ar"/>
              </w:rPr>
            </w:pPr>
            <w:r>
              <w:rPr>
                <w:rFonts w:hint="eastAsia" w:cs="Times New Roman"/>
                <w:b/>
                <w:bCs/>
                <w:color w:val="auto"/>
                <w:sz w:val="24"/>
                <w:szCs w:val="24"/>
                <w:highlight w:val="none"/>
                <w:lang w:val="en-US" w:eastAsia="zh-CN" w:bidi="ar"/>
              </w:rPr>
              <w:t>3</w:t>
            </w:r>
            <w:r>
              <w:rPr>
                <w:rFonts w:ascii="Times New Roman" w:hAnsi="Times New Roman" w:eastAsia="宋体" w:cs="Times New Roman"/>
                <w:b/>
                <w:bCs/>
                <w:color w:val="auto"/>
                <w:sz w:val="24"/>
                <w:szCs w:val="24"/>
                <w:highlight w:val="none"/>
                <w:lang w:eastAsia="zh-CN" w:bidi="ar"/>
              </w:rPr>
              <w:t>、排污许可衔接</w:t>
            </w:r>
          </w:p>
          <w:p w14:paraId="6D738780">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szCs w:val="24"/>
                <w:highlight w:val="none"/>
                <w:lang w:eastAsia="zh-CN" w:bidi="ar"/>
              </w:rPr>
            </w:pPr>
            <w:r>
              <w:rPr>
                <w:rFonts w:ascii="Times New Roman" w:hAnsi="Times New Roman" w:eastAsia="宋体" w:cs="Times New Roman"/>
                <w:color w:val="auto"/>
                <w:sz w:val="24"/>
                <w:szCs w:val="24"/>
                <w:highlight w:val="none"/>
                <w:lang w:eastAsia="zh-CN" w:bidi="ar"/>
              </w:rPr>
              <w:t>根据《固定污染源排污许可分类管理名录》（2019年版），</w:t>
            </w:r>
            <w:r>
              <w:rPr>
                <w:rFonts w:hint="eastAsia" w:ascii="Times New Roman" w:hAnsi="Times New Roman" w:eastAsia="宋体" w:cs="Times New Roman"/>
                <w:color w:val="auto"/>
                <w:sz w:val="24"/>
                <w:szCs w:val="24"/>
                <w:highlight w:val="none"/>
                <w:lang w:eastAsia="zh-CN" w:bidi="ar"/>
              </w:rPr>
              <w:t>对照《固定污染源排污许可分类管理名录》（2019年版），本项目属于《名录》中：“二十</w:t>
            </w:r>
            <w:r>
              <w:rPr>
                <w:rFonts w:hint="eastAsia" w:ascii="Times New Roman" w:hAnsi="Times New Roman" w:eastAsia="宋体" w:cs="Times New Roman"/>
                <w:color w:val="auto"/>
                <w:sz w:val="24"/>
                <w:szCs w:val="24"/>
                <w:highlight w:val="none"/>
                <w:lang w:val="en-US" w:eastAsia="zh-CN" w:bidi="ar"/>
              </w:rPr>
              <w:t>八</w:t>
            </w:r>
            <w:r>
              <w:rPr>
                <w:rFonts w:hint="eastAsia" w:ascii="Times New Roman" w:hAnsi="Times New Roman" w:eastAsia="宋体" w:cs="Times New Roman"/>
                <w:color w:val="auto"/>
                <w:sz w:val="24"/>
                <w:szCs w:val="24"/>
                <w:highlight w:val="none"/>
                <w:lang w:eastAsia="zh-CN" w:bidi="ar"/>
              </w:rPr>
              <w:t>、</w:t>
            </w:r>
            <w:r>
              <w:rPr>
                <w:rFonts w:hint="eastAsia" w:ascii="Times New Roman" w:hAnsi="Times New Roman" w:eastAsia="宋体" w:cs="Times New Roman"/>
                <w:color w:val="auto"/>
                <w:sz w:val="24"/>
                <w:szCs w:val="24"/>
                <w:highlight w:val="none"/>
                <w:lang w:val="en-US" w:eastAsia="zh-CN" w:bidi="ar"/>
              </w:rPr>
              <w:t>金属制品业</w:t>
            </w:r>
            <w:r>
              <w:rPr>
                <w:rFonts w:hint="eastAsia" w:ascii="Times New Roman" w:hAnsi="Times New Roman" w:eastAsia="宋体" w:cs="Times New Roman"/>
                <w:color w:val="auto"/>
                <w:sz w:val="24"/>
                <w:szCs w:val="24"/>
                <w:highlight w:val="none"/>
                <w:lang w:eastAsia="zh-CN" w:bidi="ar"/>
              </w:rPr>
              <w:t xml:space="preserve"> 3</w:t>
            </w:r>
            <w:r>
              <w:rPr>
                <w:rFonts w:hint="eastAsia" w:ascii="Times New Roman" w:hAnsi="Times New Roman" w:eastAsia="宋体" w:cs="Times New Roman"/>
                <w:color w:val="auto"/>
                <w:sz w:val="24"/>
                <w:szCs w:val="24"/>
                <w:highlight w:val="none"/>
                <w:lang w:val="en-US" w:eastAsia="zh-CN" w:bidi="ar"/>
              </w:rPr>
              <w:t>3</w:t>
            </w:r>
            <w:r>
              <w:rPr>
                <w:rFonts w:hint="eastAsia" w:ascii="Times New Roman" w:hAnsi="Times New Roman" w:eastAsia="宋体" w:cs="Times New Roman"/>
                <w:color w:val="auto"/>
                <w:sz w:val="24"/>
                <w:szCs w:val="24"/>
                <w:highlight w:val="none"/>
                <w:lang w:eastAsia="zh-CN" w:bidi="ar"/>
              </w:rPr>
              <w:t>、——第8</w:t>
            </w:r>
            <w:r>
              <w:rPr>
                <w:rFonts w:hint="eastAsia" w:ascii="Times New Roman" w:hAnsi="Times New Roman" w:eastAsia="宋体" w:cs="Times New Roman"/>
                <w:color w:val="auto"/>
                <w:sz w:val="24"/>
                <w:szCs w:val="24"/>
                <w:highlight w:val="none"/>
                <w:lang w:val="en-US" w:eastAsia="zh-CN" w:bidi="ar"/>
              </w:rPr>
              <w:t>0</w:t>
            </w:r>
            <w:r>
              <w:rPr>
                <w:rFonts w:hint="eastAsia" w:ascii="Times New Roman" w:hAnsi="Times New Roman" w:eastAsia="宋体" w:cs="Times New Roman"/>
                <w:color w:val="auto"/>
                <w:sz w:val="24"/>
                <w:szCs w:val="24"/>
                <w:highlight w:val="none"/>
                <w:lang w:eastAsia="zh-CN" w:bidi="ar"/>
              </w:rPr>
              <w:t>项：</w:t>
            </w:r>
            <w:r>
              <w:rPr>
                <w:rFonts w:hint="eastAsia" w:ascii="Times New Roman" w:hAnsi="Times New Roman" w:eastAsia="宋体" w:cs="Times New Roman"/>
                <w:color w:val="auto"/>
                <w:sz w:val="24"/>
                <w:szCs w:val="24"/>
                <w:highlight w:val="none"/>
                <w:lang w:val="en-US" w:eastAsia="zh-CN" w:bidi="ar"/>
              </w:rPr>
              <w:t>结构性金属制品制造331</w:t>
            </w:r>
            <w:r>
              <w:rPr>
                <w:rFonts w:hint="eastAsia" w:ascii="Times New Roman" w:hAnsi="Times New Roman" w:eastAsia="宋体" w:cs="Times New Roman"/>
                <w:color w:val="auto"/>
                <w:sz w:val="24"/>
                <w:szCs w:val="24"/>
                <w:highlight w:val="none"/>
                <w:lang w:eastAsia="zh-CN" w:bidi="ar"/>
              </w:rPr>
              <w:t>”，属于排污许可中“涉及工序通用管理的”，根据“五十一、通用工序 111 表面处理”项目属于简化管理。</w:t>
            </w:r>
            <w:r>
              <w:rPr>
                <w:rFonts w:ascii="Times New Roman" w:hAnsi="Times New Roman" w:eastAsia="宋体" w:cs="Times New Roman"/>
                <w:color w:val="auto"/>
                <w:sz w:val="24"/>
                <w:szCs w:val="24"/>
                <w:highlight w:val="none"/>
                <w:lang w:eastAsia="zh-CN" w:bidi="ar"/>
              </w:rPr>
              <w:t>要求企业在建成正式投产排污前取得排污许可证，并在取得排污许可证后按照排污许可证申请与核发技术规范相关要求履行自行检测、台账管理、执行报告等手续。</w:t>
            </w:r>
          </w:p>
          <w:p w14:paraId="49C939AB">
            <w:pPr>
              <w:kinsoku/>
              <w:autoSpaceDE/>
              <w:autoSpaceDN/>
              <w:adjustRightInd/>
              <w:snapToGrid/>
              <w:jc w:val="center"/>
              <w:textAlignment w:val="auto"/>
              <w:rPr>
                <w:rFonts w:ascii="Times New Roman" w:hAnsi="Times New Roman" w:eastAsia="宋体" w:cs="Times New Roman"/>
                <w:b/>
                <w:bCs/>
                <w:color w:val="000000" w:themeColor="text1"/>
                <w:sz w:val="24"/>
                <w:lang w:eastAsia="zh-CN"/>
                <w14:textFill>
                  <w14:solidFill>
                    <w14:schemeClr w14:val="tx1"/>
                  </w14:solidFill>
                </w14:textFill>
              </w:rPr>
            </w:pPr>
            <w:r>
              <w:rPr>
                <w:rFonts w:ascii="Times New Roman" w:hAnsi="Times New Roman" w:eastAsia="宋体" w:cs="Times New Roman"/>
                <w:b/>
                <w:bCs/>
                <w:color w:val="000000" w:themeColor="text1"/>
                <w:sz w:val="24"/>
                <w:lang w:eastAsia="zh-CN"/>
                <w14:textFill>
                  <w14:solidFill>
                    <w14:schemeClr w14:val="tx1"/>
                  </w14:solidFill>
                </w14:textFill>
              </w:rPr>
              <w:t>表</w:t>
            </w:r>
            <w:r>
              <w:rPr>
                <w:rFonts w:hint="eastAsia" w:cs="Times New Roman"/>
                <w:b/>
                <w:bCs/>
                <w:color w:val="000000" w:themeColor="text1"/>
                <w:sz w:val="24"/>
                <w:lang w:val="en-US" w:eastAsia="zh-CN"/>
                <w14:textFill>
                  <w14:solidFill>
                    <w14:schemeClr w14:val="tx1"/>
                  </w14:solidFill>
                </w14:textFill>
              </w:rPr>
              <w:t>5-2</w:t>
            </w:r>
            <w:r>
              <w:rPr>
                <w:rFonts w:ascii="Times New Roman" w:hAnsi="Times New Roman" w:eastAsia="宋体" w:cs="Times New Roman"/>
                <w:b/>
                <w:bCs/>
                <w:color w:val="000000" w:themeColor="text1"/>
                <w:sz w:val="24"/>
                <w:lang w:eastAsia="zh-CN"/>
                <w14:textFill>
                  <w14:solidFill>
                    <w14:schemeClr w14:val="tx1"/>
                  </w14:solidFill>
                </w14:textFill>
              </w:rPr>
              <w:t xml:space="preserve">  排污许可类别对照</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2388"/>
              <w:gridCol w:w="1008"/>
              <w:gridCol w:w="2375"/>
              <w:gridCol w:w="805"/>
              <w:gridCol w:w="1105"/>
            </w:tblGrid>
            <w:tr w14:paraId="406C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1" w:type="pct"/>
                  <w:gridSpan w:val="2"/>
                  <w:vMerge w:val="restart"/>
                  <w:vAlign w:val="center"/>
                </w:tcPr>
                <w:p w14:paraId="47B61F26">
                  <w:pPr>
                    <w:widowControl w:val="0"/>
                    <w:kinsoku/>
                    <w:autoSpaceDE/>
                    <w:autoSpaceDN/>
                    <w:jc w:val="center"/>
                    <w:textAlignment w:val="auto"/>
                    <w:rPr>
                      <w:rFonts w:ascii="Times New Roman" w:hAnsi="Times New Roman" w:eastAsia="宋体" w:cs="Times New Roman"/>
                      <w:color w:val="auto"/>
                    </w:rPr>
                  </w:pPr>
                  <w:r>
                    <w:rPr>
                      <w:rFonts w:ascii="Times New Roman" w:hAnsi="Times New Roman" w:eastAsia="宋体" w:cs="Times New Roman"/>
                      <w:color w:val="auto"/>
                    </w:rPr>
                    <w:t>项目类别</w:t>
                  </w:r>
                </w:p>
                <w:p w14:paraId="30D5E054">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排污许可类别</w:t>
                  </w:r>
                </w:p>
              </w:tc>
              <w:tc>
                <w:tcPr>
                  <w:tcW w:w="2555" w:type="pct"/>
                  <w:gridSpan w:val="3"/>
                  <w:vAlign w:val="center"/>
                </w:tcPr>
                <w:p w14:paraId="180BC318">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排污许可类别</w:t>
                  </w:r>
                </w:p>
              </w:tc>
              <w:tc>
                <w:tcPr>
                  <w:tcW w:w="673" w:type="pct"/>
                  <w:vMerge w:val="restart"/>
                  <w:vAlign w:val="center"/>
                </w:tcPr>
                <w:p w14:paraId="16483BA0">
                  <w:pPr>
                    <w:widowControl/>
                    <w:kinsoku/>
                    <w:autoSpaceDE/>
                    <w:autoSpaceDN/>
                    <w:jc w:val="center"/>
                    <w:textAlignment w:val="auto"/>
                    <w:rPr>
                      <w:rFonts w:ascii="Times New Roman" w:hAnsi="Times New Roman" w:eastAsia="宋体" w:cs="Times New Roman"/>
                      <w:color w:val="auto"/>
                    </w:rPr>
                  </w:pPr>
                  <w:r>
                    <w:rPr>
                      <w:rFonts w:ascii="Times New Roman" w:hAnsi="Times New Roman" w:eastAsia="宋体" w:cs="Times New Roman"/>
                      <w:color w:val="auto"/>
                    </w:rPr>
                    <w:t>排污许可</w:t>
                  </w:r>
                </w:p>
                <w:p w14:paraId="6C241CAC">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管理类别</w:t>
                  </w:r>
                </w:p>
              </w:tc>
            </w:tr>
            <w:tr w14:paraId="5676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1" w:type="pct"/>
                  <w:gridSpan w:val="2"/>
                  <w:vMerge w:val="continue"/>
                  <w:vAlign w:val="center"/>
                </w:tcPr>
                <w:p w14:paraId="2E791DC1">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p>
              </w:tc>
              <w:tc>
                <w:tcPr>
                  <w:tcW w:w="615" w:type="pct"/>
                  <w:vAlign w:val="center"/>
                </w:tcPr>
                <w:p w14:paraId="77774AAE">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重点</w:t>
                  </w:r>
                </w:p>
              </w:tc>
              <w:tc>
                <w:tcPr>
                  <w:tcW w:w="1449" w:type="pct"/>
                  <w:vAlign w:val="center"/>
                </w:tcPr>
                <w:p w14:paraId="3678DFAF">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简化</w:t>
                  </w:r>
                </w:p>
              </w:tc>
              <w:tc>
                <w:tcPr>
                  <w:tcW w:w="490" w:type="pct"/>
                  <w:vAlign w:val="center"/>
                </w:tcPr>
                <w:p w14:paraId="562A1AC2">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登记</w:t>
                  </w:r>
                </w:p>
              </w:tc>
              <w:tc>
                <w:tcPr>
                  <w:tcW w:w="673" w:type="pct"/>
                  <w:vMerge w:val="continue"/>
                  <w:vAlign w:val="center"/>
                </w:tcPr>
                <w:p w14:paraId="28516AAE">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p>
              </w:tc>
            </w:tr>
            <w:tr w14:paraId="5A66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172AA76F">
                  <w:pPr>
                    <w:widowControl/>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kern w:val="2"/>
                      <w:sz w:val="21"/>
                      <w:szCs w:val="21"/>
                      <w:lang w:val="en-US" w:eastAsia="zh-CN" w:bidi="ar-SA"/>
                    </w:rPr>
                    <w:t>二</w:t>
                  </w:r>
                  <w:r>
                    <w:rPr>
                      <w:rFonts w:hint="default" w:ascii="Times New Roman" w:hAnsi="Times New Roman" w:eastAsia="宋体" w:cs="Times New Roman"/>
                      <w:color w:val="auto"/>
                      <w:kern w:val="2"/>
                      <w:sz w:val="21"/>
                      <w:szCs w:val="21"/>
                      <w:lang w:val="en-US" w:eastAsia="zh-CN" w:bidi="ar-SA"/>
                    </w:rPr>
                    <w:t>十八、金属制品业 33</w:t>
                  </w:r>
                </w:p>
              </w:tc>
            </w:tr>
            <w:tr w14:paraId="4DBA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 w:type="pct"/>
                  <w:vAlign w:val="center"/>
                </w:tcPr>
                <w:p w14:paraId="17FFB5B7">
                  <w:pPr>
                    <w:widowControl/>
                    <w:kinsoku/>
                    <w:autoSpaceDE/>
                    <w:autoSpaceDN/>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80</w:t>
                  </w:r>
                </w:p>
              </w:tc>
              <w:tc>
                <w:tcPr>
                  <w:tcW w:w="1456" w:type="pct"/>
                  <w:vAlign w:val="center"/>
                </w:tcPr>
                <w:p w14:paraId="47EAE18E">
                  <w:pPr>
                    <w:widowControl/>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结</w:t>
                  </w:r>
                  <w:r>
                    <w:rPr>
                      <w:rFonts w:hint="default" w:ascii="Times New Roman" w:hAnsi="Times New Roman" w:eastAsia="宋体" w:cs="Times New Roman"/>
                      <w:color w:val="auto"/>
                      <w:lang w:eastAsia="zh-CN"/>
                    </w:rPr>
                    <w:t>构性金属制品制造331，金属工具制造332，集装箱及金属包装容器制造333，金属丝绳及其制品制造334，建筑、安全用金属制品制造335，搪瓷制品制造337，金属制日用品制造338，铸造及其他金属制品制造339（除黑色金属铸造3391、有色金属铸造3392）</w:t>
                  </w:r>
                </w:p>
              </w:tc>
              <w:tc>
                <w:tcPr>
                  <w:tcW w:w="615" w:type="pct"/>
                  <w:vAlign w:val="center"/>
                </w:tcPr>
                <w:p w14:paraId="18DBE7A5">
                  <w:pPr>
                    <w:widowControl/>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涉及通用工序重点管理的</w:t>
                  </w:r>
                </w:p>
              </w:tc>
              <w:tc>
                <w:tcPr>
                  <w:tcW w:w="1449" w:type="pct"/>
                  <w:tcBorders>
                    <w:right w:val="single" w:color="auto" w:sz="4" w:space="0"/>
                  </w:tcBorders>
                  <w:shd w:val="clear" w:color="auto" w:fill="auto"/>
                  <w:vAlign w:val="center"/>
                </w:tcPr>
                <w:p w14:paraId="47525D5D">
                  <w:pPr>
                    <w:widowControl/>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涉及通用工序简化管理的</w:t>
                  </w:r>
                </w:p>
              </w:tc>
              <w:tc>
                <w:tcPr>
                  <w:tcW w:w="490" w:type="pct"/>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3DD48A02">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其他</w:t>
                  </w:r>
                </w:p>
              </w:tc>
              <w:tc>
                <w:tcPr>
                  <w:tcW w:w="673" w:type="pct"/>
                  <w:tcBorders>
                    <w:left w:val="single" w:color="auto" w:sz="4" w:space="0"/>
                  </w:tcBorders>
                  <w:vAlign w:val="center"/>
                </w:tcPr>
                <w:p w14:paraId="1DBF44AC">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登记</w:t>
                  </w:r>
                </w:p>
              </w:tc>
            </w:tr>
            <w:tr w14:paraId="593B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2B6E0512">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五十一、通用工序</w:t>
                  </w:r>
                </w:p>
              </w:tc>
            </w:tr>
            <w:tr w14:paraId="0C43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 w:type="pct"/>
                  <w:vAlign w:val="center"/>
                </w:tcPr>
                <w:p w14:paraId="7A071829">
                  <w:pPr>
                    <w:widowControl/>
                    <w:kinsoku/>
                    <w:autoSpaceDE/>
                    <w:autoSpaceDN/>
                    <w:jc w:val="center"/>
                    <w:textAlignment w:val="auto"/>
                    <w:rPr>
                      <w:rFonts w:hint="default" w:cs="Times New Roman"/>
                      <w:color w:val="auto"/>
                      <w:lang w:val="en-US" w:eastAsia="zh-CN"/>
                    </w:rPr>
                  </w:pPr>
                  <w:r>
                    <w:rPr>
                      <w:rFonts w:hint="eastAsia" w:cs="Times New Roman"/>
                      <w:color w:val="auto"/>
                      <w:lang w:val="en-US" w:eastAsia="zh-CN"/>
                    </w:rPr>
                    <w:t>111</w:t>
                  </w:r>
                </w:p>
              </w:tc>
              <w:tc>
                <w:tcPr>
                  <w:tcW w:w="1456" w:type="pct"/>
                  <w:vAlign w:val="center"/>
                </w:tcPr>
                <w:p w14:paraId="0EF8BD41">
                  <w:pPr>
                    <w:widowControl/>
                    <w:kinsoku/>
                    <w:autoSpaceDE/>
                    <w:autoSpaceDN/>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表面处理</w:t>
                  </w:r>
                </w:p>
              </w:tc>
              <w:tc>
                <w:tcPr>
                  <w:tcW w:w="615" w:type="pct"/>
                  <w:vAlign w:val="center"/>
                </w:tcPr>
                <w:p w14:paraId="64240E2E">
                  <w:pPr>
                    <w:widowControl/>
                    <w:kinsoku/>
                    <w:autoSpaceDE/>
                    <w:autoSpaceDN/>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kern w:val="2"/>
                      <w:sz w:val="21"/>
                      <w:szCs w:val="24"/>
                      <w:lang w:val="en-US" w:eastAsia="zh-CN" w:bidi="ar-SA"/>
                    </w:rPr>
                    <w:t>纳入重点排污单位名录的</w:t>
                  </w:r>
                </w:p>
              </w:tc>
              <w:tc>
                <w:tcPr>
                  <w:tcW w:w="1449" w:type="pct"/>
                  <w:shd w:val="clear" w:color="auto" w:fill="E7E6E6" w:themeFill="background2"/>
                  <w:vAlign w:val="center"/>
                </w:tcPr>
                <w:p w14:paraId="01600D33">
                  <w:pPr>
                    <w:widowControl/>
                    <w:kinsoku/>
                    <w:autoSpaceDE/>
                    <w:autoSpaceDN/>
                    <w:jc w:val="center"/>
                    <w:textAlignment w:val="auto"/>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除纳入重点排污单位名录的，有电镀工序、酸洗、抛光(电解抛光和化学抛光)、热浸镀(溶剂法)、淬火或者钝化等工序的、年使用10吨及以上有机溶剂的</w:t>
                  </w:r>
                </w:p>
              </w:tc>
              <w:tc>
                <w:tcPr>
                  <w:tcW w:w="490" w:type="pct"/>
                  <w:shd w:val="clear" w:color="auto" w:fill="auto"/>
                  <w:vAlign w:val="center"/>
                </w:tcPr>
                <w:p w14:paraId="3D4E876F">
                  <w:pPr>
                    <w:pStyle w:val="14"/>
                    <w:widowControl w:val="0"/>
                    <w:kinsoku/>
                    <w:autoSpaceDE/>
                    <w:autoSpaceDN/>
                    <w:spacing w:after="0"/>
                    <w:ind w:left="0" w:lef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其他</w:t>
                  </w:r>
                </w:p>
              </w:tc>
              <w:tc>
                <w:tcPr>
                  <w:tcW w:w="673" w:type="pct"/>
                  <w:vAlign w:val="center"/>
                </w:tcPr>
                <w:p w14:paraId="59414AA2">
                  <w:pPr>
                    <w:pStyle w:val="14"/>
                    <w:widowControl w:val="0"/>
                    <w:kinsoku/>
                    <w:autoSpaceDE/>
                    <w:autoSpaceDN/>
                    <w:spacing w:after="0"/>
                    <w:ind w:left="0" w:leftChars="0"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简化</w:t>
                  </w:r>
                </w:p>
              </w:tc>
            </w:tr>
          </w:tbl>
          <w:p w14:paraId="752AB377">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hint="default" w:cs="Times New Roman"/>
                <w:b w:val="0"/>
                <w:bCs w:val="0"/>
                <w:color w:val="auto"/>
                <w:sz w:val="24"/>
                <w:szCs w:val="24"/>
                <w:highlight w:val="none"/>
                <w:lang w:val="en-US" w:eastAsia="zh-CN" w:bidi="ar"/>
              </w:rPr>
            </w:pPr>
            <w:r>
              <w:rPr>
                <w:rFonts w:hint="eastAsia" w:cs="Times New Roman"/>
                <w:b w:val="0"/>
                <w:bCs w:val="0"/>
                <w:color w:val="auto"/>
                <w:sz w:val="24"/>
                <w:szCs w:val="24"/>
                <w:highlight w:val="none"/>
                <w:lang w:val="en-US" w:eastAsia="zh-CN" w:bidi="ar"/>
              </w:rPr>
              <w:t>综上，本项目设计无铬钝化工序，故本项目属于简化管理。</w:t>
            </w:r>
          </w:p>
          <w:p w14:paraId="696DDFAC">
            <w:pPr>
              <w:pStyle w:val="40"/>
              <w:jc w:val="center"/>
              <w:rPr>
                <w:color w:val="auto"/>
                <w:sz w:val="24"/>
                <w:szCs w:val="32"/>
                <w:highlight w:val="none"/>
              </w:rPr>
            </w:pPr>
            <w:r>
              <w:rPr>
                <w:color w:val="auto"/>
                <w:sz w:val="24"/>
                <w:szCs w:val="32"/>
                <w:highlight w:val="none"/>
              </w:rPr>
              <w:t>表</w:t>
            </w:r>
            <w:r>
              <w:rPr>
                <w:rFonts w:hint="eastAsia"/>
                <w:color w:val="auto"/>
                <w:sz w:val="24"/>
                <w:szCs w:val="32"/>
                <w:highlight w:val="none"/>
                <w:lang w:val="en-US" w:eastAsia="zh-CN"/>
              </w:rPr>
              <w:t>5-3</w:t>
            </w:r>
            <w:r>
              <w:rPr>
                <w:color w:val="auto"/>
                <w:sz w:val="24"/>
                <w:szCs w:val="32"/>
                <w:highlight w:val="none"/>
              </w:rPr>
              <w:t xml:space="preserve">  环境保护图形符号一览表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886"/>
              <w:gridCol w:w="1901"/>
              <w:gridCol w:w="1435"/>
              <w:gridCol w:w="2152"/>
            </w:tblGrid>
            <w:tr w14:paraId="0764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502" w:type="pct"/>
                  <w:tcBorders>
                    <w:tl2br w:val="nil"/>
                    <w:tr2bl w:val="nil"/>
                  </w:tcBorders>
                  <w:vAlign w:val="center"/>
                </w:tcPr>
                <w:p w14:paraId="372AAD11">
                  <w:pPr>
                    <w:pStyle w:val="74"/>
                    <w:rPr>
                      <w:color w:val="auto"/>
                      <w:highlight w:val="none"/>
                    </w:rPr>
                  </w:pPr>
                  <w:r>
                    <w:rPr>
                      <w:color w:val="auto"/>
                      <w:highlight w:val="none"/>
                    </w:rPr>
                    <w:t>序号</w:t>
                  </w:r>
                </w:p>
              </w:tc>
              <w:tc>
                <w:tcPr>
                  <w:tcW w:w="1150" w:type="pct"/>
                  <w:tcBorders>
                    <w:tl2br w:val="nil"/>
                    <w:tr2bl w:val="nil"/>
                  </w:tcBorders>
                  <w:vAlign w:val="center"/>
                </w:tcPr>
                <w:p w14:paraId="7B3E2802">
                  <w:pPr>
                    <w:pStyle w:val="74"/>
                    <w:rPr>
                      <w:color w:val="auto"/>
                      <w:highlight w:val="none"/>
                    </w:rPr>
                  </w:pPr>
                  <w:r>
                    <w:rPr>
                      <w:color w:val="auto"/>
                      <w:highlight w:val="none"/>
                    </w:rPr>
                    <w:t>提示图形符号</w:t>
                  </w:r>
                </w:p>
              </w:tc>
              <w:tc>
                <w:tcPr>
                  <w:tcW w:w="1159" w:type="pct"/>
                  <w:tcBorders>
                    <w:tl2br w:val="nil"/>
                    <w:tr2bl w:val="nil"/>
                  </w:tcBorders>
                  <w:vAlign w:val="center"/>
                </w:tcPr>
                <w:p w14:paraId="1A91D5D5">
                  <w:pPr>
                    <w:pStyle w:val="74"/>
                    <w:rPr>
                      <w:color w:val="auto"/>
                      <w:highlight w:val="none"/>
                    </w:rPr>
                  </w:pPr>
                  <w:r>
                    <w:rPr>
                      <w:color w:val="auto"/>
                      <w:highlight w:val="none"/>
                    </w:rPr>
                    <w:t>警告图形符号</w:t>
                  </w:r>
                </w:p>
              </w:tc>
              <w:tc>
                <w:tcPr>
                  <w:tcW w:w="875" w:type="pct"/>
                  <w:tcBorders>
                    <w:tl2br w:val="nil"/>
                    <w:tr2bl w:val="nil"/>
                  </w:tcBorders>
                  <w:vAlign w:val="center"/>
                </w:tcPr>
                <w:p w14:paraId="67C4FEA7">
                  <w:pPr>
                    <w:pStyle w:val="74"/>
                    <w:rPr>
                      <w:color w:val="auto"/>
                      <w:highlight w:val="none"/>
                    </w:rPr>
                  </w:pPr>
                  <w:r>
                    <w:rPr>
                      <w:color w:val="auto"/>
                      <w:highlight w:val="none"/>
                    </w:rPr>
                    <w:t>名称</w:t>
                  </w:r>
                </w:p>
              </w:tc>
              <w:tc>
                <w:tcPr>
                  <w:tcW w:w="1312" w:type="pct"/>
                  <w:tcBorders>
                    <w:tl2br w:val="nil"/>
                    <w:tr2bl w:val="nil"/>
                  </w:tcBorders>
                  <w:vAlign w:val="center"/>
                </w:tcPr>
                <w:p w14:paraId="0B6A484E">
                  <w:pPr>
                    <w:pStyle w:val="74"/>
                    <w:rPr>
                      <w:color w:val="auto"/>
                      <w:highlight w:val="none"/>
                    </w:rPr>
                  </w:pPr>
                  <w:r>
                    <w:rPr>
                      <w:color w:val="auto"/>
                      <w:highlight w:val="none"/>
                    </w:rPr>
                    <w:t>功能</w:t>
                  </w:r>
                </w:p>
              </w:tc>
            </w:tr>
            <w:tr w14:paraId="5B25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502" w:type="pct"/>
                  <w:tcBorders>
                    <w:tl2br w:val="nil"/>
                    <w:tr2bl w:val="nil"/>
                  </w:tcBorders>
                  <w:vAlign w:val="center"/>
                </w:tcPr>
                <w:p w14:paraId="35A54FA2">
                  <w:pPr>
                    <w:pStyle w:val="74"/>
                    <w:rPr>
                      <w:color w:val="auto"/>
                      <w:highlight w:val="none"/>
                    </w:rPr>
                  </w:pPr>
                  <w:r>
                    <w:rPr>
                      <w:color w:val="auto"/>
                      <w:highlight w:val="none"/>
                    </w:rPr>
                    <w:t>1</w:t>
                  </w:r>
                </w:p>
              </w:tc>
              <w:tc>
                <w:tcPr>
                  <w:tcW w:w="1150" w:type="pct"/>
                  <w:tcBorders>
                    <w:tl2br w:val="nil"/>
                    <w:tr2bl w:val="nil"/>
                  </w:tcBorders>
                  <w:vAlign w:val="center"/>
                </w:tcPr>
                <w:p w14:paraId="21ECD797">
                  <w:pPr>
                    <w:pStyle w:val="74"/>
                    <w:rPr>
                      <w:color w:val="auto"/>
                      <w:highlight w:val="none"/>
                    </w:rPr>
                  </w:pPr>
                  <w:r>
                    <w:rPr>
                      <w:color w:val="auto"/>
                      <w:highlight w:val="none"/>
                    </w:rPr>
                    <w:drawing>
                      <wp:inline distT="0" distB="0" distL="114300" distR="114300">
                        <wp:extent cx="639445" cy="639445"/>
                        <wp:effectExtent l="0" t="0" r="635" b="635"/>
                        <wp:docPr id="76" name="图片 14"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 descr="13001"/>
                                <pic:cNvPicPr>
                                  <a:picLocks noChangeAspect="1"/>
                                </pic:cNvPicPr>
                              </pic:nvPicPr>
                              <pic:blipFill>
                                <a:blip r:embed="rId27"/>
                                <a:stretch>
                                  <a:fillRect/>
                                </a:stretch>
                              </pic:blipFill>
                              <pic:spPr>
                                <a:xfrm>
                                  <a:off x="0" y="0"/>
                                  <a:ext cx="639445" cy="639445"/>
                                </a:xfrm>
                                <a:prstGeom prst="rect">
                                  <a:avLst/>
                                </a:prstGeom>
                                <a:noFill/>
                                <a:ln>
                                  <a:noFill/>
                                </a:ln>
                              </pic:spPr>
                            </pic:pic>
                          </a:graphicData>
                        </a:graphic>
                      </wp:inline>
                    </w:drawing>
                  </w:r>
                </w:p>
              </w:tc>
              <w:tc>
                <w:tcPr>
                  <w:tcW w:w="1159" w:type="pct"/>
                  <w:tcBorders>
                    <w:tl2br w:val="nil"/>
                    <w:tr2bl w:val="nil"/>
                  </w:tcBorders>
                  <w:vAlign w:val="center"/>
                </w:tcPr>
                <w:p w14:paraId="16177840">
                  <w:pPr>
                    <w:pStyle w:val="74"/>
                    <w:rPr>
                      <w:color w:val="auto"/>
                      <w:highlight w:val="none"/>
                    </w:rPr>
                  </w:pPr>
                  <w:r>
                    <w:rPr>
                      <w:color w:val="auto"/>
                      <w:highlight w:val="none"/>
                    </w:rPr>
                    <w:drawing>
                      <wp:inline distT="0" distB="0" distL="114300" distR="114300">
                        <wp:extent cx="666750" cy="666750"/>
                        <wp:effectExtent l="0" t="0" r="3810" b="3810"/>
                        <wp:docPr id="91" name="图片 15"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descr="13002"/>
                                <pic:cNvPicPr>
                                  <a:picLocks noChangeAspect="1"/>
                                </pic:cNvPicPr>
                              </pic:nvPicPr>
                              <pic:blipFill>
                                <a:blip r:embed="rId28"/>
                                <a:stretch>
                                  <a:fillRect/>
                                </a:stretch>
                              </pic:blipFill>
                              <pic:spPr>
                                <a:xfrm>
                                  <a:off x="0" y="0"/>
                                  <a:ext cx="666750" cy="666750"/>
                                </a:xfrm>
                                <a:prstGeom prst="rect">
                                  <a:avLst/>
                                </a:prstGeom>
                                <a:noFill/>
                                <a:ln>
                                  <a:noFill/>
                                </a:ln>
                              </pic:spPr>
                            </pic:pic>
                          </a:graphicData>
                        </a:graphic>
                      </wp:inline>
                    </w:drawing>
                  </w:r>
                </w:p>
              </w:tc>
              <w:tc>
                <w:tcPr>
                  <w:tcW w:w="875" w:type="pct"/>
                  <w:tcBorders>
                    <w:tl2br w:val="nil"/>
                    <w:tr2bl w:val="nil"/>
                  </w:tcBorders>
                  <w:vAlign w:val="center"/>
                </w:tcPr>
                <w:p w14:paraId="1D6CF22A">
                  <w:pPr>
                    <w:pStyle w:val="74"/>
                    <w:rPr>
                      <w:color w:val="auto"/>
                      <w:highlight w:val="none"/>
                    </w:rPr>
                  </w:pPr>
                  <w:r>
                    <w:rPr>
                      <w:color w:val="auto"/>
                      <w:highlight w:val="none"/>
                    </w:rPr>
                    <w:t>废水排放口</w:t>
                  </w:r>
                </w:p>
              </w:tc>
              <w:tc>
                <w:tcPr>
                  <w:tcW w:w="1312" w:type="pct"/>
                  <w:tcBorders>
                    <w:tl2br w:val="nil"/>
                    <w:tr2bl w:val="nil"/>
                  </w:tcBorders>
                  <w:vAlign w:val="center"/>
                </w:tcPr>
                <w:p w14:paraId="7792F099">
                  <w:pPr>
                    <w:pStyle w:val="74"/>
                    <w:rPr>
                      <w:color w:val="auto"/>
                      <w:highlight w:val="none"/>
                    </w:rPr>
                  </w:pPr>
                  <w:r>
                    <w:rPr>
                      <w:color w:val="auto"/>
                      <w:highlight w:val="none"/>
                    </w:rPr>
                    <w:t>表示废水向水体排放</w:t>
                  </w:r>
                </w:p>
              </w:tc>
            </w:tr>
            <w:tr w14:paraId="78E9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502" w:type="pct"/>
                  <w:tcBorders>
                    <w:tl2br w:val="nil"/>
                    <w:tr2bl w:val="nil"/>
                  </w:tcBorders>
                  <w:vAlign w:val="center"/>
                </w:tcPr>
                <w:p w14:paraId="39258314">
                  <w:pPr>
                    <w:pStyle w:val="74"/>
                    <w:rPr>
                      <w:color w:val="auto"/>
                      <w:highlight w:val="none"/>
                    </w:rPr>
                  </w:pPr>
                  <w:r>
                    <w:rPr>
                      <w:color w:val="auto"/>
                      <w:highlight w:val="none"/>
                    </w:rPr>
                    <w:t>2</w:t>
                  </w:r>
                </w:p>
              </w:tc>
              <w:tc>
                <w:tcPr>
                  <w:tcW w:w="1150" w:type="pct"/>
                  <w:tcBorders>
                    <w:tl2br w:val="nil"/>
                    <w:tr2bl w:val="nil"/>
                  </w:tcBorders>
                  <w:vAlign w:val="center"/>
                </w:tcPr>
                <w:p w14:paraId="6F226C6E">
                  <w:pPr>
                    <w:pStyle w:val="74"/>
                    <w:rPr>
                      <w:color w:val="auto"/>
                      <w:highlight w:val="none"/>
                    </w:rPr>
                  </w:pPr>
                  <w:r>
                    <w:rPr>
                      <w:color w:val="auto"/>
                      <w:highlight w:val="none"/>
                    </w:rPr>
                    <w:drawing>
                      <wp:inline distT="0" distB="0" distL="114300" distR="114300">
                        <wp:extent cx="634365" cy="645795"/>
                        <wp:effectExtent l="0" t="0" r="5715" b="9525"/>
                        <wp:docPr id="95" name="图片 16"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6" descr="13003"/>
                                <pic:cNvPicPr>
                                  <a:picLocks noChangeAspect="1"/>
                                </pic:cNvPicPr>
                              </pic:nvPicPr>
                              <pic:blipFill>
                                <a:blip r:embed="rId29"/>
                                <a:stretch>
                                  <a:fillRect/>
                                </a:stretch>
                              </pic:blipFill>
                              <pic:spPr>
                                <a:xfrm>
                                  <a:off x="0" y="0"/>
                                  <a:ext cx="634365" cy="645795"/>
                                </a:xfrm>
                                <a:prstGeom prst="rect">
                                  <a:avLst/>
                                </a:prstGeom>
                                <a:noFill/>
                                <a:ln>
                                  <a:noFill/>
                                </a:ln>
                              </pic:spPr>
                            </pic:pic>
                          </a:graphicData>
                        </a:graphic>
                      </wp:inline>
                    </w:drawing>
                  </w:r>
                </w:p>
              </w:tc>
              <w:tc>
                <w:tcPr>
                  <w:tcW w:w="1159" w:type="pct"/>
                  <w:tcBorders>
                    <w:tl2br w:val="nil"/>
                    <w:tr2bl w:val="nil"/>
                  </w:tcBorders>
                  <w:vAlign w:val="center"/>
                </w:tcPr>
                <w:p w14:paraId="16A6B3D2">
                  <w:pPr>
                    <w:pStyle w:val="74"/>
                    <w:rPr>
                      <w:color w:val="auto"/>
                      <w:highlight w:val="none"/>
                    </w:rPr>
                  </w:pPr>
                  <w:r>
                    <w:rPr>
                      <w:color w:val="auto"/>
                      <w:highlight w:val="none"/>
                    </w:rPr>
                    <w:drawing>
                      <wp:inline distT="0" distB="0" distL="114300" distR="114300">
                        <wp:extent cx="657225" cy="657225"/>
                        <wp:effectExtent l="0" t="0" r="13335" b="13335"/>
                        <wp:docPr id="93" name="图片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7" descr="4"/>
                                <pic:cNvPicPr>
                                  <a:picLocks noChangeAspect="1"/>
                                </pic:cNvPicPr>
                              </pic:nvPicPr>
                              <pic:blipFill>
                                <a:blip r:embed="rId30"/>
                                <a:stretch>
                                  <a:fillRect/>
                                </a:stretch>
                              </pic:blipFill>
                              <pic:spPr>
                                <a:xfrm>
                                  <a:off x="0" y="0"/>
                                  <a:ext cx="657225" cy="657225"/>
                                </a:xfrm>
                                <a:prstGeom prst="rect">
                                  <a:avLst/>
                                </a:prstGeom>
                                <a:noFill/>
                                <a:ln>
                                  <a:noFill/>
                                </a:ln>
                              </pic:spPr>
                            </pic:pic>
                          </a:graphicData>
                        </a:graphic>
                      </wp:inline>
                    </w:drawing>
                  </w:r>
                </w:p>
              </w:tc>
              <w:tc>
                <w:tcPr>
                  <w:tcW w:w="875" w:type="pct"/>
                  <w:tcBorders>
                    <w:tl2br w:val="nil"/>
                    <w:tr2bl w:val="nil"/>
                  </w:tcBorders>
                  <w:vAlign w:val="center"/>
                </w:tcPr>
                <w:p w14:paraId="144D3C82">
                  <w:pPr>
                    <w:pStyle w:val="74"/>
                    <w:rPr>
                      <w:color w:val="auto"/>
                      <w:highlight w:val="none"/>
                    </w:rPr>
                  </w:pPr>
                  <w:r>
                    <w:rPr>
                      <w:color w:val="auto"/>
                      <w:highlight w:val="none"/>
                    </w:rPr>
                    <w:t>废气排放口</w:t>
                  </w:r>
                </w:p>
              </w:tc>
              <w:tc>
                <w:tcPr>
                  <w:tcW w:w="1312" w:type="pct"/>
                  <w:tcBorders>
                    <w:tl2br w:val="nil"/>
                    <w:tr2bl w:val="nil"/>
                  </w:tcBorders>
                  <w:vAlign w:val="center"/>
                </w:tcPr>
                <w:p w14:paraId="72170A0F">
                  <w:pPr>
                    <w:pStyle w:val="74"/>
                    <w:rPr>
                      <w:color w:val="auto"/>
                      <w:highlight w:val="none"/>
                    </w:rPr>
                  </w:pPr>
                  <w:r>
                    <w:rPr>
                      <w:color w:val="auto"/>
                      <w:highlight w:val="none"/>
                    </w:rPr>
                    <w:t>表示废气向大气环境排放</w:t>
                  </w:r>
                </w:p>
              </w:tc>
            </w:tr>
            <w:tr w14:paraId="65C4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502" w:type="pct"/>
                  <w:tcBorders>
                    <w:tl2br w:val="nil"/>
                    <w:tr2bl w:val="nil"/>
                  </w:tcBorders>
                  <w:vAlign w:val="center"/>
                </w:tcPr>
                <w:p w14:paraId="3FA513DD">
                  <w:pPr>
                    <w:pStyle w:val="74"/>
                    <w:rPr>
                      <w:color w:val="auto"/>
                      <w:highlight w:val="none"/>
                    </w:rPr>
                  </w:pPr>
                  <w:r>
                    <w:rPr>
                      <w:color w:val="auto"/>
                      <w:highlight w:val="none"/>
                    </w:rPr>
                    <w:t>3</w:t>
                  </w:r>
                </w:p>
              </w:tc>
              <w:tc>
                <w:tcPr>
                  <w:tcW w:w="1150" w:type="pct"/>
                  <w:tcBorders>
                    <w:tl2br w:val="nil"/>
                    <w:tr2bl w:val="nil"/>
                  </w:tcBorders>
                  <w:vAlign w:val="center"/>
                </w:tcPr>
                <w:p w14:paraId="3AF7DAA1">
                  <w:pPr>
                    <w:pStyle w:val="74"/>
                    <w:rPr>
                      <w:color w:val="auto"/>
                      <w:highlight w:val="none"/>
                    </w:rPr>
                  </w:pPr>
                  <w:r>
                    <w:rPr>
                      <w:color w:val="auto"/>
                      <w:highlight w:val="none"/>
                    </w:rPr>
                    <w:drawing>
                      <wp:inline distT="0" distB="0" distL="114300" distR="114300">
                        <wp:extent cx="641350" cy="652780"/>
                        <wp:effectExtent l="0" t="0" r="13970" b="2540"/>
                        <wp:docPr id="104" name="图片 18"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8" descr="14001"/>
                                <pic:cNvPicPr>
                                  <a:picLocks noChangeAspect="1"/>
                                </pic:cNvPicPr>
                              </pic:nvPicPr>
                              <pic:blipFill>
                                <a:blip r:embed="rId31"/>
                                <a:stretch>
                                  <a:fillRect/>
                                </a:stretch>
                              </pic:blipFill>
                              <pic:spPr>
                                <a:xfrm>
                                  <a:off x="0" y="0"/>
                                  <a:ext cx="641350" cy="652780"/>
                                </a:xfrm>
                                <a:prstGeom prst="rect">
                                  <a:avLst/>
                                </a:prstGeom>
                                <a:noFill/>
                                <a:ln>
                                  <a:noFill/>
                                </a:ln>
                              </pic:spPr>
                            </pic:pic>
                          </a:graphicData>
                        </a:graphic>
                      </wp:inline>
                    </w:drawing>
                  </w:r>
                </w:p>
              </w:tc>
              <w:tc>
                <w:tcPr>
                  <w:tcW w:w="1159" w:type="pct"/>
                  <w:tcBorders>
                    <w:tl2br w:val="nil"/>
                    <w:tr2bl w:val="nil"/>
                  </w:tcBorders>
                  <w:vAlign w:val="center"/>
                </w:tcPr>
                <w:p w14:paraId="518B280E">
                  <w:pPr>
                    <w:pStyle w:val="74"/>
                    <w:rPr>
                      <w:color w:val="auto"/>
                      <w:highlight w:val="none"/>
                    </w:rPr>
                  </w:pPr>
                  <w:r>
                    <w:rPr>
                      <w:color w:val="auto"/>
                      <w:highlight w:val="none"/>
                    </w:rPr>
                    <w:drawing>
                      <wp:inline distT="0" distB="0" distL="114300" distR="114300">
                        <wp:extent cx="714375" cy="666750"/>
                        <wp:effectExtent l="0" t="0" r="1905" b="3810"/>
                        <wp:docPr id="92" name="图片 19"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9" descr="14002"/>
                                <pic:cNvPicPr>
                                  <a:picLocks noChangeAspect="1"/>
                                </pic:cNvPicPr>
                              </pic:nvPicPr>
                              <pic:blipFill>
                                <a:blip r:embed="rId32"/>
                                <a:stretch>
                                  <a:fillRect/>
                                </a:stretch>
                              </pic:blipFill>
                              <pic:spPr>
                                <a:xfrm>
                                  <a:off x="0" y="0"/>
                                  <a:ext cx="714375" cy="666750"/>
                                </a:xfrm>
                                <a:prstGeom prst="rect">
                                  <a:avLst/>
                                </a:prstGeom>
                                <a:noFill/>
                                <a:ln>
                                  <a:noFill/>
                                </a:ln>
                              </pic:spPr>
                            </pic:pic>
                          </a:graphicData>
                        </a:graphic>
                      </wp:inline>
                    </w:drawing>
                  </w:r>
                </w:p>
              </w:tc>
              <w:tc>
                <w:tcPr>
                  <w:tcW w:w="875" w:type="pct"/>
                  <w:tcBorders>
                    <w:tl2br w:val="nil"/>
                    <w:tr2bl w:val="nil"/>
                  </w:tcBorders>
                  <w:vAlign w:val="center"/>
                </w:tcPr>
                <w:p w14:paraId="628C8B8F">
                  <w:pPr>
                    <w:pStyle w:val="74"/>
                    <w:rPr>
                      <w:color w:val="auto"/>
                      <w:highlight w:val="none"/>
                    </w:rPr>
                  </w:pPr>
                  <w:r>
                    <w:rPr>
                      <w:color w:val="auto"/>
                      <w:highlight w:val="none"/>
                    </w:rPr>
                    <w:t>一般固体废物</w:t>
                  </w:r>
                </w:p>
              </w:tc>
              <w:tc>
                <w:tcPr>
                  <w:tcW w:w="1312" w:type="pct"/>
                  <w:tcBorders>
                    <w:tl2br w:val="nil"/>
                    <w:tr2bl w:val="nil"/>
                  </w:tcBorders>
                  <w:vAlign w:val="center"/>
                </w:tcPr>
                <w:p w14:paraId="44D2CB0F">
                  <w:pPr>
                    <w:pStyle w:val="74"/>
                    <w:rPr>
                      <w:color w:val="auto"/>
                      <w:highlight w:val="none"/>
                    </w:rPr>
                  </w:pPr>
                  <w:r>
                    <w:rPr>
                      <w:color w:val="auto"/>
                      <w:highlight w:val="none"/>
                    </w:rPr>
                    <w:t>表示一般固体废物贮存、处置场</w:t>
                  </w:r>
                </w:p>
              </w:tc>
            </w:tr>
            <w:tr w14:paraId="0010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02" w:type="pct"/>
                  <w:tcBorders>
                    <w:tl2br w:val="nil"/>
                    <w:tr2bl w:val="nil"/>
                  </w:tcBorders>
                  <w:vAlign w:val="center"/>
                </w:tcPr>
                <w:p w14:paraId="4C79573E">
                  <w:pPr>
                    <w:pStyle w:val="74"/>
                    <w:rPr>
                      <w:color w:val="auto"/>
                      <w:highlight w:val="none"/>
                    </w:rPr>
                  </w:pPr>
                  <w:r>
                    <w:rPr>
                      <w:color w:val="auto"/>
                      <w:highlight w:val="none"/>
                    </w:rPr>
                    <w:t>4</w:t>
                  </w:r>
                </w:p>
              </w:tc>
              <w:tc>
                <w:tcPr>
                  <w:tcW w:w="1150" w:type="pct"/>
                  <w:tcBorders>
                    <w:tl2br w:val="nil"/>
                    <w:tr2bl w:val="nil"/>
                  </w:tcBorders>
                  <w:vAlign w:val="center"/>
                </w:tcPr>
                <w:p w14:paraId="6614C91A">
                  <w:pPr>
                    <w:pStyle w:val="74"/>
                    <w:rPr>
                      <w:color w:val="auto"/>
                      <w:highlight w:val="none"/>
                    </w:rPr>
                  </w:pPr>
                  <w:r>
                    <w:rPr>
                      <w:color w:val="auto"/>
                      <w:highlight w:val="none"/>
                    </w:rPr>
                    <w:drawing>
                      <wp:inline distT="0" distB="0" distL="114300" distR="114300">
                        <wp:extent cx="678180" cy="678180"/>
                        <wp:effectExtent l="0" t="0" r="7620" b="7620"/>
                        <wp:docPr id="94" name="图片 2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0" descr="image011"/>
                                <pic:cNvPicPr>
                                  <a:picLocks noChangeAspect="1"/>
                                </pic:cNvPicPr>
                              </pic:nvPicPr>
                              <pic:blipFill>
                                <a:blip r:embed="rId33"/>
                                <a:stretch>
                                  <a:fillRect/>
                                </a:stretch>
                              </pic:blipFill>
                              <pic:spPr>
                                <a:xfrm>
                                  <a:off x="0" y="0"/>
                                  <a:ext cx="678180" cy="678180"/>
                                </a:xfrm>
                                <a:prstGeom prst="rect">
                                  <a:avLst/>
                                </a:prstGeom>
                                <a:noFill/>
                                <a:ln>
                                  <a:noFill/>
                                </a:ln>
                              </pic:spPr>
                            </pic:pic>
                          </a:graphicData>
                        </a:graphic>
                      </wp:inline>
                    </w:drawing>
                  </w:r>
                </w:p>
              </w:tc>
              <w:tc>
                <w:tcPr>
                  <w:tcW w:w="1159" w:type="pct"/>
                  <w:tcBorders>
                    <w:tl2br w:val="nil"/>
                    <w:tr2bl w:val="nil"/>
                  </w:tcBorders>
                  <w:vAlign w:val="center"/>
                </w:tcPr>
                <w:p w14:paraId="4673D3A5">
                  <w:pPr>
                    <w:pStyle w:val="74"/>
                    <w:rPr>
                      <w:color w:val="auto"/>
                      <w:highlight w:val="none"/>
                    </w:rPr>
                  </w:pPr>
                  <w:r>
                    <w:rPr>
                      <w:color w:val="auto"/>
                      <w:highlight w:val="none"/>
                    </w:rPr>
                    <w:drawing>
                      <wp:inline distT="0" distB="0" distL="114300" distR="114300">
                        <wp:extent cx="781050" cy="685800"/>
                        <wp:effectExtent l="0" t="0" r="11430" b="0"/>
                        <wp:docPr id="102" name="图片 21"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1" descr="image012"/>
                                <pic:cNvPicPr>
                                  <a:picLocks noChangeAspect="1"/>
                                </pic:cNvPicPr>
                              </pic:nvPicPr>
                              <pic:blipFill>
                                <a:blip r:embed="rId34"/>
                                <a:stretch>
                                  <a:fillRect/>
                                </a:stretch>
                              </pic:blipFill>
                              <pic:spPr>
                                <a:xfrm>
                                  <a:off x="0" y="0"/>
                                  <a:ext cx="781050" cy="685800"/>
                                </a:xfrm>
                                <a:prstGeom prst="rect">
                                  <a:avLst/>
                                </a:prstGeom>
                                <a:noFill/>
                                <a:ln>
                                  <a:noFill/>
                                </a:ln>
                              </pic:spPr>
                            </pic:pic>
                          </a:graphicData>
                        </a:graphic>
                      </wp:inline>
                    </w:drawing>
                  </w:r>
                </w:p>
              </w:tc>
              <w:tc>
                <w:tcPr>
                  <w:tcW w:w="875" w:type="pct"/>
                  <w:tcBorders>
                    <w:tl2br w:val="nil"/>
                    <w:tr2bl w:val="nil"/>
                  </w:tcBorders>
                  <w:vAlign w:val="center"/>
                </w:tcPr>
                <w:p w14:paraId="648B3BAD">
                  <w:pPr>
                    <w:pStyle w:val="74"/>
                    <w:rPr>
                      <w:color w:val="auto"/>
                      <w:highlight w:val="none"/>
                    </w:rPr>
                  </w:pPr>
                  <w:r>
                    <w:rPr>
                      <w:color w:val="auto"/>
                      <w:highlight w:val="none"/>
                    </w:rPr>
                    <w:t>噪声排放源</w:t>
                  </w:r>
                </w:p>
              </w:tc>
              <w:tc>
                <w:tcPr>
                  <w:tcW w:w="1312" w:type="pct"/>
                  <w:tcBorders>
                    <w:tl2br w:val="nil"/>
                    <w:tr2bl w:val="nil"/>
                  </w:tcBorders>
                  <w:vAlign w:val="center"/>
                </w:tcPr>
                <w:p w14:paraId="4C7D5AC7">
                  <w:pPr>
                    <w:pStyle w:val="74"/>
                    <w:rPr>
                      <w:color w:val="auto"/>
                      <w:highlight w:val="none"/>
                    </w:rPr>
                  </w:pPr>
                  <w:r>
                    <w:rPr>
                      <w:color w:val="auto"/>
                      <w:highlight w:val="none"/>
                    </w:rPr>
                    <w:t>表示噪声向外环境排放</w:t>
                  </w:r>
                </w:p>
              </w:tc>
            </w:tr>
            <w:tr w14:paraId="6829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502" w:type="pct"/>
                  <w:tcBorders>
                    <w:tl2br w:val="nil"/>
                    <w:tr2bl w:val="nil"/>
                  </w:tcBorders>
                  <w:vAlign w:val="center"/>
                </w:tcPr>
                <w:p w14:paraId="0D3D63F1">
                  <w:pPr>
                    <w:pStyle w:val="74"/>
                    <w:rPr>
                      <w:color w:val="auto"/>
                      <w:highlight w:val="none"/>
                    </w:rPr>
                  </w:pPr>
                  <w:r>
                    <w:rPr>
                      <w:color w:val="auto"/>
                      <w:highlight w:val="none"/>
                    </w:rPr>
                    <w:t>5</w:t>
                  </w:r>
                </w:p>
              </w:tc>
              <w:tc>
                <w:tcPr>
                  <w:tcW w:w="1150" w:type="pct"/>
                  <w:tcBorders>
                    <w:tl2br w:val="nil"/>
                    <w:tr2bl w:val="nil"/>
                  </w:tcBorders>
                  <w:vAlign w:val="center"/>
                </w:tcPr>
                <w:p w14:paraId="072FDC6A">
                  <w:pPr>
                    <w:pStyle w:val="74"/>
                    <w:rPr>
                      <w:color w:val="auto"/>
                      <w:highlight w:val="none"/>
                    </w:rPr>
                  </w:pPr>
                </w:p>
              </w:tc>
              <w:tc>
                <w:tcPr>
                  <w:tcW w:w="1159" w:type="pct"/>
                  <w:tcBorders>
                    <w:tl2br w:val="nil"/>
                    <w:tr2bl w:val="nil"/>
                  </w:tcBorders>
                  <w:vAlign w:val="center"/>
                </w:tcPr>
                <w:p w14:paraId="522770B1">
                  <w:pPr>
                    <w:pStyle w:val="74"/>
                    <w:rPr>
                      <w:color w:val="auto"/>
                      <w:highlight w:val="none"/>
                    </w:rPr>
                  </w:pPr>
                  <w:r>
                    <w:rPr>
                      <w:color w:val="auto"/>
                      <w:highlight w:val="none"/>
                    </w:rPr>
                    <w:drawing>
                      <wp:inline distT="0" distB="0" distL="114300" distR="114300">
                        <wp:extent cx="985520" cy="859155"/>
                        <wp:effectExtent l="0" t="0" r="5080" b="9525"/>
                        <wp:docPr id="18" name="图片 22" descr="167936264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1679362643598"/>
                                <pic:cNvPicPr>
                                  <a:picLocks noChangeAspect="1"/>
                                </pic:cNvPicPr>
                              </pic:nvPicPr>
                              <pic:blipFill>
                                <a:blip r:embed="rId35"/>
                                <a:srcRect l="5511" t="7051" r="5396" b="1221"/>
                                <a:stretch>
                                  <a:fillRect/>
                                </a:stretch>
                              </pic:blipFill>
                              <pic:spPr>
                                <a:xfrm>
                                  <a:off x="0" y="0"/>
                                  <a:ext cx="985520" cy="859155"/>
                                </a:xfrm>
                                <a:prstGeom prst="rect">
                                  <a:avLst/>
                                </a:prstGeom>
                                <a:noFill/>
                                <a:ln>
                                  <a:noFill/>
                                </a:ln>
                              </pic:spPr>
                            </pic:pic>
                          </a:graphicData>
                        </a:graphic>
                      </wp:inline>
                    </w:drawing>
                  </w:r>
                </w:p>
              </w:tc>
              <w:tc>
                <w:tcPr>
                  <w:tcW w:w="875" w:type="pct"/>
                  <w:tcBorders>
                    <w:tl2br w:val="nil"/>
                    <w:tr2bl w:val="nil"/>
                  </w:tcBorders>
                  <w:vAlign w:val="center"/>
                </w:tcPr>
                <w:p w14:paraId="4E1B280F">
                  <w:pPr>
                    <w:pStyle w:val="74"/>
                    <w:rPr>
                      <w:color w:val="auto"/>
                      <w:highlight w:val="none"/>
                    </w:rPr>
                  </w:pPr>
                  <w:r>
                    <w:rPr>
                      <w:color w:val="auto"/>
                      <w:highlight w:val="none"/>
                    </w:rPr>
                    <w:t>危险废物</w:t>
                  </w:r>
                </w:p>
              </w:tc>
              <w:tc>
                <w:tcPr>
                  <w:tcW w:w="1312" w:type="pct"/>
                  <w:tcBorders>
                    <w:tl2br w:val="nil"/>
                    <w:tr2bl w:val="nil"/>
                  </w:tcBorders>
                  <w:vAlign w:val="center"/>
                </w:tcPr>
                <w:p w14:paraId="02DCB573">
                  <w:pPr>
                    <w:pStyle w:val="74"/>
                    <w:rPr>
                      <w:color w:val="auto"/>
                      <w:highlight w:val="none"/>
                    </w:rPr>
                  </w:pPr>
                  <w:r>
                    <w:rPr>
                      <w:color w:val="auto"/>
                      <w:highlight w:val="none"/>
                    </w:rPr>
                    <w:t>表示危险废物贮存、处置场</w:t>
                  </w:r>
                </w:p>
              </w:tc>
            </w:tr>
          </w:tbl>
          <w:p w14:paraId="680ADE18">
            <w:pPr>
              <w:keepNext w:val="0"/>
              <w:keepLines w:val="0"/>
              <w:pageBreakBefore w:val="0"/>
              <w:widowControl/>
              <w:kinsoku w:val="0"/>
              <w:wordWrap/>
              <w:overflowPunct/>
              <w:topLinePunct w:val="0"/>
              <w:autoSpaceDE w:val="0"/>
              <w:autoSpaceDN w:val="0"/>
              <w:bidi w:val="0"/>
              <w:adjustRightInd/>
              <w:snapToGrid/>
              <w:spacing w:line="360" w:lineRule="auto"/>
              <w:ind w:firstLine="482" w:firstLineChars="200"/>
              <w:textAlignment w:val="baseline"/>
              <w:rPr>
                <w:rFonts w:ascii="Times New Roman" w:hAnsi="Times New Roman" w:eastAsia="宋体" w:cs="Times New Roman"/>
                <w:b/>
                <w:bCs/>
                <w:color w:val="auto"/>
                <w:sz w:val="24"/>
                <w:szCs w:val="24"/>
                <w:highlight w:val="none"/>
                <w:lang w:eastAsia="zh-CN" w:bidi="ar"/>
              </w:rPr>
            </w:pPr>
            <w:r>
              <w:rPr>
                <w:rFonts w:hint="eastAsia" w:cs="Times New Roman"/>
                <w:b/>
                <w:bCs/>
                <w:color w:val="auto"/>
                <w:sz w:val="24"/>
                <w:szCs w:val="24"/>
                <w:highlight w:val="none"/>
                <w:lang w:val="en-US" w:eastAsia="zh-CN" w:bidi="ar"/>
              </w:rPr>
              <w:t>4</w:t>
            </w:r>
            <w:r>
              <w:rPr>
                <w:rFonts w:ascii="Times New Roman" w:hAnsi="Times New Roman" w:eastAsia="宋体" w:cs="Times New Roman"/>
                <w:b/>
                <w:bCs/>
                <w:color w:val="auto"/>
                <w:sz w:val="24"/>
                <w:szCs w:val="24"/>
                <w:highlight w:val="none"/>
                <w:lang w:eastAsia="zh-CN" w:bidi="ar"/>
              </w:rPr>
              <w:t>、竣工环境保护设施验收</w:t>
            </w:r>
          </w:p>
          <w:p w14:paraId="17B6BE63">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szCs w:val="24"/>
                <w:highlight w:val="none"/>
                <w:lang w:eastAsia="zh-CN" w:bidi="ar"/>
              </w:rPr>
            </w:pPr>
            <w:r>
              <w:rPr>
                <w:rFonts w:ascii="Times New Roman" w:hAnsi="Times New Roman" w:eastAsia="宋体" w:cs="Times New Roman"/>
                <w:color w:val="auto"/>
                <w:sz w:val="24"/>
                <w:szCs w:val="24"/>
                <w:highlight w:val="none"/>
                <w:lang w:eastAsia="zh-CN" w:bidi="ar"/>
              </w:rPr>
              <w:t>根据《建设项目竣工环境保护验收暂行办法》的规定，建设项目竣工后，建设单位应当如实查验、监测、记载建设项目环境保护设施的建设和调试情况，</w:t>
            </w:r>
            <w:r>
              <w:rPr>
                <w:rFonts w:hint="eastAsia" w:cs="Times New Roman"/>
                <w:color w:val="auto"/>
                <w:sz w:val="24"/>
                <w:szCs w:val="24"/>
                <w:highlight w:val="none"/>
                <w:lang w:val="en-US" w:eastAsia="zh-CN" w:bidi="ar"/>
              </w:rPr>
              <w:t>编制竣工环境保护</w:t>
            </w:r>
            <w:r>
              <w:rPr>
                <w:rFonts w:ascii="Times New Roman" w:hAnsi="Times New Roman" w:eastAsia="宋体" w:cs="Times New Roman"/>
                <w:color w:val="auto"/>
                <w:sz w:val="24"/>
                <w:szCs w:val="24"/>
                <w:highlight w:val="none"/>
                <w:lang w:eastAsia="zh-CN" w:bidi="ar"/>
              </w:rPr>
              <w:t>验收监测报告</w:t>
            </w:r>
            <w:r>
              <w:rPr>
                <w:rFonts w:hint="eastAsia" w:cs="Times New Roman"/>
                <w:color w:val="auto"/>
                <w:sz w:val="24"/>
                <w:szCs w:val="24"/>
                <w:highlight w:val="none"/>
                <w:lang w:val="en-US" w:eastAsia="zh-CN" w:bidi="ar"/>
              </w:rPr>
              <w:t>表</w:t>
            </w:r>
            <w:r>
              <w:rPr>
                <w:rFonts w:ascii="Times New Roman" w:hAnsi="Times New Roman" w:eastAsia="宋体" w:cs="Times New Roman"/>
                <w:color w:val="auto"/>
                <w:sz w:val="24"/>
                <w:szCs w:val="24"/>
                <w:highlight w:val="none"/>
                <w:lang w:eastAsia="zh-CN" w:bidi="ar"/>
              </w:rPr>
              <w:t>。</w:t>
            </w:r>
          </w:p>
          <w:p w14:paraId="5C1706CC">
            <w:pPr>
              <w:kinsoku/>
              <w:adjustRightInd/>
              <w:snapToGrid/>
              <w:spacing w:line="360" w:lineRule="auto"/>
              <w:ind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本项目环保设施投资概算见下表。</w:t>
            </w:r>
          </w:p>
          <w:p w14:paraId="0124F2C6">
            <w:pPr>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ascii="Times New Roman" w:hAnsi="Times New Roman" w:eastAsia="宋体" w:cs="Times New Roman"/>
                <w:color w:val="auto"/>
                <w:sz w:val="24"/>
                <w:szCs w:val="24"/>
                <w:highlight w:val="none"/>
                <w:lang w:eastAsia="zh-CN" w:bidi="ar"/>
              </w:rPr>
            </w:pPr>
            <w:r>
              <w:rPr>
                <w:rFonts w:hint="default" w:ascii="Times New Roman" w:hAnsi="Times New Roman" w:eastAsia="宋体" w:cs="Times New Roman"/>
                <w:b/>
                <w:bCs/>
                <w:color w:val="auto"/>
                <w:sz w:val="24"/>
                <w:szCs w:val="24"/>
                <w:highlight w:val="none"/>
                <w:lang w:eastAsia="zh-CN"/>
              </w:rPr>
              <w:t>表</w:t>
            </w:r>
            <w:r>
              <w:rPr>
                <w:rFonts w:hint="default" w:ascii="Times New Roman" w:hAnsi="Times New Roman" w:eastAsia="宋体" w:cs="Times New Roman"/>
                <w:b/>
                <w:bCs/>
                <w:color w:val="auto"/>
                <w:sz w:val="24"/>
                <w:szCs w:val="24"/>
                <w:highlight w:val="none"/>
                <w:lang w:val="en-US" w:eastAsia="zh-CN"/>
              </w:rPr>
              <w:t>5-</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eastAsia="zh-CN"/>
              </w:rPr>
              <w:t xml:space="preserve"> 本项目环保设施投资概算</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2153"/>
              <w:gridCol w:w="3403"/>
              <w:gridCol w:w="1297"/>
            </w:tblGrid>
            <w:tr w14:paraId="786B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19" w:type="dxa"/>
                  <w:tcBorders>
                    <w:top w:val="single" w:color="auto" w:sz="4" w:space="0"/>
                    <w:left w:val="single" w:color="auto" w:sz="4" w:space="0"/>
                    <w:bottom w:val="single" w:color="auto" w:sz="4" w:space="0"/>
                    <w:right w:val="single" w:color="auto" w:sz="4" w:space="0"/>
                  </w:tcBorders>
                  <w:vAlign w:val="center"/>
                </w:tcPr>
                <w:p w14:paraId="5FF63BC7">
                  <w:pPr>
                    <w:pageBreakBefore w:val="0"/>
                    <w:kinsoku/>
                    <w:overflowPunct/>
                    <w:topLinePunct w:val="0"/>
                    <w:bidi w:val="0"/>
                    <w:adjustRightInd/>
                    <w:snapToGrid/>
                    <w:jc w:val="center"/>
                    <w:rPr>
                      <w:rFonts w:ascii="Times New Roman" w:hAnsi="Times New Roman" w:eastAsia="宋体" w:cs="Times New Roman"/>
                      <w:b/>
                      <w:bCs/>
                      <w:color w:val="auto"/>
                      <w:kern w:val="24"/>
                      <w:highlight w:val="none"/>
                    </w:rPr>
                  </w:pPr>
                  <w:r>
                    <w:rPr>
                      <w:rFonts w:ascii="Times New Roman" w:hAnsi="Times New Roman" w:eastAsia="宋体" w:cs="Times New Roman"/>
                      <w:b/>
                      <w:bCs/>
                      <w:color w:val="auto"/>
                      <w:kern w:val="24"/>
                      <w:highlight w:val="none"/>
                    </w:rPr>
                    <w:t>项目名称</w:t>
                  </w:r>
                </w:p>
              </w:tc>
              <w:tc>
                <w:tcPr>
                  <w:tcW w:w="2107" w:type="dxa"/>
                  <w:tcBorders>
                    <w:top w:val="single" w:color="auto" w:sz="4" w:space="0"/>
                    <w:left w:val="single" w:color="auto" w:sz="4" w:space="0"/>
                    <w:bottom w:val="single" w:color="auto" w:sz="4" w:space="0"/>
                    <w:right w:val="single" w:color="auto" w:sz="4" w:space="0"/>
                  </w:tcBorders>
                  <w:vAlign w:val="center"/>
                </w:tcPr>
                <w:p w14:paraId="40C56D77">
                  <w:pPr>
                    <w:pageBreakBefore w:val="0"/>
                    <w:kinsoku/>
                    <w:overflowPunct/>
                    <w:topLinePunct w:val="0"/>
                    <w:bidi w:val="0"/>
                    <w:adjustRightInd/>
                    <w:snapToGrid/>
                    <w:jc w:val="center"/>
                    <w:rPr>
                      <w:rFonts w:ascii="Times New Roman" w:hAnsi="Times New Roman" w:eastAsia="宋体" w:cs="Times New Roman"/>
                      <w:b/>
                      <w:bCs/>
                      <w:color w:val="auto"/>
                      <w:kern w:val="24"/>
                      <w:highlight w:val="none"/>
                    </w:rPr>
                  </w:pPr>
                  <w:r>
                    <w:rPr>
                      <w:rFonts w:ascii="Times New Roman" w:hAnsi="Times New Roman" w:eastAsia="宋体" w:cs="Times New Roman"/>
                      <w:b/>
                      <w:bCs/>
                      <w:color w:val="auto"/>
                      <w:kern w:val="24"/>
                      <w:highlight w:val="none"/>
                    </w:rPr>
                    <w:t>治理对象</w:t>
                  </w:r>
                </w:p>
              </w:tc>
              <w:tc>
                <w:tcPr>
                  <w:tcW w:w="3331" w:type="dxa"/>
                  <w:tcBorders>
                    <w:top w:val="single" w:color="auto" w:sz="4" w:space="0"/>
                    <w:left w:val="single" w:color="auto" w:sz="4" w:space="0"/>
                    <w:bottom w:val="single" w:color="auto" w:sz="4" w:space="0"/>
                    <w:right w:val="single" w:color="auto" w:sz="4" w:space="0"/>
                  </w:tcBorders>
                  <w:vAlign w:val="center"/>
                </w:tcPr>
                <w:p w14:paraId="2698324C">
                  <w:pPr>
                    <w:pageBreakBefore w:val="0"/>
                    <w:kinsoku/>
                    <w:overflowPunct/>
                    <w:topLinePunct w:val="0"/>
                    <w:bidi w:val="0"/>
                    <w:adjustRightInd/>
                    <w:snapToGrid/>
                    <w:jc w:val="center"/>
                    <w:rPr>
                      <w:rFonts w:ascii="Times New Roman" w:hAnsi="Times New Roman" w:eastAsia="宋体" w:cs="Times New Roman"/>
                      <w:b/>
                      <w:bCs/>
                      <w:color w:val="auto"/>
                      <w:kern w:val="24"/>
                      <w:highlight w:val="none"/>
                    </w:rPr>
                  </w:pPr>
                  <w:r>
                    <w:rPr>
                      <w:rFonts w:ascii="Times New Roman" w:hAnsi="Times New Roman" w:eastAsia="宋体" w:cs="Times New Roman"/>
                      <w:b/>
                      <w:bCs/>
                      <w:color w:val="auto"/>
                      <w:kern w:val="24"/>
                      <w:highlight w:val="none"/>
                    </w:rPr>
                    <w:t>建设内容</w:t>
                  </w:r>
                </w:p>
              </w:tc>
              <w:tc>
                <w:tcPr>
                  <w:tcW w:w="1269" w:type="dxa"/>
                  <w:tcBorders>
                    <w:top w:val="single" w:color="auto" w:sz="4" w:space="0"/>
                    <w:left w:val="single" w:color="auto" w:sz="4" w:space="0"/>
                    <w:bottom w:val="single" w:color="auto" w:sz="4" w:space="0"/>
                    <w:right w:val="single" w:color="auto" w:sz="4" w:space="0"/>
                  </w:tcBorders>
                  <w:vAlign w:val="center"/>
                </w:tcPr>
                <w:p w14:paraId="640B3200">
                  <w:pPr>
                    <w:pageBreakBefore w:val="0"/>
                    <w:kinsoku/>
                    <w:overflowPunct/>
                    <w:topLinePunct w:val="0"/>
                    <w:bidi w:val="0"/>
                    <w:adjustRightInd/>
                    <w:snapToGrid/>
                    <w:jc w:val="center"/>
                    <w:rPr>
                      <w:rFonts w:ascii="Times New Roman" w:hAnsi="Times New Roman" w:eastAsia="宋体" w:cs="Times New Roman"/>
                      <w:b/>
                      <w:bCs/>
                      <w:color w:val="auto"/>
                      <w:kern w:val="24"/>
                      <w:highlight w:val="none"/>
                    </w:rPr>
                  </w:pPr>
                  <w:r>
                    <w:rPr>
                      <w:rFonts w:ascii="Times New Roman" w:hAnsi="Times New Roman" w:eastAsia="宋体" w:cs="Times New Roman"/>
                      <w:b/>
                      <w:bCs/>
                      <w:color w:val="auto"/>
                      <w:kern w:val="24"/>
                      <w:highlight w:val="none"/>
                    </w:rPr>
                    <w:t>投资</w:t>
                  </w:r>
                </w:p>
                <w:p w14:paraId="4F50F8F4">
                  <w:pPr>
                    <w:pageBreakBefore w:val="0"/>
                    <w:kinsoku/>
                    <w:overflowPunct/>
                    <w:topLinePunct w:val="0"/>
                    <w:bidi w:val="0"/>
                    <w:adjustRightInd/>
                    <w:snapToGrid/>
                    <w:jc w:val="center"/>
                    <w:rPr>
                      <w:rFonts w:ascii="Times New Roman" w:hAnsi="Times New Roman" w:eastAsia="宋体" w:cs="Times New Roman"/>
                      <w:b/>
                      <w:bCs/>
                      <w:color w:val="auto"/>
                      <w:kern w:val="24"/>
                      <w:highlight w:val="none"/>
                    </w:rPr>
                  </w:pPr>
                  <w:r>
                    <w:rPr>
                      <w:rFonts w:ascii="Times New Roman" w:hAnsi="Times New Roman" w:eastAsia="宋体" w:cs="Times New Roman"/>
                      <w:b/>
                      <w:bCs/>
                      <w:color w:val="auto"/>
                      <w:kern w:val="24"/>
                      <w:highlight w:val="none"/>
                    </w:rPr>
                    <w:t>（万元）</w:t>
                  </w:r>
                </w:p>
              </w:tc>
            </w:tr>
            <w:tr w14:paraId="0513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restart"/>
                  <w:tcBorders>
                    <w:top w:val="single" w:color="auto" w:sz="4" w:space="0"/>
                    <w:left w:val="single" w:color="auto" w:sz="4" w:space="0"/>
                    <w:right w:val="single" w:color="auto" w:sz="4" w:space="0"/>
                  </w:tcBorders>
                  <w:vAlign w:val="center"/>
                </w:tcPr>
                <w:p w14:paraId="1E1B9F44">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r>
                    <w:rPr>
                      <w:rFonts w:ascii="Times New Roman" w:hAnsi="Times New Roman" w:eastAsia="宋体" w:cs="Times New Roman"/>
                      <w:color w:val="auto"/>
                      <w:kern w:val="24"/>
                      <w:highlight w:val="none"/>
                    </w:rPr>
                    <w:t>废水治理</w:t>
                  </w:r>
                </w:p>
              </w:tc>
              <w:tc>
                <w:tcPr>
                  <w:tcW w:w="2107" w:type="dxa"/>
                  <w:tcBorders>
                    <w:top w:val="single" w:color="auto" w:sz="4" w:space="0"/>
                    <w:left w:val="single" w:color="auto" w:sz="4" w:space="0"/>
                    <w:bottom w:val="single" w:color="auto" w:sz="4" w:space="0"/>
                    <w:right w:val="single" w:color="auto" w:sz="4" w:space="0"/>
                  </w:tcBorders>
                  <w:vAlign w:val="center"/>
                </w:tcPr>
                <w:p w14:paraId="134976C5">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r>
                    <w:rPr>
                      <w:rFonts w:ascii="Times New Roman" w:hAnsi="Times New Roman" w:eastAsia="宋体" w:cs="Times New Roman"/>
                      <w:color w:val="auto"/>
                      <w:highlight w:val="none"/>
                    </w:rPr>
                    <w:t>生活污水</w:t>
                  </w:r>
                </w:p>
              </w:tc>
              <w:tc>
                <w:tcPr>
                  <w:tcW w:w="3331" w:type="dxa"/>
                  <w:tcBorders>
                    <w:top w:val="single" w:color="auto" w:sz="4" w:space="0"/>
                    <w:left w:val="single" w:color="auto" w:sz="4" w:space="0"/>
                    <w:bottom w:val="single" w:color="auto" w:sz="4" w:space="0"/>
                    <w:right w:val="single" w:color="auto" w:sz="4" w:space="0"/>
                  </w:tcBorders>
                  <w:vAlign w:val="center"/>
                </w:tcPr>
                <w:p w14:paraId="598A6305">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r>
                    <w:rPr>
                      <w:rFonts w:ascii="Times New Roman" w:hAnsi="Times New Roman" w:eastAsia="宋体" w:cs="Times New Roman"/>
                      <w:color w:val="auto"/>
                      <w:highlight w:val="none"/>
                    </w:rPr>
                    <w:t>依托已建化粪池处理</w:t>
                  </w:r>
                </w:p>
              </w:tc>
              <w:tc>
                <w:tcPr>
                  <w:tcW w:w="1269" w:type="dxa"/>
                  <w:tcBorders>
                    <w:top w:val="single" w:color="auto" w:sz="4" w:space="0"/>
                    <w:left w:val="single" w:color="auto" w:sz="4" w:space="0"/>
                    <w:bottom w:val="single" w:color="auto" w:sz="4" w:space="0"/>
                    <w:right w:val="single" w:color="auto" w:sz="4" w:space="0"/>
                  </w:tcBorders>
                  <w:vAlign w:val="center"/>
                </w:tcPr>
                <w:p w14:paraId="3F1AF040">
                  <w:pPr>
                    <w:pStyle w:val="46"/>
                    <w:pageBreakBefore w:val="0"/>
                    <w:kinsoku/>
                    <w:overflowPunct/>
                    <w:topLinePunct w:val="0"/>
                    <w:bidi w:val="0"/>
                    <w:adjustRightInd/>
                    <w:snapToGrid/>
                    <w:spacing w:before="0" w:after="0" w:line="240" w:lineRule="auto"/>
                    <w:rPr>
                      <w:rFonts w:ascii="Times New Roman" w:hAnsi="Times New Roman" w:eastAsia="宋体" w:cs="Times New Roman"/>
                      <w:color w:val="auto"/>
                      <w:kern w:val="24"/>
                      <w:szCs w:val="21"/>
                      <w:highlight w:val="none"/>
                    </w:rPr>
                  </w:pPr>
                  <w:r>
                    <w:rPr>
                      <w:rFonts w:ascii="Times New Roman" w:hAnsi="Times New Roman" w:eastAsia="宋体" w:cs="Times New Roman"/>
                      <w:color w:val="auto"/>
                      <w:kern w:val="24"/>
                      <w:szCs w:val="21"/>
                      <w:highlight w:val="none"/>
                    </w:rPr>
                    <w:t>0</w:t>
                  </w:r>
                </w:p>
              </w:tc>
            </w:tr>
            <w:tr w14:paraId="7D70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continue"/>
                  <w:tcBorders>
                    <w:left w:val="single" w:color="auto" w:sz="4" w:space="0"/>
                    <w:bottom w:val="single" w:color="auto" w:sz="4" w:space="0"/>
                    <w:right w:val="single" w:color="auto" w:sz="4" w:space="0"/>
                  </w:tcBorders>
                  <w:vAlign w:val="center"/>
                </w:tcPr>
                <w:p w14:paraId="455C5D48">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p>
              </w:tc>
              <w:tc>
                <w:tcPr>
                  <w:tcW w:w="2107" w:type="dxa"/>
                  <w:tcBorders>
                    <w:top w:val="single" w:color="auto" w:sz="4" w:space="0"/>
                    <w:left w:val="single" w:color="auto" w:sz="4" w:space="0"/>
                    <w:bottom w:val="single" w:color="auto" w:sz="4" w:space="0"/>
                    <w:right w:val="single" w:color="auto" w:sz="4" w:space="0"/>
                  </w:tcBorders>
                  <w:vAlign w:val="center"/>
                </w:tcPr>
                <w:p w14:paraId="1B5A4D3D">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生产废水</w:t>
                  </w:r>
                </w:p>
              </w:tc>
              <w:tc>
                <w:tcPr>
                  <w:tcW w:w="3331" w:type="dxa"/>
                  <w:tcBorders>
                    <w:top w:val="single" w:color="auto" w:sz="4" w:space="0"/>
                    <w:left w:val="single" w:color="auto" w:sz="4" w:space="0"/>
                    <w:bottom w:val="single" w:color="auto" w:sz="4" w:space="0"/>
                    <w:right w:val="single" w:color="auto" w:sz="4" w:space="0"/>
                  </w:tcBorders>
                  <w:vAlign w:val="center"/>
                </w:tcPr>
                <w:p w14:paraId="6587103A">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一体式污水处理设施</w:t>
                  </w:r>
                </w:p>
              </w:tc>
              <w:tc>
                <w:tcPr>
                  <w:tcW w:w="1269" w:type="dxa"/>
                  <w:tcBorders>
                    <w:top w:val="single" w:color="auto" w:sz="4" w:space="0"/>
                    <w:left w:val="single" w:color="auto" w:sz="4" w:space="0"/>
                    <w:bottom w:val="single" w:color="auto" w:sz="4" w:space="0"/>
                    <w:right w:val="single" w:color="auto" w:sz="4" w:space="0"/>
                  </w:tcBorders>
                  <w:vAlign w:val="center"/>
                </w:tcPr>
                <w:p w14:paraId="0BCB0A6F">
                  <w:pPr>
                    <w:pStyle w:val="46"/>
                    <w:pageBreakBefore w:val="0"/>
                    <w:kinsoku/>
                    <w:overflowPunct/>
                    <w:topLinePunct w:val="0"/>
                    <w:bidi w:val="0"/>
                    <w:adjustRightInd/>
                    <w:snapToGrid/>
                    <w:spacing w:before="0" w:after="0" w:line="240" w:lineRule="auto"/>
                    <w:rPr>
                      <w:rFonts w:hint="default" w:ascii="Times New Roman" w:hAnsi="Times New Roman" w:eastAsia="宋体" w:cs="Times New Roman"/>
                      <w:color w:val="auto"/>
                      <w:kern w:val="24"/>
                      <w:szCs w:val="21"/>
                      <w:highlight w:val="none"/>
                      <w:lang w:val="en-US" w:eastAsia="zh-CN"/>
                    </w:rPr>
                  </w:pPr>
                  <w:r>
                    <w:rPr>
                      <w:rFonts w:hint="eastAsia" w:cs="Times New Roman"/>
                      <w:color w:val="auto"/>
                      <w:kern w:val="24"/>
                      <w:szCs w:val="21"/>
                      <w:highlight w:val="none"/>
                      <w:lang w:val="en-US" w:eastAsia="zh-CN"/>
                    </w:rPr>
                    <w:t>30</w:t>
                  </w:r>
                </w:p>
              </w:tc>
            </w:tr>
            <w:tr w14:paraId="51AC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319" w:type="dxa"/>
                  <w:vMerge w:val="restart"/>
                  <w:tcBorders>
                    <w:top w:val="single" w:color="auto" w:sz="4" w:space="0"/>
                    <w:left w:val="single" w:color="auto" w:sz="4" w:space="0"/>
                    <w:right w:val="single" w:color="auto" w:sz="4" w:space="0"/>
                  </w:tcBorders>
                  <w:vAlign w:val="center"/>
                </w:tcPr>
                <w:p w14:paraId="104BA8D7">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r>
                    <w:rPr>
                      <w:rFonts w:ascii="Times New Roman" w:hAnsi="Times New Roman" w:eastAsia="宋体" w:cs="Times New Roman"/>
                      <w:color w:val="auto"/>
                      <w:kern w:val="24"/>
                      <w:highlight w:val="none"/>
                    </w:rPr>
                    <w:t>废气治理</w:t>
                  </w:r>
                </w:p>
              </w:tc>
              <w:tc>
                <w:tcPr>
                  <w:tcW w:w="2107" w:type="dxa"/>
                  <w:tcBorders>
                    <w:top w:val="single" w:color="auto" w:sz="4" w:space="0"/>
                    <w:left w:val="single" w:color="auto" w:sz="4" w:space="0"/>
                    <w:bottom w:val="single" w:color="auto" w:sz="4" w:space="0"/>
                    <w:right w:val="single" w:color="auto" w:sz="4" w:space="0"/>
                  </w:tcBorders>
                  <w:vAlign w:val="center"/>
                </w:tcPr>
                <w:p w14:paraId="2B12BD78">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ascii="Times New Roman" w:hAnsi="Times New Roman" w:eastAsia="宋体" w:cs="Times New Roman"/>
                      <w:color w:val="auto"/>
                      <w:kern w:val="24"/>
                      <w:highlight w:val="none"/>
                      <w:lang w:val="en-US" w:eastAsia="zh-CN"/>
                    </w:rPr>
                    <w:t>下料</w:t>
                  </w:r>
                  <w:r>
                    <w:rPr>
                      <w:rFonts w:hint="eastAsia" w:cs="Times New Roman"/>
                      <w:color w:val="auto"/>
                      <w:kern w:val="24"/>
                      <w:highlight w:val="none"/>
                      <w:lang w:val="en-US" w:eastAsia="zh-CN"/>
                    </w:rPr>
                    <w:t>、焊接、打磨/抛光</w:t>
                  </w:r>
                  <w:r>
                    <w:rPr>
                      <w:rFonts w:hint="eastAsia" w:ascii="Times New Roman" w:hAnsi="Times New Roman" w:eastAsia="宋体" w:cs="Times New Roman"/>
                      <w:color w:val="auto"/>
                      <w:kern w:val="24"/>
                      <w:highlight w:val="none"/>
                      <w:lang w:val="en-US" w:eastAsia="zh-CN"/>
                    </w:rPr>
                    <w:t>粉尘</w:t>
                  </w:r>
                </w:p>
              </w:tc>
              <w:tc>
                <w:tcPr>
                  <w:tcW w:w="3331" w:type="dxa"/>
                  <w:tcBorders>
                    <w:top w:val="single" w:color="auto" w:sz="4" w:space="0"/>
                    <w:left w:val="single" w:color="auto" w:sz="4" w:space="0"/>
                    <w:bottom w:val="single" w:color="auto" w:sz="4" w:space="0"/>
                    <w:right w:val="single" w:color="auto" w:sz="4" w:space="0"/>
                  </w:tcBorders>
                  <w:vAlign w:val="center"/>
                </w:tcPr>
                <w:p w14:paraId="6A1E11E2">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ascii="Times New Roman" w:hAnsi="Times New Roman" w:eastAsia="宋体" w:cs="Times New Roman"/>
                      <w:color w:val="auto"/>
                      <w:kern w:val="24"/>
                      <w:highlight w:val="none"/>
                      <w:lang w:val="en-US" w:eastAsia="zh-CN"/>
                    </w:rPr>
                    <w:t>集气罩+</w:t>
                  </w:r>
                  <w:r>
                    <w:rPr>
                      <w:rFonts w:hint="eastAsia" w:cs="Times New Roman"/>
                      <w:color w:val="auto"/>
                      <w:kern w:val="24"/>
                      <w:highlight w:val="none"/>
                      <w:lang w:val="en-US" w:eastAsia="zh-CN"/>
                    </w:rPr>
                    <w:t>布袋除尘器处理后通过15m高排气筒排放（DA001）</w:t>
                  </w:r>
                </w:p>
              </w:tc>
              <w:tc>
                <w:tcPr>
                  <w:tcW w:w="1269" w:type="dxa"/>
                  <w:tcBorders>
                    <w:top w:val="single" w:color="auto" w:sz="4" w:space="0"/>
                    <w:left w:val="single" w:color="auto" w:sz="4" w:space="0"/>
                    <w:right w:val="single" w:color="auto" w:sz="4" w:space="0"/>
                  </w:tcBorders>
                  <w:vAlign w:val="center"/>
                </w:tcPr>
                <w:p w14:paraId="1A24A79D">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cs="Times New Roman"/>
                      <w:color w:val="auto"/>
                      <w:kern w:val="24"/>
                      <w:highlight w:val="none"/>
                      <w:lang w:val="en-US" w:eastAsia="zh-CN"/>
                    </w:rPr>
                    <w:t>10</w:t>
                  </w:r>
                </w:p>
              </w:tc>
            </w:tr>
            <w:tr w14:paraId="502E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19" w:type="dxa"/>
                  <w:vMerge w:val="continue"/>
                  <w:tcBorders>
                    <w:left w:val="single" w:color="auto" w:sz="4" w:space="0"/>
                    <w:right w:val="single" w:color="auto" w:sz="4" w:space="0"/>
                  </w:tcBorders>
                  <w:vAlign w:val="center"/>
                </w:tcPr>
                <w:p w14:paraId="78478657">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p>
              </w:tc>
              <w:tc>
                <w:tcPr>
                  <w:tcW w:w="2107" w:type="dxa"/>
                  <w:tcBorders>
                    <w:top w:val="single" w:color="auto" w:sz="4" w:space="0"/>
                    <w:left w:val="single" w:color="auto" w:sz="4" w:space="0"/>
                    <w:bottom w:val="single" w:color="auto" w:sz="4" w:space="0"/>
                    <w:right w:val="single" w:color="auto" w:sz="4" w:space="0"/>
                  </w:tcBorders>
                  <w:vAlign w:val="center"/>
                </w:tcPr>
                <w:p w14:paraId="68BA3890">
                  <w:pPr>
                    <w:pageBreakBefore w:val="0"/>
                    <w:kinsoku/>
                    <w:overflowPunct/>
                    <w:topLinePunct w:val="0"/>
                    <w:bidi w:val="0"/>
                    <w:adjustRightInd/>
                    <w:snapToGrid/>
                    <w:jc w:val="center"/>
                    <w:rPr>
                      <w:rFonts w:hint="default" w:cs="Times New Roman"/>
                      <w:color w:val="auto"/>
                      <w:kern w:val="24"/>
                      <w:highlight w:val="none"/>
                      <w:lang w:val="en-US" w:eastAsia="zh-CN"/>
                    </w:rPr>
                  </w:pPr>
                  <w:r>
                    <w:rPr>
                      <w:rFonts w:hint="eastAsia" w:cs="Times New Roman"/>
                      <w:color w:val="auto"/>
                      <w:kern w:val="24"/>
                      <w:highlight w:val="none"/>
                      <w:lang w:val="en-US" w:eastAsia="zh-CN"/>
                    </w:rPr>
                    <w:t>抛丸粉尘</w:t>
                  </w:r>
                </w:p>
              </w:tc>
              <w:tc>
                <w:tcPr>
                  <w:tcW w:w="3331" w:type="dxa"/>
                  <w:tcBorders>
                    <w:top w:val="single" w:color="auto" w:sz="4" w:space="0"/>
                    <w:left w:val="single" w:color="auto" w:sz="4" w:space="0"/>
                    <w:bottom w:val="single" w:color="auto" w:sz="4" w:space="0"/>
                    <w:right w:val="single" w:color="auto" w:sz="4" w:space="0"/>
                  </w:tcBorders>
                  <w:vAlign w:val="center"/>
                </w:tcPr>
                <w:p w14:paraId="7270E557">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cs="Times New Roman"/>
                      <w:color w:val="auto"/>
                      <w:kern w:val="24"/>
                      <w:highlight w:val="none"/>
                      <w:lang w:val="en-US" w:eastAsia="zh-CN"/>
                    </w:rPr>
                    <w:t>负压收集经设备自带布袋除尘器处理后由15m高排气筒排放（DA002）</w:t>
                  </w:r>
                </w:p>
              </w:tc>
              <w:tc>
                <w:tcPr>
                  <w:tcW w:w="1269" w:type="dxa"/>
                  <w:tcBorders>
                    <w:top w:val="single" w:color="auto" w:sz="4" w:space="0"/>
                    <w:left w:val="single" w:color="auto" w:sz="4" w:space="0"/>
                    <w:right w:val="single" w:color="auto" w:sz="4" w:space="0"/>
                  </w:tcBorders>
                  <w:vAlign w:val="center"/>
                </w:tcPr>
                <w:p w14:paraId="40654BBE">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cs="Times New Roman"/>
                      <w:color w:val="auto"/>
                      <w:kern w:val="24"/>
                      <w:highlight w:val="none"/>
                      <w:lang w:val="en-US" w:eastAsia="zh-CN"/>
                    </w:rPr>
                    <w:t>10</w:t>
                  </w:r>
                </w:p>
              </w:tc>
            </w:tr>
            <w:tr w14:paraId="7BE8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319" w:type="dxa"/>
                  <w:vMerge w:val="continue"/>
                  <w:tcBorders>
                    <w:left w:val="single" w:color="auto" w:sz="4" w:space="0"/>
                    <w:right w:val="single" w:color="auto" w:sz="4" w:space="0"/>
                  </w:tcBorders>
                  <w:vAlign w:val="center"/>
                </w:tcPr>
                <w:p w14:paraId="70B1117A">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p>
              </w:tc>
              <w:tc>
                <w:tcPr>
                  <w:tcW w:w="2107" w:type="dxa"/>
                  <w:tcBorders>
                    <w:top w:val="single" w:color="auto" w:sz="4" w:space="0"/>
                    <w:left w:val="single" w:color="auto" w:sz="4" w:space="0"/>
                    <w:bottom w:val="single" w:color="auto" w:sz="4" w:space="0"/>
                    <w:right w:val="single" w:color="auto" w:sz="4" w:space="0"/>
                  </w:tcBorders>
                  <w:vAlign w:val="center"/>
                </w:tcPr>
                <w:p w14:paraId="08F91BDA">
                  <w:pPr>
                    <w:pStyle w:val="39"/>
                    <w:pageBreakBefore w:val="0"/>
                    <w:kinsoku/>
                    <w:overflowPunct/>
                    <w:topLinePunct w:val="0"/>
                    <w:bidi w:val="0"/>
                    <w:adjustRightInd/>
                    <w:snapToGrid/>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喷塑粉尘</w:t>
                  </w:r>
                </w:p>
              </w:tc>
              <w:tc>
                <w:tcPr>
                  <w:tcW w:w="3331" w:type="dxa"/>
                  <w:tcBorders>
                    <w:top w:val="single" w:color="auto" w:sz="4" w:space="0"/>
                    <w:left w:val="single" w:color="auto" w:sz="4" w:space="0"/>
                    <w:right w:val="single" w:color="auto" w:sz="4" w:space="0"/>
                  </w:tcBorders>
                  <w:vAlign w:val="center"/>
                </w:tcPr>
                <w:p w14:paraId="336702F8">
                  <w:pPr>
                    <w:pageBreakBefore w:val="0"/>
                    <w:kinsoku/>
                    <w:overflowPunct/>
                    <w:topLinePunct w:val="0"/>
                    <w:bidi w:val="0"/>
                    <w:adjustRightInd/>
                    <w:snapToGrid/>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密闭负压收集+滤芯除尘</w:t>
                  </w:r>
                  <w:r>
                    <w:rPr>
                      <w:rFonts w:hint="eastAsia" w:cs="Times New Roman"/>
                      <w:color w:val="auto"/>
                      <w:highlight w:val="none"/>
                      <w:lang w:val="en-US" w:eastAsia="zh-CN"/>
                    </w:rPr>
                    <w:t>+布袋除尘器</w:t>
                  </w:r>
                  <w:r>
                    <w:rPr>
                      <w:rFonts w:hint="eastAsia" w:ascii="Times New Roman" w:hAnsi="Times New Roman" w:eastAsia="宋体" w:cs="Times New Roman"/>
                      <w:color w:val="auto"/>
                      <w:highlight w:val="none"/>
                      <w:lang w:val="en-US" w:eastAsia="zh-CN"/>
                    </w:rPr>
                    <w:t>处理后由</w:t>
                  </w:r>
                  <w:r>
                    <w:rPr>
                      <w:rFonts w:hint="eastAsia" w:cs="Times New Roman"/>
                      <w:color w:val="auto"/>
                      <w:highlight w:val="none"/>
                      <w:lang w:val="en-US" w:eastAsia="zh-CN"/>
                    </w:rPr>
                    <w:t>15</w:t>
                  </w:r>
                  <w:r>
                    <w:rPr>
                      <w:rFonts w:hint="eastAsia" w:ascii="Times New Roman" w:hAnsi="Times New Roman" w:eastAsia="宋体" w:cs="Times New Roman"/>
                      <w:color w:val="auto"/>
                      <w:highlight w:val="none"/>
                      <w:lang w:val="en-US" w:eastAsia="zh-CN"/>
                    </w:rPr>
                    <w:t>m高排气筒排放（DA00</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w:t>
                  </w:r>
                </w:p>
              </w:tc>
              <w:tc>
                <w:tcPr>
                  <w:tcW w:w="1269" w:type="dxa"/>
                  <w:tcBorders>
                    <w:top w:val="single" w:color="auto" w:sz="4" w:space="0"/>
                    <w:left w:val="single" w:color="auto" w:sz="4" w:space="0"/>
                    <w:right w:val="single" w:color="auto" w:sz="4" w:space="0"/>
                  </w:tcBorders>
                  <w:vAlign w:val="center"/>
                </w:tcPr>
                <w:p w14:paraId="30736297">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ascii="Times New Roman" w:hAnsi="Times New Roman" w:eastAsia="宋体" w:cs="Times New Roman"/>
                      <w:color w:val="auto"/>
                      <w:kern w:val="24"/>
                      <w:highlight w:val="none"/>
                      <w:lang w:val="en-US" w:eastAsia="zh-CN"/>
                    </w:rPr>
                    <w:t>20</w:t>
                  </w:r>
                </w:p>
              </w:tc>
            </w:tr>
            <w:tr w14:paraId="5A892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319" w:type="dxa"/>
                  <w:vMerge w:val="continue"/>
                  <w:tcBorders>
                    <w:left w:val="single" w:color="auto" w:sz="4" w:space="0"/>
                    <w:right w:val="single" w:color="auto" w:sz="4" w:space="0"/>
                  </w:tcBorders>
                  <w:vAlign w:val="center"/>
                </w:tcPr>
                <w:p w14:paraId="1EECB4F8">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p>
              </w:tc>
              <w:tc>
                <w:tcPr>
                  <w:tcW w:w="2107" w:type="dxa"/>
                  <w:tcBorders>
                    <w:top w:val="single" w:color="auto" w:sz="4" w:space="0"/>
                    <w:left w:val="single" w:color="auto" w:sz="4" w:space="0"/>
                    <w:bottom w:val="single" w:color="auto" w:sz="4" w:space="0"/>
                    <w:right w:val="single" w:color="auto" w:sz="4" w:space="0"/>
                  </w:tcBorders>
                  <w:vAlign w:val="center"/>
                </w:tcPr>
                <w:p w14:paraId="374923A5">
                  <w:pPr>
                    <w:pStyle w:val="39"/>
                    <w:pageBreakBefore w:val="0"/>
                    <w:kinsoku/>
                    <w:overflowPunct/>
                    <w:topLinePunct w:val="0"/>
                    <w:bidi w:val="0"/>
                    <w:adjustRightInd/>
                    <w:snapToGrid/>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固化</w:t>
                  </w:r>
                  <w:r>
                    <w:rPr>
                      <w:rFonts w:hint="eastAsia" w:cs="Times New Roman"/>
                      <w:color w:val="auto"/>
                      <w:highlight w:val="none"/>
                      <w:lang w:val="en-US" w:eastAsia="zh-CN"/>
                    </w:rPr>
                    <w:t>/烘干</w:t>
                  </w:r>
                  <w:r>
                    <w:rPr>
                      <w:rFonts w:hint="eastAsia" w:ascii="Times New Roman" w:hAnsi="Times New Roman" w:eastAsia="宋体" w:cs="Times New Roman"/>
                      <w:color w:val="auto"/>
                      <w:highlight w:val="none"/>
                      <w:lang w:val="en-US" w:eastAsia="zh-CN"/>
                    </w:rPr>
                    <w:t>废气</w:t>
                  </w:r>
                </w:p>
              </w:tc>
              <w:tc>
                <w:tcPr>
                  <w:tcW w:w="3331" w:type="dxa"/>
                  <w:tcBorders>
                    <w:left w:val="single" w:color="auto" w:sz="4" w:space="0"/>
                    <w:bottom w:val="single" w:color="auto" w:sz="4" w:space="0"/>
                    <w:right w:val="single" w:color="auto" w:sz="4" w:space="0"/>
                  </w:tcBorders>
                  <w:vAlign w:val="center"/>
                </w:tcPr>
                <w:p w14:paraId="37B19F62">
                  <w:pPr>
                    <w:pageBreakBefore w:val="0"/>
                    <w:kinsoku/>
                    <w:overflowPunct/>
                    <w:topLinePunct w:val="0"/>
                    <w:bidi w:val="0"/>
                    <w:adjustRightInd/>
                    <w:snapToGrid/>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密闭负压收集</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风冷+</w:t>
                  </w:r>
                  <w:r>
                    <w:rPr>
                      <w:rFonts w:hint="eastAsia" w:ascii="Times New Roman" w:hAnsi="Times New Roman" w:eastAsia="宋体" w:cs="Times New Roman"/>
                      <w:color w:val="auto"/>
                      <w:szCs w:val="22"/>
                      <w:highlight w:val="none"/>
                      <w:lang w:val="en-US" w:eastAsia="zh-CN"/>
                    </w:rPr>
                    <w:t>二级活性炭装置处理后由</w:t>
                  </w:r>
                  <w:r>
                    <w:rPr>
                      <w:rFonts w:hint="eastAsia" w:cs="Times New Roman"/>
                      <w:color w:val="auto"/>
                      <w:szCs w:val="22"/>
                      <w:highlight w:val="none"/>
                      <w:lang w:val="en-US" w:eastAsia="zh-CN"/>
                    </w:rPr>
                    <w:t>15</w:t>
                  </w:r>
                  <w:r>
                    <w:rPr>
                      <w:rFonts w:hint="eastAsia" w:ascii="Times New Roman" w:hAnsi="Times New Roman" w:eastAsia="宋体" w:cs="Times New Roman"/>
                      <w:color w:val="auto"/>
                      <w:szCs w:val="22"/>
                      <w:highlight w:val="none"/>
                      <w:lang w:val="en-US" w:eastAsia="zh-CN"/>
                    </w:rPr>
                    <w:t>m高排气筒排放（DA00</w:t>
                  </w:r>
                  <w:r>
                    <w:rPr>
                      <w:rFonts w:hint="eastAsia" w:cs="Times New Roman"/>
                      <w:color w:val="auto"/>
                      <w:szCs w:val="22"/>
                      <w:highlight w:val="none"/>
                      <w:lang w:val="en-US" w:eastAsia="zh-CN"/>
                    </w:rPr>
                    <w:t>4</w:t>
                  </w:r>
                  <w:r>
                    <w:rPr>
                      <w:rFonts w:hint="eastAsia" w:ascii="Times New Roman" w:hAnsi="Times New Roman" w:eastAsia="宋体" w:cs="Times New Roman"/>
                      <w:color w:val="auto"/>
                      <w:szCs w:val="22"/>
                      <w:highlight w:val="none"/>
                      <w:lang w:val="en-US" w:eastAsia="zh-CN"/>
                    </w:rPr>
                    <w:t>）</w:t>
                  </w:r>
                </w:p>
              </w:tc>
              <w:tc>
                <w:tcPr>
                  <w:tcW w:w="1269" w:type="dxa"/>
                  <w:tcBorders>
                    <w:left w:val="single" w:color="auto" w:sz="4" w:space="0"/>
                    <w:bottom w:val="single" w:color="auto" w:sz="4" w:space="0"/>
                    <w:right w:val="single" w:color="auto" w:sz="4" w:space="0"/>
                  </w:tcBorders>
                  <w:vAlign w:val="center"/>
                </w:tcPr>
                <w:p w14:paraId="34F0C52D">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ascii="Times New Roman" w:hAnsi="Times New Roman" w:eastAsia="宋体" w:cs="Times New Roman"/>
                      <w:color w:val="auto"/>
                      <w:kern w:val="24"/>
                      <w:highlight w:val="none"/>
                      <w:lang w:val="en-US" w:eastAsia="zh-CN"/>
                    </w:rPr>
                    <w:t>25</w:t>
                  </w:r>
                </w:p>
              </w:tc>
            </w:tr>
            <w:tr w14:paraId="14D5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319" w:type="dxa"/>
                  <w:vMerge w:val="continue"/>
                  <w:tcBorders>
                    <w:left w:val="single" w:color="auto" w:sz="4" w:space="0"/>
                    <w:right w:val="single" w:color="auto" w:sz="4" w:space="0"/>
                  </w:tcBorders>
                  <w:vAlign w:val="center"/>
                </w:tcPr>
                <w:p w14:paraId="53DC7EEA">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p>
              </w:tc>
              <w:tc>
                <w:tcPr>
                  <w:tcW w:w="2107" w:type="dxa"/>
                  <w:tcBorders>
                    <w:top w:val="single" w:color="auto" w:sz="4" w:space="0"/>
                    <w:left w:val="single" w:color="auto" w:sz="4" w:space="0"/>
                    <w:bottom w:val="single" w:color="auto" w:sz="4" w:space="0"/>
                    <w:right w:val="single" w:color="auto" w:sz="4" w:space="0"/>
                  </w:tcBorders>
                  <w:vAlign w:val="center"/>
                </w:tcPr>
                <w:p w14:paraId="01367CED">
                  <w:pPr>
                    <w:pageBreakBefore w:val="0"/>
                    <w:kinsoku/>
                    <w:overflowPunct/>
                    <w:topLinePunct w:val="0"/>
                    <w:bidi w:val="0"/>
                    <w:adjustRightInd/>
                    <w:snapToGrid/>
                    <w:jc w:val="center"/>
                    <w:rPr>
                      <w:rFonts w:hint="eastAsia" w:ascii="Times New Roman" w:hAnsi="Times New Roman" w:eastAsia="宋体" w:cs="Times New Roman"/>
                      <w:color w:val="auto"/>
                      <w:kern w:val="24"/>
                      <w:highlight w:val="none"/>
                      <w:lang w:val="en-US" w:eastAsia="zh-CN"/>
                    </w:rPr>
                  </w:pPr>
                  <w:r>
                    <w:rPr>
                      <w:rFonts w:ascii="Times New Roman" w:hAnsi="Times New Roman" w:eastAsia="宋体" w:cs="Times New Roman"/>
                      <w:color w:val="auto"/>
                      <w:kern w:val="24"/>
                      <w:highlight w:val="none"/>
                    </w:rPr>
                    <w:t>喷漆</w:t>
                  </w:r>
                  <w:r>
                    <w:rPr>
                      <w:rFonts w:hint="eastAsia" w:cs="Times New Roman"/>
                      <w:color w:val="auto"/>
                      <w:kern w:val="24"/>
                      <w:highlight w:val="none"/>
                      <w:lang w:val="en-US" w:eastAsia="zh-CN"/>
                    </w:rPr>
                    <w:t>废气</w:t>
                  </w:r>
                </w:p>
              </w:tc>
              <w:tc>
                <w:tcPr>
                  <w:tcW w:w="3331" w:type="dxa"/>
                  <w:tcBorders>
                    <w:top w:val="single" w:color="auto" w:sz="4" w:space="0"/>
                    <w:left w:val="single" w:color="auto" w:sz="4" w:space="0"/>
                    <w:bottom w:val="single" w:color="auto" w:sz="4" w:space="0"/>
                    <w:right w:val="single" w:color="auto" w:sz="4" w:space="0"/>
                  </w:tcBorders>
                  <w:vAlign w:val="center"/>
                </w:tcPr>
                <w:p w14:paraId="5C97A6E2">
                  <w:pPr>
                    <w:pageBreakBefore w:val="0"/>
                    <w:kinsoku/>
                    <w:overflowPunct/>
                    <w:topLinePunct w:val="0"/>
                    <w:bidi w:val="0"/>
                    <w:adjustRightInd/>
                    <w:snapToGrid/>
                    <w:jc w:val="center"/>
                    <w:rPr>
                      <w:rFonts w:ascii="Times New Roman" w:hAnsi="Times New Roman" w:eastAsia="宋体" w:cs="Times New Roman"/>
                      <w:color w:val="auto"/>
                      <w:kern w:val="24"/>
                      <w:highlight w:val="none"/>
                      <w:lang w:eastAsia="zh-CN"/>
                    </w:rPr>
                  </w:pPr>
                  <w:r>
                    <w:rPr>
                      <w:rFonts w:hint="eastAsia" w:ascii="Times New Roman" w:hAnsi="Times New Roman" w:eastAsia="宋体" w:cs="Times New Roman"/>
                      <w:color w:val="auto"/>
                      <w:kern w:val="24"/>
                      <w:highlight w:val="none"/>
                      <w:lang w:val="en-US" w:eastAsia="zh-CN"/>
                    </w:rPr>
                    <w:t>密闭</w:t>
                  </w:r>
                  <w:r>
                    <w:rPr>
                      <w:rFonts w:ascii="Times New Roman" w:hAnsi="Times New Roman" w:eastAsia="宋体" w:cs="Times New Roman"/>
                      <w:color w:val="auto"/>
                      <w:kern w:val="24"/>
                      <w:highlight w:val="none"/>
                      <w:lang w:eastAsia="zh-CN"/>
                    </w:rPr>
                    <w:t>负压收集后经干式过滤+二级活性炭吸附装置处理后由</w:t>
                  </w:r>
                  <w:r>
                    <w:rPr>
                      <w:rFonts w:hint="eastAsia" w:cs="Times New Roman"/>
                      <w:color w:val="auto"/>
                      <w:kern w:val="24"/>
                      <w:highlight w:val="none"/>
                      <w:lang w:val="en-US" w:eastAsia="zh-CN"/>
                    </w:rPr>
                    <w:t>15</w:t>
                  </w:r>
                  <w:r>
                    <w:rPr>
                      <w:rFonts w:hint="eastAsia" w:ascii="Times New Roman" w:hAnsi="Times New Roman" w:eastAsia="宋体" w:cs="Times New Roman"/>
                      <w:color w:val="auto"/>
                      <w:kern w:val="24"/>
                      <w:highlight w:val="none"/>
                      <w:lang w:eastAsia="zh-CN"/>
                    </w:rPr>
                    <w:t>m</w:t>
                  </w:r>
                  <w:r>
                    <w:rPr>
                      <w:rFonts w:ascii="Times New Roman" w:hAnsi="Times New Roman" w:eastAsia="宋体" w:cs="Times New Roman"/>
                      <w:color w:val="auto"/>
                      <w:kern w:val="24"/>
                      <w:highlight w:val="none"/>
                      <w:lang w:eastAsia="zh-CN"/>
                    </w:rPr>
                    <w:t>高排气筒排放（DA00</w:t>
                  </w:r>
                  <w:r>
                    <w:rPr>
                      <w:rFonts w:hint="eastAsia" w:cs="Times New Roman"/>
                      <w:color w:val="auto"/>
                      <w:kern w:val="24"/>
                      <w:highlight w:val="none"/>
                      <w:lang w:val="en-US" w:eastAsia="zh-CN"/>
                    </w:rPr>
                    <w:t>5</w:t>
                  </w:r>
                  <w:r>
                    <w:rPr>
                      <w:rFonts w:ascii="Times New Roman" w:hAnsi="Times New Roman" w:eastAsia="宋体" w:cs="Times New Roman"/>
                      <w:color w:val="auto"/>
                      <w:kern w:val="24"/>
                      <w:highlight w:val="none"/>
                      <w:lang w:eastAsia="zh-CN"/>
                    </w:rPr>
                    <w:t>）</w:t>
                  </w:r>
                </w:p>
              </w:tc>
              <w:tc>
                <w:tcPr>
                  <w:tcW w:w="1269" w:type="dxa"/>
                  <w:tcBorders>
                    <w:top w:val="single" w:color="auto" w:sz="4" w:space="0"/>
                    <w:left w:val="single" w:color="auto" w:sz="4" w:space="0"/>
                    <w:bottom w:val="single" w:color="auto" w:sz="4" w:space="0"/>
                    <w:right w:val="single" w:color="auto" w:sz="4" w:space="0"/>
                  </w:tcBorders>
                  <w:vAlign w:val="center"/>
                </w:tcPr>
                <w:p w14:paraId="16623436">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ascii="Times New Roman" w:hAnsi="Times New Roman" w:eastAsia="宋体" w:cs="Times New Roman"/>
                      <w:color w:val="auto"/>
                      <w:kern w:val="24"/>
                      <w:highlight w:val="none"/>
                      <w:lang w:val="en-US" w:eastAsia="zh-CN"/>
                    </w:rPr>
                    <w:t>35</w:t>
                  </w:r>
                </w:p>
              </w:tc>
            </w:tr>
            <w:tr w14:paraId="6AE5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dxa"/>
                  <w:tcBorders>
                    <w:top w:val="single" w:color="auto" w:sz="4" w:space="0"/>
                    <w:left w:val="single" w:color="auto" w:sz="4" w:space="0"/>
                    <w:bottom w:val="single" w:color="auto" w:sz="4" w:space="0"/>
                    <w:right w:val="single" w:color="auto" w:sz="4" w:space="0"/>
                  </w:tcBorders>
                  <w:vAlign w:val="center"/>
                </w:tcPr>
                <w:p w14:paraId="6CFFDC43">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r>
                    <w:rPr>
                      <w:rFonts w:ascii="Times New Roman" w:hAnsi="Times New Roman" w:eastAsia="宋体" w:cs="Times New Roman"/>
                      <w:color w:val="auto"/>
                      <w:kern w:val="24"/>
                      <w:highlight w:val="none"/>
                    </w:rPr>
                    <w:t>噪声治理</w:t>
                  </w:r>
                </w:p>
              </w:tc>
              <w:tc>
                <w:tcPr>
                  <w:tcW w:w="2107" w:type="dxa"/>
                  <w:tcBorders>
                    <w:top w:val="single" w:color="auto" w:sz="4" w:space="0"/>
                    <w:left w:val="single" w:color="auto" w:sz="4" w:space="0"/>
                    <w:bottom w:val="single" w:color="auto" w:sz="4" w:space="0"/>
                    <w:right w:val="single" w:color="auto" w:sz="4" w:space="0"/>
                  </w:tcBorders>
                  <w:vAlign w:val="center"/>
                </w:tcPr>
                <w:p w14:paraId="41FEAB03">
                  <w:pPr>
                    <w:pageBreakBefore w:val="0"/>
                    <w:kinsoku/>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设备运转噪声</w:t>
                  </w:r>
                </w:p>
              </w:tc>
              <w:tc>
                <w:tcPr>
                  <w:tcW w:w="3331" w:type="dxa"/>
                  <w:tcBorders>
                    <w:top w:val="single" w:color="auto" w:sz="4" w:space="0"/>
                    <w:left w:val="single" w:color="auto" w:sz="4" w:space="0"/>
                    <w:bottom w:val="single" w:color="auto" w:sz="4" w:space="0"/>
                    <w:right w:val="single" w:color="auto" w:sz="4" w:space="0"/>
                  </w:tcBorders>
                  <w:vAlign w:val="center"/>
                </w:tcPr>
                <w:p w14:paraId="28C86282">
                  <w:pPr>
                    <w:pageBreakBefore w:val="0"/>
                    <w:kinsoku/>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合理布局、减振、隔声</w:t>
                  </w:r>
                </w:p>
              </w:tc>
              <w:tc>
                <w:tcPr>
                  <w:tcW w:w="1269" w:type="dxa"/>
                  <w:tcBorders>
                    <w:top w:val="single" w:color="auto" w:sz="4" w:space="0"/>
                    <w:left w:val="single" w:color="auto" w:sz="4" w:space="0"/>
                    <w:bottom w:val="single" w:color="auto" w:sz="4" w:space="0"/>
                    <w:right w:val="single" w:color="auto" w:sz="4" w:space="0"/>
                  </w:tcBorders>
                  <w:vAlign w:val="center"/>
                </w:tcPr>
                <w:p w14:paraId="6F73E8EF">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ascii="Times New Roman" w:hAnsi="Times New Roman" w:eastAsia="宋体" w:cs="Times New Roman"/>
                      <w:color w:val="auto"/>
                      <w:kern w:val="24"/>
                      <w:highlight w:val="none"/>
                      <w:lang w:val="en-US" w:eastAsia="zh-CN"/>
                    </w:rPr>
                    <w:t>5</w:t>
                  </w:r>
                </w:p>
              </w:tc>
            </w:tr>
            <w:tr w14:paraId="7DF7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dxa"/>
                  <w:tcBorders>
                    <w:top w:val="single" w:color="auto" w:sz="4" w:space="0"/>
                    <w:left w:val="single" w:color="auto" w:sz="4" w:space="0"/>
                    <w:bottom w:val="single" w:color="auto" w:sz="4" w:space="0"/>
                    <w:right w:val="single" w:color="auto" w:sz="4" w:space="0"/>
                  </w:tcBorders>
                  <w:vAlign w:val="center"/>
                </w:tcPr>
                <w:p w14:paraId="79D2C887">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r>
                    <w:rPr>
                      <w:rFonts w:ascii="Times New Roman" w:hAnsi="Times New Roman" w:eastAsia="宋体" w:cs="Times New Roman"/>
                      <w:color w:val="auto"/>
                      <w:kern w:val="24"/>
                      <w:highlight w:val="none"/>
                    </w:rPr>
                    <w:t>固废治理</w:t>
                  </w:r>
                </w:p>
              </w:tc>
              <w:tc>
                <w:tcPr>
                  <w:tcW w:w="2107" w:type="dxa"/>
                  <w:tcBorders>
                    <w:top w:val="single" w:color="auto" w:sz="4" w:space="0"/>
                    <w:left w:val="single" w:color="auto" w:sz="4" w:space="0"/>
                    <w:bottom w:val="single" w:color="auto" w:sz="4" w:space="0"/>
                    <w:right w:val="single" w:color="auto" w:sz="4" w:space="0"/>
                  </w:tcBorders>
                  <w:vAlign w:val="center"/>
                </w:tcPr>
                <w:p w14:paraId="176CFF59">
                  <w:pPr>
                    <w:pageBreakBefore w:val="0"/>
                    <w:kinsoku/>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生活垃圾、危险废物、一般固体废物</w:t>
                  </w:r>
                </w:p>
              </w:tc>
              <w:tc>
                <w:tcPr>
                  <w:tcW w:w="3331" w:type="dxa"/>
                  <w:tcBorders>
                    <w:top w:val="single" w:color="auto" w:sz="4" w:space="0"/>
                    <w:left w:val="single" w:color="auto" w:sz="4" w:space="0"/>
                    <w:bottom w:val="single" w:color="auto" w:sz="4" w:space="0"/>
                    <w:right w:val="single" w:color="auto" w:sz="4" w:space="0"/>
                  </w:tcBorders>
                  <w:vAlign w:val="center"/>
                </w:tcPr>
                <w:p w14:paraId="4E8993DA">
                  <w:pPr>
                    <w:pageBreakBefore w:val="0"/>
                    <w:kinsoku/>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垃圾桶，一般固废暂存点，危险废物暂存间</w:t>
                  </w:r>
                </w:p>
              </w:tc>
              <w:tc>
                <w:tcPr>
                  <w:tcW w:w="1269" w:type="dxa"/>
                  <w:tcBorders>
                    <w:top w:val="single" w:color="auto" w:sz="4" w:space="0"/>
                    <w:left w:val="single" w:color="auto" w:sz="4" w:space="0"/>
                    <w:bottom w:val="single" w:color="auto" w:sz="4" w:space="0"/>
                    <w:right w:val="single" w:color="auto" w:sz="4" w:space="0"/>
                  </w:tcBorders>
                  <w:vAlign w:val="center"/>
                </w:tcPr>
                <w:p w14:paraId="7D2B5EC7">
                  <w:pPr>
                    <w:pageBreakBefore w:val="0"/>
                    <w:kinsoku/>
                    <w:overflowPunct/>
                    <w:topLinePunct w:val="0"/>
                    <w:bidi w:val="0"/>
                    <w:adjustRightInd/>
                    <w:snapToGrid/>
                    <w:jc w:val="center"/>
                    <w:rPr>
                      <w:rFonts w:hint="eastAsia" w:ascii="Times New Roman" w:hAnsi="Times New Roman" w:eastAsia="宋体" w:cs="Times New Roman"/>
                      <w:color w:val="auto"/>
                      <w:kern w:val="24"/>
                      <w:highlight w:val="none"/>
                      <w:lang w:val="en-US" w:eastAsia="zh-CN"/>
                    </w:rPr>
                  </w:pPr>
                  <w:r>
                    <w:rPr>
                      <w:rFonts w:ascii="Times New Roman" w:hAnsi="Times New Roman" w:eastAsia="宋体" w:cs="Times New Roman"/>
                      <w:color w:val="auto"/>
                      <w:kern w:val="24"/>
                      <w:highlight w:val="none"/>
                    </w:rPr>
                    <w:t>1</w:t>
                  </w:r>
                  <w:r>
                    <w:rPr>
                      <w:rFonts w:hint="eastAsia" w:cs="Times New Roman"/>
                      <w:color w:val="auto"/>
                      <w:kern w:val="24"/>
                      <w:highlight w:val="none"/>
                      <w:lang w:val="en-US" w:eastAsia="zh-CN"/>
                    </w:rPr>
                    <w:t>5</w:t>
                  </w:r>
                </w:p>
              </w:tc>
            </w:tr>
            <w:tr w14:paraId="0CA7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dxa"/>
                  <w:tcBorders>
                    <w:top w:val="single" w:color="auto" w:sz="4" w:space="0"/>
                    <w:left w:val="single" w:color="auto" w:sz="4" w:space="0"/>
                    <w:bottom w:val="single" w:color="auto" w:sz="4" w:space="0"/>
                    <w:right w:val="single" w:color="auto" w:sz="4" w:space="0"/>
                  </w:tcBorders>
                  <w:vAlign w:val="center"/>
                </w:tcPr>
                <w:p w14:paraId="3CD6D55C">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r>
                    <w:rPr>
                      <w:rFonts w:ascii="Times New Roman" w:hAnsi="Times New Roman" w:eastAsia="宋体" w:cs="Times New Roman"/>
                      <w:color w:val="auto"/>
                      <w:kern w:val="24"/>
                      <w:highlight w:val="none"/>
                    </w:rPr>
                    <w:t>地下水及土壤</w:t>
                  </w:r>
                </w:p>
              </w:tc>
              <w:tc>
                <w:tcPr>
                  <w:tcW w:w="2107" w:type="dxa"/>
                  <w:tcBorders>
                    <w:top w:val="single" w:color="auto" w:sz="4" w:space="0"/>
                    <w:left w:val="single" w:color="auto" w:sz="4" w:space="0"/>
                    <w:bottom w:val="single" w:color="auto" w:sz="4" w:space="0"/>
                    <w:right w:val="single" w:color="auto" w:sz="4" w:space="0"/>
                  </w:tcBorders>
                  <w:vAlign w:val="center"/>
                </w:tcPr>
                <w:p w14:paraId="2F1FBB50">
                  <w:pPr>
                    <w:pageBreakBefore w:val="0"/>
                    <w:kinsoku/>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地下水及土壤</w:t>
                  </w:r>
                </w:p>
              </w:tc>
              <w:tc>
                <w:tcPr>
                  <w:tcW w:w="3331" w:type="dxa"/>
                  <w:tcBorders>
                    <w:top w:val="single" w:color="auto" w:sz="4" w:space="0"/>
                    <w:left w:val="single" w:color="auto" w:sz="4" w:space="0"/>
                    <w:bottom w:val="single" w:color="auto" w:sz="4" w:space="0"/>
                    <w:right w:val="single" w:color="auto" w:sz="4" w:space="0"/>
                  </w:tcBorders>
                  <w:vAlign w:val="center"/>
                </w:tcPr>
                <w:p w14:paraId="45DCC901">
                  <w:pPr>
                    <w:pageBreakBefore w:val="0"/>
                    <w:kinsoku/>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厂区分区防渗：喷漆房、</w:t>
                  </w:r>
                  <w:r>
                    <w:rPr>
                      <w:rFonts w:hint="eastAsia" w:cs="Times New Roman"/>
                      <w:color w:val="auto"/>
                      <w:highlight w:val="none"/>
                      <w:lang w:val="en-US" w:eastAsia="zh-CN"/>
                    </w:rPr>
                    <w:t>化学品库</w:t>
                  </w:r>
                  <w:r>
                    <w:rPr>
                      <w:rFonts w:ascii="Times New Roman" w:hAnsi="Times New Roman" w:eastAsia="宋体" w:cs="Times New Roman"/>
                      <w:color w:val="auto"/>
                      <w:highlight w:val="none"/>
                      <w:lang w:eastAsia="zh-CN"/>
                    </w:rPr>
                    <w:t>、</w:t>
                  </w:r>
                  <w:r>
                    <w:rPr>
                      <w:rFonts w:hint="eastAsia" w:cs="Times New Roman"/>
                      <w:color w:val="auto"/>
                      <w:highlight w:val="none"/>
                      <w:lang w:val="en-US" w:eastAsia="zh-CN"/>
                    </w:rPr>
                    <w:t>表面处理区、</w:t>
                  </w:r>
                  <w:r>
                    <w:rPr>
                      <w:rFonts w:ascii="Times New Roman" w:hAnsi="Times New Roman" w:eastAsia="宋体" w:cs="Times New Roman"/>
                      <w:color w:val="auto"/>
                      <w:highlight w:val="none"/>
                      <w:lang w:eastAsia="zh-CN"/>
                    </w:rPr>
                    <w:t>危险废物暂存间等重点防渗</w:t>
                  </w:r>
                </w:p>
              </w:tc>
              <w:tc>
                <w:tcPr>
                  <w:tcW w:w="1269" w:type="dxa"/>
                  <w:tcBorders>
                    <w:top w:val="single" w:color="auto" w:sz="4" w:space="0"/>
                    <w:left w:val="single" w:color="auto" w:sz="4" w:space="0"/>
                    <w:bottom w:val="single" w:color="auto" w:sz="4" w:space="0"/>
                    <w:right w:val="single" w:color="auto" w:sz="4" w:space="0"/>
                  </w:tcBorders>
                  <w:vAlign w:val="center"/>
                </w:tcPr>
                <w:p w14:paraId="41EA773B">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cs="Times New Roman"/>
                      <w:color w:val="auto"/>
                      <w:kern w:val="24"/>
                      <w:highlight w:val="none"/>
                      <w:lang w:val="en-US" w:eastAsia="zh-CN"/>
                    </w:rPr>
                    <w:t>20</w:t>
                  </w:r>
                </w:p>
              </w:tc>
            </w:tr>
            <w:tr w14:paraId="0BCF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dxa"/>
                  <w:tcBorders>
                    <w:top w:val="single" w:color="auto" w:sz="4" w:space="0"/>
                    <w:left w:val="single" w:color="auto" w:sz="4" w:space="0"/>
                    <w:bottom w:val="single" w:color="auto" w:sz="4" w:space="0"/>
                    <w:right w:val="single" w:color="auto" w:sz="4" w:space="0"/>
                  </w:tcBorders>
                  <w:vAlign w:val="center"/>
                </w:tcPr>
                <w:p w14:paraId="5FDF2A46">
                  <w:pPr>
                    <w:pageBreakBefore w:val="0"/>
                    <w:kinsoku/>
                    <w:overflowPunct/>
                    <w:topLinePunct w:val="0"/>
                    <w:bidi w:val="0"/>
                    <w:adjustRightInd/>
                    <w:snapToGrid/>
                    <w:jc w:val="center"/>
                    <w:rPr>
                      <w:rFonts w:ascii="Times New Roman" w:hAnsi="Times New Roman" w:eastAsia="宋体" w:cs="Times New Roman"/>
                      <w:color w:val="auto"/>
                      <w:kern w:val="24"/>
                      <w:highlight w:val="none"/>
                    </w:rPr>
                  </w:pPr>
                  <w:r>
                    <w:rPr>
                      <w:rFonts w:ascii="Times New Roman" w:hAnsi="Times New Roman" w:eastAsia="宋体" w:cs="Times New Roman"/>
                      <w:color w:val="auto"/>
                      <w:kern w:val="24"/>
                      <w:highlight w:val="none"/>
                    </w:rPr>
                    <w:t>环境风险</w:t>
                  </w:r>
                </w:p>
              </w:tc>
              <w:tc>
                <w:tcPr>
                  <w:tcW w:w="2107" w:type="dxa"/>
                  <w:tcBorders>
                    <w:top w:val="single" w:color="auto" w:sz="4" w:space="0"/>
                    <w:left w:val="single" w:color="auto" w:sz="4" w:space="0"/>
                    <w:bottom w:val="single" w:color="auto" w:sz="4" w:space="0"/>
                    <w:right w:val="single" w:color="auto" w:sz="4" w:space="0"/>
                  </w:tcBorders>
                  <w:vAlign w:val="center"/>
                </w:tcPr>
                <w:p w14:paraId="3D8297EA">
                  <w:pPr>
                    <w:pageBreakBefore w:val="0"/>
                    <w:kinsoku/>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环境风险</w:t>
                  </w:r>
                </w:p>
              </w:tc>
              <w:tc>
                <w:tcPr>
                  <w:tcW w:w="3331" w:type="dxa"/>
                  <w:tcBorders>
                    <w:top w:val="single" w:color="auto" w:sz="4" w:space="0"/>
                    <w:left w:val="single" w:color="auto" w:sz="4" w:space="0"/>
                    <w:bottom w:val="single" w:color="auto" w:sz="4" w:space="0"/>
                    <w:right w:val="single" w:color="auto" w:sz="4" w:space="0"/>
                  </w:tcBorders>
                  <w:vAlign w:val="center"/>
                </w:tcPr>
                <w:p w14:paraId="44566C82">
                  <w:pPr>
                    <w:pageBreakBefore w:val="0"/>
                    <w:kinsoku/>
                    <w:overflowPunct/>
                    <w:topLinePunct w:val="0"/>
                    <w:bidi w:val="0"/>
                    <w:adjustRightInd/>
                    <w:snapToGrid/>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编制应急预案，</w:t>
                  </w:r>
                  <w:r>
                    <w:rPr>
                      <w:rFonts w:hint="eastAsia" w:ascii="Times New Roman" w:hAnsi="Times New Roman" w:eastAsia="宋体" w:cs="Times New Roman"/>
                      <w:color w:val="auto"/>
                      <w:highlight w:val="none"/>
                      <w:lang w:eastAsia="zh-CN"/>
                    </w:rPr>
                    <w:t>并</w:t>
                  </w:r>
                  <w:r>
                    <w:rPr>
                      <w:rFonts w:ascii="Times New Roman" w:hAnsi="Times New Roman" w:eastAsia="宋体" w:cs="Times New Roman"/>
                      <w:color w:val="auto"/>
                      <w:highlight w:val="none"/>
                      <w:lang w:eastAsia="zh-CN"/>
                    </w:rPr>
                    <w:t>设置</w:t>
                  </w:r>
                  <w:r>
                    <w:rPr>
                      <w:rFonts w:hint="eastAsia" w:cs="Times New Roman"/>
                      <w:color w:val="auto"/>
                      <w:highlight w:val="none"/>
                      <w:lang w:val="en-US" w:eastAsia="zh-CN"/>
                    </w:rPr>
                    <w:t>化学品库</w:t>
                  </w:r>
                  <w:r>
                    <w:rPr>
                      <w:rFonts w:hint="eastAsia" w:ascii="Times New Roman" w:hAnsi="Times New Roman" w:eastAsia="宋体" w:cs="Times New Roman"/>
                      <w:color w:val="auto"/>
                      <w:highlight w:val="none"/>
                      <w:lang w:eastAsia="zh-CN"/>
                    </w:rPr>
                    <w:t>、危废间等泄漏收集</w:t>
                  </w:r>
                  <w:r>
                    <w:rPr>
                      <w:rFonts w:ascii="Times New Roman" w:hAnsi="Times New Roman" w:eastAsia="宋体" w:cs="Times New Roman"/>
                      <w:color w:val="auto"/>
                      <w:highlight w:val="none"/>
                      <w:lang w:eastAsia="zh-CN"/>
                    </w:rPr>
                    <w:t>应急措施</w:t>
                  </w:r>
                </w:p>
              </w:tc>
              <w:tc>
                <w:tcPr>
                  <w:tcW w:w="1269" w:type="dxa"/>
                  <w:tcBorders>
                    <w:top w:val="single" w:color="auto" w:sz="4" w:space="0"/>
                    <w:left w:val="single" w:color="auto" w:sz="4" w:space="0"/>
                    <w:bottom w:val="single" w:color="auto" w:sz="4" w:space="0"/>
                    <w:right w:val="single" w:color="auto" w:sz="4" w:space="0"/>
                  </w:tcBorders>
                  <w:vAlign w:val="center"/>
                </w:tcPr>
                <w:p w14:paraId="7F9A66F7">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cs="Times New Roman"/>
                      <w:color w:val="auto"/>
                      <w:kern w:val="24"/>
                      <w:highlight w:val="none"/>
                      <w:lang w:val="en-US" w:eastAsia="zh-CN"/>
                    </w:rPr>
                    <w:t>10</w:t>
                  </w:r>
                </w:p>
              </w:tc>
            </w:tr>
            <w:tr w14:paraId="5673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57" w:type="dxa"/>
                  <w:gridSpan w:val="3"/>
                  <w:tcBorders>
                    <w:top w:val="single" w:color="auto" w:sz="4" w:space="0"/>
                    <w:left w:val="single" w:color="auto" w:sz="4" w:space="0"/>
                    <w:bottom w:val="single" w:color="auto" w:sz="4" w:space="0"/>
                    <w:right w:val="single" w:color="auto" w:sz="4" w:space="0"/>
                  </w:tcBorders>
                  <w:vAlign w:val="center"/>
                </w:tcPr>
                <w:p w14:paraId="1FF06017">
                  <w:pPr>
                    <w:pageBreakBefore w:val="0"/>
                    <w:kinsoku/>
                    <w:overflowPunct/>
                    <w:topLinePunct w:val="0"/>
                    <w:bidi w:val="0"/>
                    <w:adjustRightInd/>
                    <w:snapToGrid/>
                    <w:jc w:val="center"/>
                    <w:rPr>
                      <w:rFonts w:ascii="Times New Roman" w:hAnsi="Times New Roman" w:eastAsia="宋体" w:cs="Times New Roman"/>
                      <w:color w:val="auto"/>
                      <w:highlight w:val="none"/>
                    </w:rPr>
                  </w:pPr>
                  <w:r>
                    <w:rPr>
                      <w:rFonts w:ascii="Times New Roman" w:hAnsi="Times New Roman" w:eastAsia="宋体" w:cs="Times New Roman"/>
                      <w:color w:val="auto"/>
                      <w:kern w:val="24"/>
                      <w:highlight w:val="none"/>
                    </w:rPr>
                    <w:t>总计</w:t>
                  </w:r>
                </w:p>
              </w:tc>
              <w:tc>
                <w:tcPr>
                  <w:tcW w:w="1269" w:type="dxa"/>
                  <w:tcBorders>
                    <w:top w:val="single" w:color="auto" w:sz="4" w:space="0"/>
                    <w:left w:val="single" w:color="auto" w:sz="4" w:space="0"/>
                    <w:bottom w:val="single" w:color="auto" w:sz="4" w:space="0"/>
                    <w:right w:val="single" w:color="auto" w:sz="4" w:space="0"/>
                  </w:tcBorders>
                  <w:vAlign w:val="center"/>
                </w:tcPr>
                <w:p w14:paraId="0EDE1C27">
                  <w:pPr>
                    <w:pageBreakBefore w:val="0"/>
                    <w:kinsoku/>
                    <w:overflowPunct/>
                    <w:topLinePunct w:val="0"/>
                    <w:bidi w:val="0"/>
                    <w:adjustRightInd/>
                    <w:snapToGrid/>
                    <w:jc w:val="center"/>
                    <w:rPr>
                      <w:rFonts w:hint="default" w:ascii="Times New Roman" w:hAnsi="Times New Roman" w:eastAsia="宋体" w:cs="Times New Roman"/>
                      <w:color w:val="auto"/>
                      <w:kern w:val="24"/>
                      <w:highlight w:val="none"/>
                      <w:lang w:val="en-US" w:eastAsia="zh-CN"/>
                    </w:rPr>
                  </w:pPr>
                  <w:r>
                    <w:rPr>
                      <w:rFonts w:hint="eastAsia" w:cs="Times New Roman"/>
                      <w:color w:val="auto"/>
                      <w:kern w:val="24"/>
                      <w:highlight w:val="none"/>
                      <w:lang w:val="en-US" w:eastAsia="zh-CN"/>
                    </w:rPr>
                    <w:t>180</w:t>
                  </w:r>
                </w:p>
              </w:tc>
            </w:tr>
          </w:tbl>
          <w:p w14:paraId="3F094C52">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ascii="Times New Roman" w:hAnsi="Times New Roman" w:eastAsia="宋体" w:cs="Times New Roman"/>
                <w:bCs/>
                <w:color w:val="auto"/>
                <w:sz w:val="24"/>
                <w:szCs w:val="24"/>
                <w:highlight w:val="none"/>
                <w:lang w:eastAsia="zh-CN"/>
              </w:rPr>
            </w:pPr>
          </w:p>
          <w:p w14:paraId="5AEA6FA6">
            <w:pPr>
              <w:pStyle w:val="14"/>
              <w:rPr>
                <w:rFonts w:ascii="Times New Roman" w:hAnsi="Times New Roman" w:eastAsia="宋体" w:cs="Times New Roman"/>
                <w:bCs/>
                <w:color w:val="auto"/>
                <w:sz w:val="24"/>
                <w:szCs w:val="24"/>
                <w:highlight w:val="none"/>
                <w:lang w:eastAsia="zh-CN"/>
              </w:rPr>
            </w:pPr>
          </w:p>
          <w:p w14:paraId="32819562">
            <w:pPr>
              <w:rPr>
                <w:rFonts w:ascii="Times New Roman" w:hAnsi="Times New Roman" w:eastAsia="宋体" w:cs="Times New Roman"/>
                <w:bCs/>
                <w:color w:val="auto"/>
                <w:sz w:val="24"/>
                <w:szCs w:val="24"/>
                <w:highlight w:val="none"/>
                <w:lang w:eastAsia="zh-CN"/>
              </w:rPr>
            </w:pPr>
          </w:p>
          <w:p w14:paraId="66D21C72">
            <w:pPr>
              <w:pStyle w:val="14"/>
              <w:rPr>
                <w:rFonts w:ascii="Times New Roman" w:hAnsi="Times New Roman" w:eastAsia="宋体" w:cs="Times New Roman"/>
                <w:bCs/>
                <w:color w:val="auto"/>
                <w:sz w:val="24"/>
                <w:szCs w:val="24"/>
                <w:highlight w:val="none"/>
                <w:lang w:eastAsia="zh-CN"/>
              </w:rPr>
            </w:pPr>
          </w:p>
          <w:p w14:paraId="147C373E">
            <w:pPr>
              <w:rPr>
                <w:rFonts w:ascii="Times New Roman" w:hAnsi="Times New Roman" w:eastAsia="宋体" w:cs="Times New Roman"/>
                <w:bCs/>
                <w:color w:val="auto"/>
                <w:sz w:val="24"/>
                <w:szCs w:val="24"/>
                <w:highlight w:val="none"/>
                <w:lang w:eastAsia="zh-CN"/>
              </w:rPr>
            </w:pPr>
          </w:p>
          <w:p w14:paraId="474E1D20">
            <w:pPr>
              <w:pStyle w:val="14"/>
              <w:rPr>
                <w:rFonts w:ascii="Times New Roman" w:hAnsi="Times New Roman" w:eastAsia="宋体" w:cs="Times New Roman"/>
                <w:bCs/>
                <w:color w:val="auto"/>
                <w:sz w:val="24"/>
                <w:szCs w:val="24"/>
                <w:highlight w:val="none"/>
                <w:lang w:eastAsia="zh-CN"/>
              </w:rPr>
            </w:pPr>
          </w:p>
          <w:p w14:paraId="458CA220">
            <w:pPr>
              <w:rPr>
                <w:rFonts w:ascii="Times New Roman" w:hAnsi="Times New Roman" w:eastAsia="宋体" w:cs="Times New Roman"/>
                <w:bCs/>
                <w:color w:val="auto"/>
                <w:sz w:val="24"/>
                <w:szCs w:val="24"/>
                <w:highlight w:val="none"/>
                <w:lang w:eastAsia="zh-CN"/>
              </w:rPr>
            </w:pPr>
          </w:p>
          <w:p w14:paraId="7DE9F0B6">
            <w:pPr>
              <w:pStyle w:val="14"/>
              <w:rPr>
                <w:rFonts w:ascii="Times New Roman" w:hAnsi="Times New Roman" w:eastAsia="宋体" w:cs="Times New Roman"/>
                <w:bCs/>
                <w:color w:val="auto"/>
                <w:sz w:val="24"/>
                <w:szCs w:val="24"/>
                <w:highlight w:val="none"/>
                <w:lang w:eastAsia="zh-CN"/>
              </w:rPr>
            </w:pPr>
          </w:p>
          <w:p w14:paraId="1B65F010">
            <w:pPr>
              <w:rPr>
                <w:rFonts w:ascii="Times New Roman" w:hAnsi="Times New Roman" w:eastAsia="宋体" w:cs="Times New Roman"/>
                <w:bCs/>
                <w:color w:val="auto"/>
                <w:sz w:val="24"/>
                <w:szCs w:val="24"/>
                <w:highlight w:val="none"/>
                <w:lang w:eastAsia="zh-CN"/>
              </w:rPr>
            </w:pPr>
          </w:p>
          <w:p w14:paraId="65FB6DE9">
            <w:pPr>
              <w:pStyle w:val="14"/>
              <w:rPr>
                <w:rFonts w:ascii="Times New Roman" w:hAnsi="Times New Roman" w:eastAsia="宋体" w:cs="Times New Roman"/>
                <w:bCs/>
                <w:color w:val="auto"/>
                <w:sz w:val="24"/>
                <w:szCs w:val="24"/>
                <w:highlight w:val="none"/>
                <w:lang w:eastAsia="zh-CN"/>
              </w:rPr>
            </w:pPr>
          </w:p>
          <w:p w14:paraId="728E5B16">
            <w:pPr>
              <w:rPr>
                <w:rFonts w:ascii="Times New Roman" w:hAnsi="Times New Roman" w:eastAsia="宋体" w:cs="Times New Roman"/>
                <w:bCs/>
                <w:color w:val="auto"/>
                <w:sz w:val="24"/>
                <w:szCs w:val="24"/>
                <w:highlight w:val="none"/>
                <w:lang w:eastAsia="zh-CN"/>
              </w:rPr>
            </w:pPr>
          </w:p>
          <w:p w14:paraId="5E396B78">
            <w:pPr>
              <w:rPr>
                <w:lang w:eastAsia="zh-CN"/>
              </w:rPr>
            </w:pPr>
          </w:p>
        </w:tc>
      </w:tr>
    </w:tbl>
    <w:p w14:paraId="3C54D33F">
      <w:pPr>
        <w:jc w:val="center"/>
        <w:rPr>
          <w:color w:val="auto"/>
          <w:highlight w:val="none"/>
        </w:rPr>
        <w:sectPr>
          <w:pgSz w:w="11906" w:h="16838"/>
          <w:pgMar w:top="1440" w:right="1800" w:bottom="1440" w:left="1800" w:header="851" w:footer="992" w:gutter="0"/>
          <w:pgNumType w:fmt="decimal"/>
          <w:cols w:space="425" w:num="1"/>
          <w:docGrid w:type="lines" w:linePitch="312" w:charSpace="0"/>
        </w:sectPr>
      </w:pPr>
    </w:p>
    <w:p w14:paraId="5758A486">
      <w:pPr>
        <w:pStyle w:val="23"/>
        <w:spacing w:before="0" w:beforeAutospacing="0" w:after="0" w:afterAutospacing="0"/>
        <w:jc w:val="center"/>
        <w:outlineLvl w:val="0"/>
        <w:rPr>
          <w:rFonts w:ascii="Times New Roman" w:hAnsi="Times New Roman"/>
          <w:b/>
          <w:bCs/>
          <w:color w:val="auto"/>
          <w:sz w:val="30"/>
          <w:szCs w:val="30"/>
          <w:highlight w:val="none"/>
        </w:rPr>
      </w:pPr>
      <w:r>
        <w:rPr>
          <w:rFonts w:ascii="Times New Roman" w:hAnsi="Times New Roman"/>
          <w:b/>
          <w:bCs/>
          <w:color w:val="auto"/>
          <w:sz w:val="30"/>
          <w:szCs w:val="30"/>
          <w:highlight w:val="none"/>
        </w:rPr>
        <w:t>六、结论</w:t>
      </w:r>
    </w:p>
    <w:tbl>
      <w:tblPr>
        <w:tblStyle w:val="25"/>
        <w:tblW w:w="4711"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386"/>
      </w:tblGrid>
      <w:tr w14:paraId="3F0BCC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603" w:hRule="atLeast"/>
          <w:jc w:val="center"/>
        </w:trPr>
        <w:tc>
          <w:tcPr>
            <w:tcW w:w="5000" w:type="pct"/>
            <w:tcBorders>
              <w:tl2br w:val="nil"/>
              <w:tr2bl w:val="nil"/>
            </w:tcBorders>
          </w:tcPr>
          <w:p w14:paraId="7EAC9CE4">
            <w:pPr>
              <w:spacing w:line="360" w:lineRule="auto"/>
              <w:ind w:firstLine="480" w:firstLineChars="200"/>
              <w:rPr>
                <w:rFonts w:hint="default"/>
                <w:color w:val="auto"/>
                <w:sz w:val="24"/>
                <w:highlight w:val="none"/>
                <w:lang w:val="en-US"/>
              </w:rPr>
            </w:pPr>
            <w:r>
              <w:rPr>
                <w:rFonts w:ascii="Times New Roman" w:hAnsi="Times New Roman" w:eastAsia="宋体" w:cs="Times New Roman"/>
                <w:color w:val="auto"/>
                <w:sz w:val="24"/>
                <w:szCs w:val="24"/>
                <w:highlight w:val="none"/>
                <w:lang w:eastAsia="zh-CN" w:bidi="ar"/>
              </w:rPr>
              <w:t>本项目的建设符合国家产业政策，符合</w:t>
            </w:r>
            <w:r>
              <w:rPr>
                <w:rFonts w:hint="eastAsia" w:cs="Times New Roman"/>
                <w:color w:val="auto"/>
                <w:sz w:val="24"/>
                <w:szCs w:val="24"/>
                <w:highlight w:val="none"/>
                <w:lang w:val="en-US" w:eastAsia="zh-CN" w:bidi="ar"/>
              </w:rPr>
              <w:t>安徽淮北相山</w:t>
            </w:r>
            <w:r>
              <w:rPr>
                <w:rFonts w:ascii="Times New Roman" w:hAnsi="Times New Roman" w:eastAsia="宋体" w:cs="Times New Roman"/>
                <w:color w:val="auto"/>
                <w:sz w:val="24"/>
                <w:szCs w:val="24"/>
                <w:highlight w:val="none"/>
                <w:lang w:eastAsia="zh-CN" w:bidi="ar"/>
              </w:rPr>
              <w:t>开发区总体规划和土地利用规划要求，符合“三线一单”管控要求；在实施了环评提出的污染治理措施后，排放污染物能达标排放，对区域环境质量影响较小；且有良好的社会、经济综合效益。从</w:t>
            </w:r>
            <w:r>
              <w:rPr>
                <w:rFonts w:hint="eastAsia" w:ascii="Times New Roman" w:hAnsi="Times New Roman" w:eastAsia="宋体" w:cs="Times New Roman"/>
                <w:color w:val="auto"/>
                <w:sz w:val="24"/>
                <w:szCs w:val="24"/>
                <w:highlight w:val="none"/>
                <w:lang w:eastAsia="zh-CN" w:bidi="ar"/>
              </w:rPr>
              <w:t>环境</w:t>
            </w:r>
            <w:r>
              <w:rPr>
                <w:rFonts w:hint="eastAsia" w:cs="Times New Roman"/>
                <w:color w:val="auto"/>
                <w:sz w:val="24"/>
                <w:szCs w:val="24"/>
                <w:highlight w:val="none"/>
                <w:lang w:val="en-US" w:eastAsia="zh-CN" w:bidi="ar"/>
              </w:rPr>
              <w:t>保护</w:t>
            </w:r>
            <w:r>
              <w:rPr>
                <w:rFonts w:ascii="Times New Roman" w:hAnsi="Times New Roman" w:eastAsia="宋体" w:cs="Times New Roman"/>
                <w:color w:val="auto"/>
                <w:sz w:val="24"/>
                <w:szCs w:val="24"/>
                <w:highlight w:val="none"/>
                <w:lang w:eastAsia="zh-CN" w:bidi="ar"/>
              </w:rPr>
              <w:t>角度看，该项目</w:t>
            </w:r>
            <w:r>
              <w:rPr>
                <w:rFonts w:hint="eastAsia" w:cs="Times New Roman"/>
                <w:color w:val="auto"/>
                <w:sz w:val="24"/>
                <w:szCs w:val="24"/>
                <w:highlight w:val="none"/>
                <w:lang w:val="en-US" w:eastAsia="zh-CN" w:bidi="ar"/>
              </w:rPr>
              <w:t>建设可行。</w:t>
            </w:r>
          </w:p>
        </w:tc>
      </w:tr>
    </w:tbl>
    <w:p w14:paraId="7380C8F9">
      <w:pPr>
        <w:jc w:val="center"/>
        <w:rPr>
          <w:color w:val="auto"/>
          <w:highlight w:val="none"/>
        </w:rPr>
        <w:sectPr>
          <w:pgSz w:w="11906" w:h="16838"/>
          <w:pgMar w:top="1440" w:right="1080" w:bottom="1440" w:left="1080" w:header="851" w:footer="992" w:gutter="0"/>
          <w:pgNumType w:fmt="decimal"/>
          <w:cols w:space="425" w:num="1"/>
          <w:docGrid w:type="lines" w:linePitch="312" w:charSpace="0"/>
        </w:sectPr>
      </w:pPr>
    </w:p>
    <w:p w14:paraId="6E16B74F">
      <w:pPr>
        <w:pStyle w:val="23"/>
        <w:spacing w:before="0" w:beforeAutospacing="0" w:after="0" w:afterAutospacing="0"/>
        <w:rPr>
          <w:rFonts w:hint="eastAsia" w:cs="宋体"/>
          <w:b/>
          <w:bCs/>
          <w:color w:val="auto"/>
          <w:sz w:val="32"/>
          <w:szCs w:val="32"/>
          <w:highlight w:val="none"/>
        </w:rPr>
      </w:pPr>
      <w:r>
        <w:rPr>
          <w:rFonts w:hint="eastAsia" w:cs="宋体"/>
          <w:b/>
          <w:bCs/>
          <w:color w:val="auto"/>
          <w:sz w:val="32"/>
          <w:szCs w:val="32"/>
          <w:highlight w:val="none"/>
        </w:rPr>
        <w:t>附表</w:t>
      </w:r>
    </w:p>
    <w:p w14:paraId="788355F2">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cs="宋体"/>
          <w:b/>
          <w:bCs/>
          <w:snapToGrid w:val="0"/>
          <w:color w:val="auto"/>
          <w:sz w:val="38"/>
          <w:szCs w:val="38"/>
          <w:highlight w:val="none"/>
        </w:rPr>
      </w:pPr>
      <w:r>
        <w:rPr>
          <w:rFonts w:ascii="方正小标宋_GBK" w:hAnsi="黑体" w:eastAsia="方正小标宋_GBK" w:cs="方正小标宋_GBK"/>
          <w:snapToGrid w:val="0"/>
          <w:color w:val="auto"/>
          <w:sz w:val="38"/>
          <w:szCs w:val="38"/>
          <w:highlight w:val="none"/>
        </w:rPr>
        <w:t xml:space="preserve">  </w:t>
      </w:r>
      <w:r>
        <w:rPr>
          <w:rFonts w:hint="eastAsia" w:cs="宋体"/>
          <w:snapToGrid w:val="0"/>
          <w:color w:val="auto"/>
          <w:sz w:val="38"/>
          <w:szCs w:val="38"/>
          <w:highlight w:val="none"/>
        </w:rPr>
        <w:t xml:space="preserve"> </w:t>
      </w:r>
      <w:r>
        <w:rPr>
          <w:rFonts w:hint="eastAsia" w:cs="宋体"/>
          <w:b/>
          <w:bCs/>
          <w:color w:val="auto"/>
          <w:sz w:val="38"/>
          <w:szCs w:val="38"/>
          <w:highlight w:val="none"/>
        </w:rPr>
        <w:t>建设项目污染物排放量汇总表</w:t>
      </w:r>
    </w:p>
    <w:tbl>
      <w:tblPr>
        <w:tblStyle w:val="25"/>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613"/>
        <w:gridCol w:w="1665"/>
        <w:gridCol w:w="1268"/>
      </w:tblGrid>
      <w:tr w14:paraId="221F1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tcBorders>
              <w:top w:val="single" w:color="auto" w:sz="8" w:space="0"/>
              <w:tl2br w:val="single" w:color="auto" w:sz="4" w:space="0"/>
            </w:tcBorders>
            <w:tcMar>
              <w:left w:w="28" w:type="dxa"/>
              <w:right w:w="28" w:type="dxa"/>
            </w:tcMar>
            <w:vAlign w:val="center"/>
          </w:tcPr>
          <w:p w14:paraId="618515A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 xml:space="preserve">    项目</w:t>
            </w:r>
          </w:p>
          <w:p w14:paraId="499D9C49">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分类</w:t>
            </w:r>
          </w:p>
        </w:tc>
        <w:tc>
          <w:tcPr>
            <w:tcW w:w="1417" w:type="dxa"/>
            <w:tcBorders>
              <w:top w:val="single" w:color="auto" w:sz="8" w:space="0"/>
            </w:tcBorders>
            <w:tcMar>
              <w:left w:w="28" w:type="dxa"/>
              <w:right w:w="28" w:type="dxa"/>
            </w:tcMar>
            <w:vAlign w:val="center"/>
          </w:tcPr>
          <w:p w14:paraId="3E8181D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污染物名称</w:t>
            </w:r>
          </w:p>
        </w:tc>
        <w:tc>
          <w:tcPr>
            <w:tcW w:w="1701" w:type="dxa"/>
            <w:tcBorders>
              <w:top w:val="single" w:color="auto" w:sz="8" w:space="0"/>
            </w:tcBorders>
            <w:tcMar>
              <w:left w:w="28" w:type="dxa"/>
              <w:right w:w="28" w:type="dxa"/>
            </w:tcMar>
            <w:vAlign w:val="center"/>
          </w:tcPr>
          <w:p w14:paraId="095E454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现有工程</w:t>
            </w:r>
          </w:p>
          <w:p w14:paraId="0095B062">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排放量（固体废物产生量）</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1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kern w:val="2"/>
                <w:sz w:val="24"/>
                <w:szCs w:val="24"/>
                <w:highlight w:val="none"/>
              </w:rPr>
              <w:t>①</w:t>
            </w:r>
            <w:r>
              <w:rPr>
                <w:rFonts w:hint="default" w:ascii="Times New Roman" w:hAnsi="Times New Roman" w:cs="Times New Roman"/>
                <w:snapToGrid w:val="0"/>
                <w:color w:val="auto"/>
                <w:spacing w:val="-6"/>
                <w:kern w:val="21"/>
                <w:sz w:val="24"/>
                <w:szCs w:val="24"/>
                <w:highlight w:val="none"/>
              </w:rPr>
              <w:fldChar w:fldCharType="end"/>
            </w:r>
          </w:p>
        </w:tc>
        <w:tc>
          <w:tcPr>
            <w:tcW w:w="1276" w:type="dxa"/>
            <w:tcBorders>
              <w:top w:val="single" w:color="auto" w:sz="8" w:space="0"/>
            </w:tcBorders>
            <w:tcMar>
              <w:left w:w="28" w:type="dxa"/>
              <w:right w:w="28" w:type="dxa"/>
            </w:tcMar>
            <w:vAlign w:val="center"/>
          </w:tcPr>
          <w:p w14:paraId="099C5A6D">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现有工程</w:t>
            </w:r>
          </w:p>
          <w:p w14:paraId="4E45AB44">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许可排放量</w:t>
            </w:r>
          </w:p>
          <w:p w14:paraId="61C8205D">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2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snapToGrid w:val="0"/>
                <w:color w:val="auto"/>
                <w:spacing w:val="-6"/>
                <w:kern w:val="21"/>
                <w:sz w:val="24"/>
                <w:szCs w:val="24"/>
                <w:highlight w:val="none"/>
              </w:rPr>
              <w:t>②</w:t>
            </w:r>
            <w:r>
              <w:rPr>
                <w:rFonts w:hint="default" w:ascii="Times New Roman" w:hAnsi="Times New Roman" w:cs="Times New Roman"/>
                <w:snapToGrid w:val="0"/>
                <w:color w:val="auto"/>
                <w:spacing w:val="-6"/>
                <w:kern w:val="21"/>
                <w:sz w:val="24"/>
                <w:szCs w:val="24"/>
                <w:highlight w:val="none"/>
              </w:rPr>
              <w:fldChar w:fldCharType="end"/>
            </w:r>
          </w:p>
        </w:tc>
        <w:tc>
          <w:tcPr>
            <w:tcW w:w="1701" w:type="dxa"/>
            <w:tcBorders>
              <w:top w:val="single" w:color="auto" w:sz="8" w:space="0"/>
            </w:tcBorders>
            <w:tcMar>
              <w:left w:w="28" w:type="dxa"/>
              <w:right w:w="28" w:type="dxa"/>
            </w:tcMar>
            <w:vAlign w:val="center"/>
          </w:tcPr>
          <w:p w14:paraId="558E6B0C">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在建工程</w:t>
            </w:r>
          </w:p>
          <w:p w14:paraId="53AD8E57">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排放量（固体废物产生量）</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3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kern w:val="2"/>
                <w:sz w:val="24"/>
                <w:szCs w:val="24"/>
                <w:highlight w:val="none"/>
              </w:rPr>
              <w:t>③</w:t>
            </w:r>
            <w:r>
              <w:rPr>
                <w:rFonts w:hint="default" w:ascii="Times New Roman" w:hAnsi="Times New Roman" w:cs="Times New Roman"/>
                <w:snapToGrid w:val="0"/>
                <w:color w:val="auto"/>
                <w:spacing w:val="-6"/>
                <w:kern w:val="21"/>
                <w:sz w:val="24"/>
                <w:szCs w:val="24"/>
                <w:highlight w:val="none"/>
              </w:rPr>
              <w:fldChar w:fldCharType="end"/>
            </w:r>
          </w:p>
        </w:tc>
        <w:tc>
          <w:tcPr>
            <w:tcW w:w="1559" w:type="dxa"/>
            <w:tcBorders>
              <w:top w:val="single" w:color="auto" w:sz="8" w:space="0"/>
            </w:tcBorders>
            <w:tcMar>
              <w:left w:w="28" w:type="dxa"/>
              <w:right w:w="28" w:type="dxa"/>
            </w:tcMar>
            <w:vAlign w:val="center"/>
          </w:tcPr>
          <w:p w14:paraId="443A776C">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本项目</w:t>
            </w:r>
          </w:p>
          <w:p w14:paraId="12043F95">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排放量（固体废物产生量）</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4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kern w:val="2"/>
                <w:sz w:val="24"/>
                <w:szCs w:val="24"/>
                <w:highlight w:val="none"/>
              </w:rPr>
              <w:t>④</w:t>
            </w:r>
            <w:r>
              <w:rPr>
                <w:rFonts w:hint="default" w:ascii="Times New Roman" w:hAnsi="Times New Roman" w:cs="Times New Roman"/>
                <w:snapToGrid w:val="0"/>
                <w:color w:val="auto"/>
                <w:spacing w:val="-6"/>
                <w:kern w:val="21"/>
                <w:sz w:val="24"/>
                <w:szCs w:val="24"/>
                <w:highlight w:val="none"/>
              </w:rPr>
              <w:fldChar w:fldCharType="end"/>
            </w:r>
          </w:p>
        </w:tc>
        <w:tc>
          <w:tcPr>
            <w:tcW w:w="1613" w:type="dxa"/>
            <w:tcBorders>
              <w:top w:val="single" w:color="auto" w:sz="8" w:space="0"/>
            </w:tcBorders>
            <w:tcMar>
              <w:left w:w="28" w:type="dxa"/>
              <w:right w:w="28" w:type="dxa"/>
            </w:tcMar>
            <w:vAlign w:val="center"/>
          </w:tcPr>
          <w:p w14:paraId="4807E655">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16"/>
                <w:kern w:val="21"/>
                <w:sz w:val="24"/>
                <w:szCs w:val="24"/>
                <w:highlight w:val="none"/>
              </w:rPr>
            </w:pPr>
            <w:r>
              <w:rPr>
                <w:rFonts w:hint="default" w:ascii="Times New Roman" w:hAnsi="Times New Roman" w:cs="Times New Roman"/>
                <w:snapToGrid w:val="0"/>
                <w:color w:val="auto"/>
                <w:spacing w:val="-16"/>
                <w:kern w:val="21"/>
                <w:sz w:val="24"/>
                <w:szCs w:val="24"/>
                <w:highlight w:val="none"/>
              </w:rPr>
              <w:t>以新带老削减量</w:t>
            </w:r>
          </w:p>
          <w:p w14:paraId="721C3559">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16"/>
                <w:kern w:val="21"/>
                <w:sz w:val="24"/>
                <w:szCs w:val="24"/>
                <w:highlight w:val="none"/>
              </w:rPr>
            </w:pPr>
            <w:r>
              <w:rPr>
                <w:rFonts w:hint="default" w:ascii="Times New Roman" w:hAnsi="Times New Roman" w:cs="Times New Roman"/>
                <w:snapToGrid w:val="0"/>
                <w:color w:val="auto"/>
                <w:spacing w:val="-16"/>
                <w:kern w:val="21"/>
                <w:sz w:val="24"/>
                <w:szCs w:val="24"/>
                <w:highlight w:val="none"/>
              </w:rPr>
              <w:t>（新建项目不填）</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5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kern w:val="2"/>
                <w:sz w:val="24"/>
                <w:szCs w:val="24"/>
                <w:highlight w:val="none"/>
              </w:rPr>
              <w:t>⑤</w:t>
            </w:r>
            <w:r>
              <w:rPr>
                <w:rFonts w:hint="default" w:ascii="Times New Roman" w:hAnsi="Times New Roman" w:cs="Times New Roman"/>
                <w:snapToGrid w:val="0"/>
                <w:color w:val="auto"/>
                <w:spacing w:val="-16"/>
                <w:kern w:val="21"/>
                <w:sz w:val="24"/>
                <w:szCs w:val="24"/>
                <w:highlight w:val="none"/>
              </w:rPr>
              <w:fldChar w:fldCharType="end"/>
            </w:r>
          </w:p>
        </w:tc>
        <w:tc>
          <w:tcPr>
            <w:tcW w:w="1665" w:type="dxa"/>
            <w:tcBorders>
              <w:top w:val="single" w:color="auto" w:sz="8" w:space="0"/>
            </w:tcBorders>
            <w:tcMar>
              <w:left w:w="28" w:type="dxa"/>
              <w:right w:w="28" w:type="dxa"/>
            </w:tcMar>
            <w:vAlign w:val="center"/>
          </w:tcPr>
          <w:p w14:paraId="3F379BC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16"/>
                <w:kern w:val="21"/>
                <w:sz w:val="24"/>
                <w:szCs w:val="24"/>
                <w:highlight w:val="none"/>
              </w:rPr>
            </w:pPr>
            <w:r>
              <w:rPr>
                <w:rFonts w:hint="default" w:ascii="Times New Roman" w:hAnsi="Times New Roman" w:cs="Times New Roman"/>
                <w:snapToGrid w:val="0"/>
                <w:color w:val="auto"/>
                <w:spacing w:val="-16"/>
                <w:kern w:val="21"/>
                <w:sz w:val="24"/>
                <w:szCs w:val="24"/>
                <w:highlight w:val="none"/>
              </w:rPr>
              <w:t>本项目建成后</w:t>
            </w:r>
          </w:p>
          <w:p w14:paraId="53610D12">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16"/>
                <w:kern w:val="21"/>
                <w:sz w:val="24"/>
                <w:szCs w:val="24"/>
                <w:highlight w:val="none"/>
              </w:rPr>
            </w:pPr>
            <w:r>
              <w:rPr>
                <w:rFonts w:hint="default" w:ascii="Times New Roman" w:hAnsi="Times New Roman" w:cs="Times New Roman"/>
                <w:snapToGrid w:val="0"/>
                <w:color w:val="auto"/>
                <w:spacing w:val="-16"/>
                <w:kern w:val="21"/>
                <w:sz w:val="24"/>
                <w:szCs w:val="24"/>
                <w:highlight w:val="none"/>
              </w:rPr>
              <w:t>全厂排放量（固体废物产生量）</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6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kern w:val="2"/>
                <w:sz w:val="24"/>
                <w:szCs w:val="24"/>
                <w:highlight w:val="none"/>
              </w:rPr>
              <w:t>⑥</w:t>
            </w:r>
            <w:r>
              <w:rPr>
                <w:rFonts w:hint="default" w:ascii="Times New Roman" w:hAnsi="Times New Roman" w:cs="Times New Roman"/>
                <w:snapToGrid w:val="0"/>
                <w:color w:val="auto"/>
                <w:spacing w:val="-16"/>
                <w:kern w:val="21"/>
                <w:sz w:val="24"/>
                <w:szCs w:val="24"/>
                <w:highlight w:val="none"/>
              </w:rPr>
              <w:fldChar w:fldCharType="end"/>
            </w:r>
          </w:p>
        </w:tc>
        <w:tc>
          <w:tcPr>
            <w:tcW w:w="1268" w:type="dxa"/>
            <w:tcBorders>
              <w:top w:val="single" w:color="auto" w:sz="8" w:space="0"/>
            </w:tcBorders>
            <w:tcMar>
              <w:left w:w="28" w:type="dxa"/>
              <w:right w:w="28" w:type="dxa"/>
            </w:tcMar>
            <w:vAlign w:val="center"/>
          </w:tcPr>
          <w:p w14:paraId="4D3F4035">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t>变化量</w:t>
            </w:r>
          </w:p>
          <w:p w14:paraId="0E8F14D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7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kern w:val="2"/>
                <w:sz w:val="24"/>
                <w:szCs w:val="24"/>
                <w:highlight w:val="none"/>
              </w:rPr>
              <w:t>⑦</w:t>
            </w:r>
            <w:r>
              <w:rPr>
                <w:rFonts w:hint="default" w:ascii="Times New Roman" w:hAnsi="Times New Roman" w:cs="Times New Roman"/>
                <w:snapToGrid w:val="0"/>
                <w:color w:val="auto"/>
                <w:spacing w:val="-6"/>
                <w:kern w:val="21"/>
                <w:sz w:val="24"/>
                <w:szCs w:val="24"/>
                <w:highlight w:val="none"/>
              </w:rPr>
              <w:fldChar w:fldCharType="end"/>
            </w:r>
          </w:p>
        </w:tc>
      </w:tr>
      <w:tr w14:paraId="367C81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1DFEC082">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废气</w:t>
            </w:r>
          </w:p>
        </w:tc>
        <w:tc>
          <w:tcPr>
            <w:tcW w:w="1417" w:type="dxa"/>
            <w:vAlign w:val="center"/>
          </w:tcPr>
          <w:p w14:paraId="512BED6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非甲烷总烃</w:t>
            </w:r>
          </w:p>
        </w:tc>
        <w:tc>
          <w:tcPr>
            <w:tcW w:w="1701" w:type="dxa"/>
            <w:vAlign w:val="center"/>
          </w:tcPr>
          <w:p w14:paraId="1D40634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276" w:type="dxa"/>
            <w:vAlign w:val="center"/>
          </w:tcPr>
          <w:p w14:paraId="4A2CD40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701" w:type="dxa"/>
            <w:vAlign w:val="center"/>
          </w:tcPr>
          <w:p w14:paraId="34D031AB">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559" w:type="dxa"/>
            <w:vAlign w:val="center"/>
          </w:tcPr>
          <w:p w14:paraId="320E4E61">
            <w:pPr>
              <w:pStyle w:val="41"/>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0.342</w:t>
            </w:r>
            <w:r>
              <w:rPr>
                <w:rFonts w:hint="default" w:ascii="Times New Roman" w:hAnsi="Times New Roman" w:cs="Times New Roman"/>
                <w:color w:val="auto"/>
                <w:sz w:val="24"/>
                <w:szCs w:val="24"/>
                <w:highlight w:val="none"/>
                <w:lang w:val="en-US" w:eastAsia="zh-CN"/>
              </w:rPr>
              <w:t>t/a</w:t>
            </w:r>
          </w:p>
        </w:tc>
        <w:tc>
          <w:tcPr>
            <w:tcW w:w="1613" w:type="dxa"/>
            <w:vAlign w:val="center"/>
          </w:tcPr>
          <w:p w14:paraId="69E1B03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665" w:type="dxa"/>
            <w:vAlign w:val="center"/>
          </w:tcPr>
          <w:p w14:paraId="1232D533">
            <w:pPr>
              <w:pStyle w:val="4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0.342</w:t>
            </w:r>
            <w:r>
              <w:rPr>
                <w:rFonts w:hint="default" w:ascii="Times New Roman" w:hAnsi="Times New Roman" w:cs="Times New Roman"/>
                <w:color w:val="auto"/>
                <w:sz w:val="24"/>
                <w:szCs w:val="24"/>
                <w:highlight w:val="none"/>
                <w:lang w:val="en-US" w:eastAsia="zh-CN"/>
              </w:rPr>
              <w:t>t/a</w:t>
            </w:r>
          </w:p>
        </w:tc>
        <w:tc>
          <w:tcPr>
            <w:tcW w:w="1268" w:type="dxa"/>
            <w:vAlign w:val="center"/>
          </w:tcPr>
          <w:p w14:paraId="4329D27B">
            <w:pPr>
              <w:pStyle w:val="4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0.342</w:t>
            </w:r>
            <w:r>
              <w:rPr>
                <w:rFonts w:hint="default" w:ascii="Times New Roman" w:hAnsi="Times New Roman" w:cs="Times New Roman"/>
                <w:color w:val="auto"/>
                <w:sz w:val="24"/>
                <w:szCs w:val="24"/>
                <w:highlight w:val="none"/>
                <w:lang w:val="en-US" w:eastAsia="zh-CN"/>
              </w:rPr>
              <w:t>t/a</w:t>
            </w:r>
          </w:p>
        </w:tc>
      </w:tr>
      <w:tr w14:paraId="4F158F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61702E7C">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27B42590">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颗粒物</w:t>
            </w:r>
          </w:p>
        </w:tc>
        <w:tc>
          <w:tcPr>
            <w:tcW w:w="1701" w:type="dxa"/>
            <w:vAlign w:val="center"/>
          </w:tcPr>
          <w:p w14:paraId="4511C8F9">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276" w:type="dxa"/>
            <w:vAlign w:val="center"/>
          </w:tcPr>
          <w:p w14:paraId="5657D31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701" w:type="dxa"/>
            <w:vAlign w:val="center"/>
          </w:tcPr>
          <w:p w14:paraId="024B1DDD">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559" w:type="dxa"/>
            <w:vAlign w:val="center"/>
          </w:tcPr>
          <w:p w14:paraId="16C55359">
            <w:pPr>
              <w:pStyle w:val="41"/>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0.571</w:t>
            </w:r>
            <w:r>
              <w:rPr>
                <w:rFonts w:hint="default" w:ascii="Times New Roman" w:hAnsi="Times New Roman" w:cs="Times New Roman"/>
                <w:color w:val="auto"/>
                <w:sz w:val="24"/>
                <w:szCs w:val="24"/>
                <w:highlight w:val="none"/>
                <w:lang w:val="en-US" w:eastAsia="zh-CN"/>
              </w:rPr>
              <w:t>t/a</w:t>
            </w:r>
          </w:p>
        </w:tc>
        <w:tc>
          <w:tcPr>
            <w:tcW w:w="1613" w:type="dxa"/>
            <w:vAlign w:val="center"/>
          </w:tcPr>
          <w:p w14:paraId="2B1B295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665" w:type="dxa"/>
            <w:vAlign w:val="center"/>
          </w:tcPr>
          <w:p w14:paraId="4C0CEACE">
            <w:pPr>
              <w:pStyle w:val="4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0.571</w:t>
            </w:r>
            <w:r>
              <w:rPr>
                <w:rFonts w:hint="default" w:ascii="Times New Roman" w:hAnsi="Times New Roman" w:cs="Times New Roman"/>
                <w:color w:val="auto"/>
                <w:sz w:val="24"/>
                <w:szCs w:val="24"/>
                <w:highlight w:val="none"/>
                <w:lang w:val="en-US" w:eastAsia="zh-CN"/>
              </w:rPr>
              <w:t>t/a</w:t>
            </w:r>
          </w:p>
        </w:tc>
        <w:tc>
          <w:tcPr>
            <w:tcW w:w="1268" w:type="dxa"/>
            <w:vAlign w:val="center"/>
          </w:tcPr>
          <w:p w14:paraId="2698CDA2">
            <w:pPr>
              <w:pStyle w:val="4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0.571</w:t>
            </w:r>
            <w:r>
              <w:rPr>
                <w:rFonts w:hint="default" w:ascii="Times New Roman" w:hAnsi="Times New Roman" w:cs="Times New Roman"/>
                <w:color w:val="auto"/>
                <w:sz w:val="24"/>
                <w:szCs w:val="24"/>
                <w:highlight w:val="none"/>
                <w:lang w:val="en-US" w:eastAsia="zh-CN"/>
              </w:rPr>
              <w:t>t/a</w:t>
            </w:r>
          </w:p>
        </w:tc>
      </w:tr>
      <w:tr w14:paraId="62357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01F72775">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172C0938">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二氧化硫</w:t>
            </w:r>
          </w:p>
        </w:tc>
        <w:tc>
          <w:tcPr>
            <w:tcW w:w="1701" w:type="dxa"/>
            <w:vAlign w:val="center"/>
          </w:tcPr>
          <w:p w14:paraId="30E5B9C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604C4DB2">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4FD3F72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73803AF7">
            <w:pPr>
              <w:pStyle w:val="41"/>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0.034</w:t>
            </w:r>
            <w:r>
              <w:rPr>
                <w:rFonts w:hint="default" w:ascii="Times New Roman" w:hAnsi="Times New Roman" w:cs="Times New Roman"/>
                <w:color w:val="auto"/>
                <w:sz w:val="24"/>
                <w:szCs w:val="24"/>
                <w:highlight w:val="none"/>
                <w:lang w:val="en-US" w:eastAsia="zh-CN"/>
              </w:rPr>
              <w:t>t/a</w:t>
            </w:r>
          </w:p>
        </w:tc>
        <w:tc>
          <w:tcPr>
            <w:tcW w:w="1613" w:type="dxa"/>
            <w:vAlign w:val="center"/>
          </w:tcPr>
          <w:p w14:paraId="1C72484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p>
        </w:tc>
        <w:tc>
          <w:tcPr>
            <w:tcW w:w="1665" w:type="dxa"/>
            <w:vAlign w:val="center"/>
          </w:tcPr>
          <w:p w14:paraId="74A251FE">
            <w:pPr>
              <w:pStyle w:val="4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0.034</w:t>
            </w:r>
            <w:r>
              <w:rPr>
                <w:rFonts w:hint="default" w:ascii="Times New Roman" w:hAnsi="Times New Roman" w:cs="Times New Roman"/>
                <w:color w:val="auto"/>
                <w:sz w:val="24"/>
                <w:szCs w:val="24"/>
                <w:highlight w:val="none"/>
                <w:lang w:val="en-US" w:eastAsia="zh-CN"/>
              </w:rPr>
              <w:t>t/a</w:t>
            </w:r>
          </w:p>
        </w:tc>
        <w:tc>
          <w:tcPr>
            <w:tcW w:w="1268" w:type="dxa"/>
            <w:vAlign w:val="center"/>
          </w:tcPr>
          <w:p w14:paraId="19E14224">
            <w:pPr>
              <w:pStyle w:val="4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0.034</w:t>
            </w:r>
            <w:r>
              <w:rPr>
                <w:rFonts w:hint="default" w:ascii="Times New Roman" w:hAnsi="Times New Roman" w:cs="Times New Roman"/>
                <w:color w:val="auto"/>
                <w:sz w:val="24"/>
                <w:szCs w:val="24"/>
                <w:highlight w:val="none"/>
                <w:lang w:val="en-US" w:eastAsia="zh-CN"/>
              </w:rPr>
              <w:t>t/a</w:t>
            </w:r>
          </w:p>
        </w:tc>
      </w:tr>
      <w:tr w14:paraId="403C23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41462C2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3D2E588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氮氧化物</w:t>
            </w:r>
          </w:p>
        </w:tc>
        <w:tc>
          <w:tcPr>
            <w:tcW w:w="1701" w:type="dxa"/>
            <w:vAlign w:val="center"/>
          </w:tcPr>
          <w:p w14:paraId="41923E1D">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6AA962A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674EEBA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484EE4EC">
            <w:pPr>
              <w:pStyle w:val="41"/>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223</w:t>
            </w:r>
            <w:r>
              <w:rPr>
                <w:rFonts w:hint="default" w:ascii="Times New Roman" w:hAnsi="Times New Roman" w:cs="Times New Roman"/>
                <w:color w:val="auto"/>
                <w:sz w:val="24"/>
                <w:szCs w:val="24"/>
                <w:highlight w:val="none"/>
                <w:lang w:val="en-US" w:eastAsia="zh-CN"/>
              </w:rPr>
              <w:t>t/a</w:t>
            </w:r>
          </w:p>
        </w:tc>
        <w:tc>
          <w:tcPr>
            <w:tcW w:w="1613" w:type="dxa"/>
            <w:vAlign w:val="center"/>
          </w:tcPr>
          <w:p w14:paraId="11D62FF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p>
        </w:tc>
        <w:tc>
          <w:tcPr>
            <w:tcW w:w="1665" w:type="dxa"/>
            <w:vAlign w:val="center"/>
          </w:tcPr>
          <w:p w14:paraId="6349333F">
            <w:pPr>
              <w:pStyle w:val="4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223</w:t>
            </w:r>
            <w:r>
              <w:rPr>
                <w:rFonts w:hint="default" w:ascii="Times New Roman" w:hAnsi="Times New Roman" w:cs="Times New Roman"/>
                <w:color w:val="auto"/>
                <w:sz w:val="24"/>
                <w:szCs w:val="24"/>
                <w:highlight w:val="none"/>
                <w:lang w:val="en-US" w:eastAsia="zh-CN"/>
              </w:rPr>
              <w:t>t/a</w:t>
            </w:r>
          </w:p>
        </w:tc>
        <w:tc>
          <w:tcPr>
            <w:tcW w:w="1268" w:type="dxa"/>
            <w:vAlign w:val="center"/>
          </w:tcPr>
          <w:p w14:paraId="072ABDAD">
            <w:pPr>
              <w:pStyle w:val="4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223</w:t>
            </w:r>
            <w:r>
              <w:rPr>
                <w:rFonts w:hint="default" w:ascii="Times New Roman" w:hAnsi="Times New Roman" w:cs="Times New Roman"/>
                <w:color w:val="auto"/>
                <w:sz w:val="24"/>
                <w:szCs w:val="24"/>
                <w:highlight w:val="none"/>
                <w:lang w:val="en-US" w:eastAsia="zh-CN"/>
              </w:rPr>
              <w:t>t/a</w:t>
            </w:r>
          </w:p>
        </w:tc>
      </w:tr>
      <w:tr w14:paraId="4F4DD9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0725D2D2">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废水</w:t>
            </w:r>
          </w:p>
        </w:tc>
        <w:tc>
          <w:tcPr>
            <w:tcW w:w="1417" w:type="dxa"/>
            <w:vAlign w:val="center"/>
          </w:tcPr>
          <w:p w14:paraId="51156DF9">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color w:val="auto"/>
                <w:sz w:val="24"/>
                <w:szCs w:val="24"/>
                <w:highlight w:val="none"/>
              </w:rPr>
              <w:t>COD</w:t>
            </w:r>
          </w:p>
        </w:tc>
        <w:tc>
          <w:tcPr>
            <w:tcW w:w="1701" w:type="dxa"/>
            <w:vAlign w:val="center"/>
          </w:tcPr>
          <w:p w14:paraId="3E28BF5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276" w:type="dxa"/>
            <w:vAlign w:val="center"/>
          </w:tcPr>
          <w:p w14:paraId="3C40B32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701" w:type="dxa"/>
            <w:vAlign w:val="center"/>
          </w:tcPr>
          <w:p w14:paraId="19251358">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559" w:type="dxa"/>
            <w:vAlign w:val="center"/>
          </w:tcPr>
          <w:p w14:paraId="3E63D15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snapToGrid w:val="0"/>
                <w:color w:val="auto"/>
                <w:kern w:val="21"/>
                <w:sz w:val="24"/>
                <w:szCs w:val="24"/>
                <w:highlight w:val="none"/>
              </w:rPr>
              <w:t>/</w:t>
            </w:r>
          </w:p>
        </w:tc>
        <w:tc>
          <w:tcPr>
            <w:tcW w:w="1613" w:type="dxa"/>
            <w:vAlign w:val="center"/>
          </w:tcPr>
          <w:p w14:paraId="1662BD31">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665" w:type="dxa"/>
            <w:vAlign w:val="center"/>
          </w:tcPr>
          <w:p w14:paraId="6500B85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snapToGrid w:val="0"/>
                <w:color w:val="auto"/>
                <w:kern w:val="21"/>
                <w:sz w:val="24"/>
                <w:szCs w:val="24"/>
                <w:highlight w:val="none"/>
              </w:rPr>
              <w:t>/</w:t>
            </w:r>
          </w:p>
        </w:tc>
        <w:tc>
          <w:tcPr>
            <w:tcW w:w="1268" w:type="dxa"/>
            <w:vAlign w:val="center"/>
          </w:tcPr>
          <w:p w14:paraId="67AC127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snapToGrid w:val="0"/>
                <w:color w:val="auto"/>
                <w:kern w:val="21"/>
                <w:sz w:val="24"/>
                <w:szCs w:val="24"/>
                <w:highlight w:val="none"/>
              </w:rPr>
              <w:t>/</w:t>
            </w:r>
          </w:p>
        </w:tc>
      </w:tr>
      <w:tr w14:paraId="788B4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78A623E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18BD7B97">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w:t>
            </w:r>
          </w:p>
        </w:tc>
        <w:tc>
          <w:tcPr>
            <w:tcW w:w="1701" w:type="dxa"/>
            <w:vAlign w:val="center"/>
          </w:tcPr>
          <w:p w14:paraId="383B1BC2">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276" w:type="dxa"/>
            <w:vAlign w:val="center"/>
          </w:tcPr>
          <w:p w14:paraId="4EA4BB64">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701" w:type="dxa"/>
            <w:vAlign w:val="center"/>
          </w:tcPr>
          <w:p w14:paraId="20B5C3F8">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559" w:type="dxa"/>
            <w:vAlign w:val="center"/>
          </w:tcPr>
          <w:p w14:paraId="782BD65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snapToGrid w:val="0"/>
                <w:color w:val="auto"/>
                <w:kern w:val="21"/>
                <w:sz w:val="24"/>
                <w:szCs w:val="24"/>
                <w:highlight w:val="none"/>
              </w:rPr>
              <w:t>/</w:t>
            </w:r>
          </w:p>
        </w:tc>
        <w:tc>
          <w:tcPr>
            <w:tcW w:w="1613" w:type="dxa"/>
            <w:vAlign w:val="center"/>
          </w:tcPr>
          <w:p w14:paraId="44CB7C63">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665" w:type="dxa"/>
            <w:vAlign w:val="center"/>
          </w:tcPr>
          <w:p w14:paraId="4D6FAA4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snapToGrid w:val="0"/>
                <w:color w:val="auto"/>
                <w:kern w:val="21"/>
                <w:sz w:val="24"/>
                <w:szCs w:val="24"/>
                <w:highlight w:val="none"/>
              </w:rPr>
              <w:t>/</w:t>
            </w:r>
          </w:p>
        </w:tc>
        <w:tc>
          <w:tcPr>
            <w:tcW w:w="1268" w:type="dxa"/>
            <w:vAlign w:val="center"/>
          </w:tcPr>
          <w:p w14:paraId="4FE3FDC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snapToGrid w:val="0"/>
                <w:color w:val="auto"/>
                <w:kern w:val="21"/>
                <w:sz w:val="24"/>
                <w:szCs w:val="24"/>
                <w:highlight w:val="none"/>
              </w:rPr>
              <w:t>/</w:t>
            </w:r>
          </w:p>
        </w:tc>
      </w:tr>
      <w:tr w14:paraId="71A1A0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131D872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一般工业</w:t>
            </w:r>
          </w:p>
          <w:p w14:paraId="6ED7A7A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固体废物</w:t>
            </w:r>
          </w:p>
        </w:tc>
        <w:tc>
          <w:tcPr>
            <w:tcW w:w="1417" w:type="dxa"/>
            <w:vAlign w:val="center"/>
          </w:tcPr>
          <w:p w14:paraId="6248B25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金属边角料</w:t>
            </w:r>
          </w:p>
        </w:tc>
        <w:tc>
          <w:tcPr>
            <w:tcW w:w="1701" w:type="dxa"/>
            <w:vAlign w:val="center"/>
          </w:tcPr>
          <w:p w14:paraId="19EEEF27">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276" w:type="dxa"/>
            <w:vAlign w:val="center"/>
          </w:tcPr>
          <w:p w14:paraId="7E59777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701" w:type="dxa"/>
            <w:vAlign w:val="center"/>
          </w:tcPr>
          <w:p w14:paraId="494826CE">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559" w:type="dxa"/>
            <w:vAlign w:val="center"/>
          </w:tcPr>
          <w:p w14:paraId="7005974E">
            <w:pPr>
              <w:pStyle w:val="23"/>
              <w:keepNext w:val="0"/>
              <w:keepLines w:val="0"/>
              <w:widowControl/>
              <w:suppressLineNumbers w:val="0"/>
              <w:jc w:val="center"/>
              <w:rPr>
                <w:rFonts w:hint="default"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cs="Times New Roman"/>
                <w:snapToGrid w:val="0"/>
                <w:color w:val="auto"/>
                <w:sz w:val="24"/>
                <w:szCs w:val="24"/>
                <w:highlight w:val="none"/>
                <w:lang w:val="en-US" w:eastAsia="zh-CN" w:bidi="zh-CN"/>
              </w:rPr>
              <w:t>5.17</w:t>
            </w:r>
            <w:r>
              <w:rPr>
                <w:rFonts w:hint="default" w:ascii="Times New Roman" w:hAnsi="Times New Roman" w:cs="Times New Roman"/>
                <w:color w:val="auto"/>
                <w:sz w:val="24"/>
                <w:szCs w:val="24"/>
                <w:highlight w:val="none"/>
                <w:lang w:val="en-US" w:eastAsia="zh-CN"/>
              </w:rPr>
              <w:t>t/a</w:t>
            </w:r>
          </w:p>
        </w:tc>
        <w:tc>
          <w:tcPr>
            <w:tcW w:w="1613" w:type="dxa"/>
            <w:vAlign w:val="center"/>
          </w:tcPr>
          <w:p w14:paraId="218A8FD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665" w:type="dxa"/>
            <w:vAlign w:val="center"/>
          </w:tcPr>
          <w:p w14:paraId="5BBBD76F">
            <w:pPr>
              <w:pStyle w:val="23"/>
              <w:keepNext w:val="0"/>
              <w:keepLines w:val="0"/>
              <w:widowControl/>
              <w:suppressLineNumbers w:val="0"/>
              <w:jc w:val="center"/>
              <w:rPr>
                <w:rFonts w:hint="default" w:ascii="Times New Roman" w:hAnsi="Times New Roman" w:cs="Times New Roman"/>
                <w:color w:val="auto"/>
                <w:sz w:val="24"/>
                <w:szCs w:val="24"/>
                <w:highlight w:val="none"/>
              </w:rPr>
            </w:pPr>
            <w:r>
              <w:rPr>
                <w:rFonts w:hint="eastAsia" w:ascii="Times New Roman" w:hAnsi="Times New Roman" w:cs="Times New Roman"/>
                <w:snapToGrid w:val="0"/>
                <w:color w:val="auto"/>
                <w:sz w:val="24"/>
                <w:szCs w:val="24"/>
                <w:highlight w:val="none"/>
                <w:lang w:val="en-US" w:eastAsia="zh-CN" w:bidi="zh-CN"/>
              </w:rPr>
              <w:t>5.17</w:t>
            </w:r>
            <w:r>
              <w:rPr>
                <w:rFonts w:hint="default" w:ascii="Times New Roman" w:hAnsi="Times New Roman" w:cs="Times New Roman"/>
                <w:color w:val="auto"/>
                <w:sz w:val="24"/>
                <w:szCs w:val="24"/>
                <w:highlight w:val="none"/>
                <w:lang w:val="en-US" w:eastAsia="zh-CN"/>
              </w:rPr>
              <w:t>t/a</w:t>
            </w:r>
          </w:p>
        </w:tc>
        <w:tc>
          <w:tcPr>
            <w:tcW w:w="1268" w:type="dxa"/>
            <w:vAlign w:val="center"/>
          </w:tcPr>
          <w:p w14:paraId="504491FE">
            <w:pPr>
              <w:pStyle w:val="23"/>
              <w:keepNext w:val="0"/>
              <w:keepLines w:val="0"/>
              <w:widowControl/>
              <w:suppressLineNumbers w:val="0"/>
              <w:jc w:val="center"/>
              <w:rPr>
                <w:rFonts w:hint="default" w:ascii="Times New Roman" w:hAnsi="Times New Roman" w:cs="Times New Roman"/>
                <w:color w:val="auto"/>
                <w:sz w:val="24"/>
                <w:szCs w:val="24"/>
                <w:highlight w:val="none"/>
              </w:rPr>
            </w:pPr>
            <w:r>
              <w:rPr>
                <w:rFonts w:hint="eastAsia" w:ascii="Times New Roman" w:hAnsi="Times New Roman" w:cs="Times New Roman"/>
                <w:snapToGrid w:val="0"/>
                <w:color w:val="auto"/>
                <w:sz w:val="24"/>
                <w:szCs w:val="24"/>
                <w:highlight w:val="none"/>
                <w:lang w:val="en-US" w:eastAsia="zh-CN" w:bidi="zh-CN"/>
              </w:rPr>
              <w:t>+5.17</w:t>
            </w:r>
            <w:r>
              <w:rPr>
                <w:rFonts w:hint="default" w:ascii="Times New Roman" w:hAnsi="Times New Roman" w:cs="Times New Roman"/>
                <w:color w:val="auto"/>
                <w:sz w:val="24"/>
                <w:szCs w:val="24"/>
                <w:highlight w:val="none"/>
                <w:lang w:val="en-US" w:eastAsia="zh-CN"/>
              </w:rPr>
              <w:t>t/a</w:t>
            </w:r>
          </w:p>
        </w:tc>
      </w:tr>
      <w:tr w14:paraId="36A5F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60A4B465">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29A9616E">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焊渣</w:t>
            </w:r>
          </w:p>
        </w:tc>
        <w:tc>
          <w:tcPr>
            <w:tcW w:w="1701" w:type="dxa"/>
            <w:vAlign w:val="center"/>
          </w:tcPr>
          <w:p w14:paraId="620B918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276" w:type="dxa"/>
            <w:vAlign w:val="center"/>
          </w:tcPr>
          <w:p w14:paraId="70DAB657">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701" w:type="dxa"/>
            <w:vAlign w:val="center"/>
          </w:tcPr>
          <w:p w14:paraId="119220B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559" w:type="dxa"/>
            <w:vAlign w:val="center"/>
          </w:tcPr>
          <w:p w14:paraId="2DFCEE29">
            <w:pPr>
              <w:pStyle w:val="23"/>
              <w:keepNext w:val="0"/>
              <w:keepLines w:val="0"/>
              <w:widowControl/>
              <w:suppressLineNumbers w:val="0"/>
              <w:jc w:val="center"/>
              <w:rPr>
                <w:rFonts w:hint="default" w:ascii="Times New Roman" w:hAnsi="Times New Roman" w:eastAsia="宋体" w:cs="Times New Roman"/>
                <w:snapToGrid w:val="0"/>
                <w:color w:val="auto"/>
                <w:sz w:val="24"/>
                <w:szCs w:val="24"/>
                <w:highlight w:val="none"/>
                <w:lang w:val="en-US" w:eastAsia="zh-CN" w:bidi="ar-SA"/>
              </w:rPr>
            </w:pPr>
            <w:r>
              <w:rPr>
                <w:rFonts w:hint="default" w:ascii="Times New Roman" w:hAnsi="Times New Roman" w:eastAsia="宋体" w:cs="Times New Roman"/>
                <w:snapToGrid w:val="0"/>
                <w:color w:val="auto"/>
                <w:sz w:val="24"/>
                <w:szCs w:val="24"/>
                <w:highlight w:val="none"/>
                <w:lang w:val="en-US" w:eastAsia="zh-CN" w:bidi="ar-SA"/>
              </w:rPr>
              <w:t>2.1</w:t>
            </w:r>
            <w:r>
              <w:rPr>
                <w:rFonts w:hint="default" w:ascii="Times New Roman" w:hAnsi="Times New Roman" w:cs="Times New Roman"/>
                <w:color w:val="auto"/>
                <w:sz w:val="24"/>
                <w:szCs w:val="24"/>
                <w:highlight w:val="none"/>
                <w:lang w:val="en-US" w:eastAsia="zh-CN"/>
              </w:rPr>
              <w:t>t/a</w:t>
            </w:r>
          </w:p>
        </w:tc>
        <w:tc>
          <w:tcPr>
            <w:tcW w:w="1613" w:type="dxa"/>
            <w:vAlign w:val="center"/>
          </w:tcPr>
          <w:p w14:paraId="5B4955C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665" w:type="dxa"/>
            <w:vAlign w:val="center"/>
          </w:tcPr>
          <w:p w14:paraId="276CF762">
            <w:pPr>
              <w:pStyle w:val="23"/>
              <w:keepNext w:val="0"/>
              <w:keepLines w:val="0"/>
              <w:widowControl/>
              <w:suppressLineNumbers w:val="0"/>
              <w:jc w:val="center"/>
              <w:rPr>
                <w:rFonts w:hint="default" w:ascii="Times New Roman" w:hAnsi="Times New Roman" w:cs="Times New Roman"/>
                <w:color w:val="auto"/>
                <w:sz w:val="24"/>
                <w:szCs w:val="24"/>
                <w:highlight w:val="none"/>
              </w:rPr>
            </w:pPr>
            <w:r>
              <w:rPr>
                <w:rFonts w:hint="default" w:ascii="Times New Roman" w:hAnsi="Times New Roman" w:eastAsia="宋体" w:cs="Times New Roman"/>
                <w:snapToGrid w:val="0"/>
                <w:color w:val="auto"/>
                <w:sz w:val="24"/>
                <w:szCs w:val="24"/>
                <w:highlight w:val="none"/>
                <w:lang w:val="en-US" w:eastAsia="zh-CN" w:bidi="ar-SA"/>
              </w:rPr>
              <w:t>2.1</w:t>
            </w:r>
            <w:r>
              <w:rPr>
                <w:rFonts w:hint="default" w:ascii="Times New Roman" w:hAnsi="Times New Roman" w:cs="Times New Roman"/>
                <w:color w:val="auto"/>
                <w:sz w:val="24"/>
                <w:szCs w:val="24"/>
                <w:highlight w:val="none"/>
                <w:lang w:val="en-US" w:eastAsia="zh-CN"/>
              </w:rPr>
              <w:t>t/a</w:t>
            </w:r>
          </w:p>
        </w:tc>
        <w:tc>
          <w:tcPr>
            <w:tcW w:w="1268" w:type="dxa"/>
            <w:vAlign w:val="center"/>
          </w:tcPr>
          <w:p w14:paraId="1A5B2BA4">
            <w:pPr>
              <w:pStyle w:val="23"/>
              <w:keepNext w:val="0"/>
              <w:keepLines w:val="0"/>
              <w:widowControl/>
              <w:suppressLineNumbers w:val="0"/>
              <w:jc w:val="center"/>
              <w:rPr>
                <w:rFonts w:hint="default" w:ascii="Times New Roman" w:hAnsi="Times New Roman" w:cs="Times New Roman"/>
                <w:color w:val="auto"/>
                <w:sz w:val="24"/>
                <w:szCs w:val="24"/>
                <w:highlight w:val="none"/>
              </w:rPr>
            </w:pPr>
            <w:r>
              <w:rPr>
                <w:rFonts w:hint="eastAsia" w:ascii="Times New Roman" w:hAnsi="Times New Roman" w:eastAsia="宋体" w:cs="Times New Roman"/>
                <w:snapToGrid w:val="0"/>
                <w:color w:val="auto"/>
                <w:sz w:val="24"/>
                <w:szCs w:val="24"/>
                <w:highlight w:val="none"/>
                <w:lang w:val="en-US" w:eastAsia="zh-CN" w:bidi="ar-SA"/>
              </w:rPr>
              <w:t>+</w:t>
            </w:r>
            <w:r>
              <w:rPr>
                <w:rFonts w:hint="default" w:ascii="Times New Roman" w:hAnsi="Times New Roman" w:eastAsia="宋体" w:cs="Times New Roman"/>
                <w:snapToGrid w:val="0"/>
                <w:color w:val="auto"/>
                <w:sz w:val="24"/>
                <w:szCs w:val="24"/>
                <w:highlight w:val="none"/>
                <w:lang w:val="en-US" w:eastAsia="zh-CN" w:bidi="ar-SA"/>
              </w:rPr>
              <w:t>2.1</w:t>
            </w:r>
            <w:r>
              <w:rPr>
                <w:rFonts w:hint="default" w:ascii="Times New Roman" w:hAnsi="Times New Roman" w:cs="Times New Roman"/>
                <w:color w:val="auto"/>
                <w:sz w:val="24"/>
                <w:szCs w:val="24"/>
                <w:highlight w:val="none"/>
                <w:lang w:val="en-US" w:eastAsia="zh-CN"/>
              </w:rPr>
              <w:t>t/a</w:t>
            </w:r>
          </w:p>
        </w:tc>
      </w:tr>
      <w:tr w14:paraId="4F429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3BC84B0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35D3D4A4">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布袋除尘器收尘</w:t>
            </w:r>
          </w:p>
        </w:tc>
        <w:tc>
          <w:tcPr>
            <w:tcW w:w="1701" w:type="dxa"/>
            <w:vAlign w:val="center"/>
          </w:tcPr>
          <w:p w14:paraId="5B34F8B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0D8E6658">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3400105A">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52E17EBB">
            <w:pPr>
              <w:pStyle w:val="23"/>
              <w:keepNext w:val="0"/>
              <w:keepLines w:val="0"/>
              <w:widowControl/>
              <w:suppressLineNumbers w:val="0"/>
              <w:jc w:val="center"/>
              <w:rPr>
                <w:rFonts w:hint="default" w:ascii="Times New Roman" w:hAnsi="Times New Roman" w:eastAsia="Arial" w:cs="Times New Roman"/>
                <w:snapToGrid w:val="0"/>
                <w:color w:val="auto"/>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11.163</w:t>
            </w:r>
            <w:r>
              <w:rPr>
                <w:rFonts w:hint="default" w:ascii="Times New Roman" w:hAnsi="Times New Roman" w:cs="Times New Roman"/>
                <w:color w:val="auto"/>
                <w:sz w:val="24"/>
                <w:szCs w:val="24"/>
                <w:highlight w:val="none"/>
                <w:lang w:val="en-US" w:eastAsia="zh-CN"/>
              </w:rPr>
              <w:t>t/a</w:t>
            </w:r>
          </w:p>
        </w:tc>
        <w:tc>
          <w:tcPr>
            <w:tcW w:w="1613" w:type="dxa"/>
            <w:vAlign w:val="center"/>
          </w:tcPr>
          <w:p w14:paraId="6B14193E">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c>
          <w:tcPr>
            <w:tcW w:w="1665" w:type="dxa"/>
            <w:vAlign w:val="center"/>
          </w:tcPr>
          <w:p w14:paraId="71B24E97">
            <w:pPr>
              <w:pStyle w:val="23"/>
              <w:keepNext w:val="0"/>
              <w:keepLines w:val="0"/>
              <w:widowControl/>
              <w:suppressLineNumbers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11.163</w:t>
            </w:r>
            <w:r>
              <w:rPr>
                <w:rFonts w:hint="default" w:ascii="Times New Roman" w:hAnsi="Times New Roman" w:cs="Times New Roman"/>
                <w:color w:val="auto"/>
                <w:sz w:val="24"/>
                <w:szCs w:val="24"/>
                <w:highlight w:val="none"/>
                <w:lang w:val="en-US" w:eastAsia="zh-CN"/>
              </w:rPr>
              <w:t>t/a</w:t>
            </w:r>
          </w:p>
        </w:tc>
        <w:tc>
          <w:tcPr>
            <w:tcW w:w="1268" w:type="dxa"/>
            <w:vAlign w:val="center"/>
          </w:tcPr>
          <w:p w14:paraId="5DA71F22">
            <w:pPr>
              <w:pStyle w:val="23"/>
              <w:keepNext w:val="0"/>
              <w:keepLines w:val="0"/>
              <w:widowControl/>
              <w:suppressLineNumbers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+11.163</w:t>
            </w:r>
            <w:r>
              <w:rPr>
                <w:rFonts w:hint="default" w:ascii="Times New Roman" w:hAnsi="Times New Roman" w:cs="Times New Roman"/>
                <w:color w:val="auto"/>
                <w:sz w:val="24"/>
                <w:szCs w:val="24"/>
                <w:highlight w:val="none"/>
                <w:lang w:val="en-US" w:eastAsia="zh-CN"/>
              </w:rPr>
              <w:t>t/a</w:t>
            </w:r>
          </w:p>
        </w:tc>
      </w:tr>
      <w:tr w14:paraId="6A930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645B4795">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18E526B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滤芯收集尘</w:t>
            </w:r>
          </w:p>
        </w:tc>
        <w:tc>
          <w:tcPr>
            <w:tcW w:w="1701" w:type="dxa"/>
            <w:vAlign w:val="center"/>
          </w:tcPr>
          <w:p w14:paraId="2A0A2ED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276" w:type="dxa"/>
            <w:vAlign w:val="center"/>
          </w:tcPr>
          <w:p w14:paraId="63B2CB9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701" w:type="dxa"/>
            <w:vAlign w:val="center"/>
          </w:tcPr>
          <w:p w14:paraId="5D391427">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559" w:type="dxa"/>
            <w:vAlign w:val="center"/>
          </w:tcPr>
          <w:p w14:paraId="71C71420">
            <w:pPr>
              <w:pStyle w:val="23"/>
              <w:keepNext w:val="0"/>
              <w:keepLines w:val="0"/>
              <w:widowControl/>
              <w:suppressLineNumbers w:val="0"/>
              <w:jc w:val="center"/>
              <w:rPr>
                <w:rFonts w:hint="default"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43.384</w:t>
            </w:r>
            <w:r>
              <w:rPr>
                <w:rFonts w:hint="default" w:ascii="Times New Roman" w:hAnsi="Times New Roman" w:cs="Times New Roman"/>
                <w:color w:val="auto"/>
                <w:sz w:val="24"/>
                <w:szCs w:val="24"/>
                <w:highlight w:val="none"/>
                <w:lang w:val="en-US" w:eastAsia="zh-CN"/>
              </w:rPr>
              <w:t>t/a</w:t>
            </w:r>
          </w:p>
        </w:tc>
        <w:tc>
          <w:tcPr>
            <w:tcW w:w="1613" w:type="dxa"/>
            <w:vAlign w:val="center"/>
          </w:tcPr>
          <w:p w14:paraId="7D5C086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c>
          <w:tcPr>
            <w:tcW w:w="1665" w:type="dxa"/>
            <w:vAlign w:val="center"/>
          </w:tcPr>
          <w:p w14:paraId="4EBB767D">
            <w:pPr>
              <w:pStyle w:val="23"/>
              <w:keepNext w:val="0"/>
              <w:keepLines w:val="0"/>
              <w:widowControl/>
              <w:suppressLineNumbers w:val="0"/>
              <w:jc w:val="center"/>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43.384</w:t>
            </w:r>
            <w:r>
              <w:rPr>
                <w:rFonts w:hint="default" w:ascii="Times New Roman" w:hAnsi="Times New Roman" w:cs="Times New Roman"/>
                <w:color w:val="auto"/>
                <w:sz w:val="24"/>
                <w:szCs w:val="24"/>
                <w:highlight w:val="none"/>
                <w:lang w:val="en-US" w:eastAsia="zh-CN"/>
              </w:rPr>
              <w:t>t/a</w:t>
            </w:r>
          </w:p>
        </w:tc>
        <w:tc>
          <w:tcPr>
            <w:tcW w:w="1268" w:type="dxa"/>
            <w:vAlign w:val="center"/>
          </w:tcPr>
          <w:p w14:paraId="08BD8B3B">
            <w:pPr>
              <w:pStyle w:val="23"/>
              <w:keepNext w:val="0"/>
              <w:keepLines w:val="0"/>
              <w:widowControl/>
              <w:suppressLineNumbers w:val="0"/>
              <w:jc w:val="center"/>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+43.384</w:t>
            </w:r>
            <w:r>
              <w:rPr>
                <w:rFonts w:hint="default" w:ascii="Times New Roman" w:hAnsi="Times New Roman" w:cs="Times New Roman"/>
                <w:color w:val="auto"/>
                <w:sz w:val="24"/>
                <w:szCs w:val="24"/>
                <w:highlight w:val="none"/>
                <w:lang w:val="en-US" w:eastAsia="zh-CN"/>
              </w:rPr>
              <w:t>t/a</w:t>
            </w:r>
          </w:p>
        </w:tc>
      </w:tr>
      <w:tr w14:paraId="32ABE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256EA72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危险废物</w:t>
            </w:r>
          </w:p>
        </w:tc>
        <w:tc>
          <w:tcPr>
            <w:tcW w:w="1417" w:type="dxa"/>
            <w:vAlign w:val="center"/>
          </w:tcPr>
          <w:p w14:paraId="210EBCBD">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废活性炭</w:t>
            </w:r>
          </w:p>
        </w:tc>
        <w:tc>
          <w:tcPr>
            <w:tcW w:w="1701" w:type="dxa"/>
            <w:vAlign w:val="center"/>
          </w:tcPr>
          <w:p w14:paraId="4D6B5C07">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276" w:type="dxa"/>
            <w:vAlign w:val="center"/>
          </w:tcPr>
          <w:p w14:paraId="2AB6495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701" w:type="dxa"/>
            <w:vAlign w:val="center"/>
          </w:tcPr>
          <w:p w14:paraId="2E277AEC">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w:t>
            </w:r>
          </w:p>
        </w:tc>
        <w:tc>
          <w:tcPr>
            <w:tcW w:w="1559" w:type="dxa"/>
            <w:vAlign w:val="center"/>
          </w:tcPr>
          <w:p w14:paraId="3BA3890D">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snapToGrid w:val="0"/>
                <w:color w:val="auto"/>
                <w:sz w:val="24"/>
                <w:szCs w:val="24"/>
                <w:highlight w:val="none"/>
                <w:lang w:val="en-US" w:eastAsia="zh-CN" w:bidi="ar-SA"/>
              </w:rPr>
            </w:pPr>
            <w:r>
              <w:rPr>
                <w:rFonts w:hint="eastAsia" w:cs="Times New Roman"/>
                <w:color w:val="auto"/>
                <w:sz w:val="24"/>
                <w:szCs w:val="24"/>
                <w:highlight w:val="none"/>
                <w:lang w:val="en-US" w:eastAsia="zh-CN"/>
              </w:rPr>
              <w:t>25.12</w:t>
            </w:r>
            <w:r>
              <w:rPr>
                <w:rFonts w:hint="default" w:ascii="Times New Roman" w:hAnsi="Times New Roman" w:cs="Times New Roman"/>
                <w:color w:val="auto"/>
                <w:sz w:val="24"/>
                <w:szCs w:val="24"/>
                <w:highlight w:val="none"/>
                <w:lang w:val="en-US" w:eastAsia="zh-CN"/>
              </w:rPr>
              <w:t>t/a</w:t>
            </w:r>
          </w:p>
        </w:tc>
        <w:tc>
          <w:tcPr>
            <w:tcW w:w="1613" w:type="dxa"/>
            <w:vAlign w:val="center"/>
          </w:tcPr>
          <w:p w14:paraId="0BCD7EF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665" w:type="dxa"/>
            <w:vAlign w:val="center"/>
          </w:tcPr>
          <w:p w14:paraId="658D330E">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25.12</w:t>
            </w:r>
            <w:r>
              <w:rPr>
                <w:rFonts w:hint="default" w:ascii="Times New Roman" w:hAnsi="Times New Roman" w:cs="Times New Roman"/>
                <w:color w:val="auto"/>
                <w:sz w:val="24"/>
                <w:szCs w:val="24"/>
                <w:highlight w:val="none"/>
                <w:lang w:val="en-US" w:eastAsia="zh-CN"/>
              </w:rPr>
              <w:t>t/a</w:t>
            </w:r>
          </w:p>
        </w:tc>
        <w:tc>
          <w:tcPr>
            <w:tcW w:w="1268" w:type="dxa"/>
            <w:vAlign w:val="center"/>
          </w:tcPr>
          <w:p w14:paraId="74EC920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+25.12</w:t>
            </w:r>
            <w:r>
              <w:rPr>
                <w:rFonts w:hint="default" w:ascii="Times New Roman" w:hAnsi="Times New Roman" w:cs="Times New Roman"/>
                <w:color w:val="auto"/>
                <w:sz w:val="24"/>
                <w:szCs w:val="24"/>
                <w:highlight w:val="none"/>
                <w:lang w:val="en-US" w:eastAsia="zh-CN"/>
              </w:rPr>
              <w:t>t/a</w:t>
            </w:r>
          </w:p>
        </w:tc>
      </w:tr>
      <w:tr w14:paraId="7ED16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377FB87B">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7946303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废过滤棉</w:t>
            </w:r>
          </w:p>
        </w:tc>
        <w:tc>
          <w:tcPr>
            <w:tcW w:w="1701" w:type="dxa"/>
            <w:vAlign w:val="center"/>
          </w:tcPr>
          <w:p w14:paraId="5D2F02F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75AC110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6D3FE24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0BE5A44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Arial" w:cs="Times New Roman"/>
                <w:snapToGrid w:val="0"/>
                <w:color w:val="auto"/>
                <w:sz w:val="24"/>
                <w:szCs w:val="24"/>
                <w:highlight w:val="none"/>
                <w:lang w:val="en-US" w:eastAsia="zh-CN" w:bidi="ar-SA"/>
              </w:rPr>
            </w:pPr>
            <w:r>
              <w:rPr>
                <w:rFonts w:hint="eastAsia" w:cs="Times New Roman"/>
                <w:color w:val="auto"/>
                <w:sz w:val="24"/>
                <w:szCs w:val="24"/>
                <w:highlight w:val="none"/>
                <w:lang w:val="en-US" w:eastAsia="zh-CN"/>
              </w:rPr>
              <w:t>18.27t/</w:t>
            </w:r>
            <w:r>
              <w:rPr>
                <w:rFonts w:hint="default" w:ascii="Times New Roman" w:hAnsi="Times New Roman" w:cs="Times New Roman"/>
                <w:color w:val="auto"/>
                <w:sz w:val="24"/>
                <w:szCs w:val="24"/>
                <w:highlight w:val="none"/>
                <w:lang w:val="en-US" w:eastAsia="zh-CN"/>
              </w:rPr>
              <w:t>a</w:t>
            </w:r>
          </w:p>
        </w:tc>
        <w:tc>
          <w:tcPr>
            <w:tcW w:w="1613" w:type="dxa"/>
            <w:vAlign w:val="center"/>
          </w:tcPr>
          <w:p w14:paraId="0DD7D7F3">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c>
          <w:tcPr>
            <w:tcW w:w="1665" w:type="dxa"/>
            <w:vAlign w:val="center"/>
          </w:tcPr>
          <w:p w14:paraId="6BC1391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18.27t/</w:t>
            </w:r>
            <w:r>
              <w:rPr>
                <w:rFonts w:hint="default" w:ascii="Times New Roman" w:hAnsi="Times New Roman" w:cs="Times New Roman"/>
                <w:color w:val="auto"/>
                <w:sz w:val="24"/>
                <w:szCs w:val="24"/>
                <w:highlight w:val="none"/>
                <w:lang w:val="en-US" w:eastAsia="zh-CN"/>
              </w:rPr>
              <w:t>a</w:t>
            </w:r>
          </w:p>
        </w:tc>
        <w:tc>
          <w:tcPr>
            <w:tcW w:w="1268" w:type="dxa"/>
            <w:vAlign w:val="center"/>
          </w:tcPr>
          <w:p w14:paraId="350E333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+18.27t/</w:t>
            </w:r>
            <w:r>
              <w:rPr>
                <w:rFonts w:hint="default" w:ascii="Times New Roman" w:hAnsi="Times New Roman" w:cs="Times New Roman"/>
                <w:color w:val="auto"/>
                <w:sz w:val="24"/>
                <w:szCs w:val="24"/>
                <w:highlight w:val="none"/>
                <w:lang w:val="en-US" w:eastAsia="zh-CN"/>
              </w:rPr>
              <w:t>a</w:t>
            </w:r>
          </w:p>
        </w:tc>
      </w:tr>
      <w:tr w14:paraId="3958E4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2FE1935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3336B10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废水性漆桶</w:t>
            </w:r>
          </w:p>
        </w:tc>
        <w:tc>
          <w:tcPr>
            <w:tcW w:w="1701" w:type="dxa"/>
            <w:vAlign w:val="center"/>
          </w:tcPr>
          <w:p w14:paraId="1FEB083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69844459">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60E3C2DB">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466C664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Arial" w:cs="Times New Roman"/>
                <w:snapToGrid w:val="0"/>
                <w:color w:val="auto"/>
                <w:sz w:val="24"/>
                <w:szCs w:val="24"/>
                <w:highlight w:val="none"/>
                <w:lang w:val="en-US" w:eastAsia="zh-CN" w:bidi="ar-SA"/>
              </w:rPr>
            </w:pPr>
            <w:r>
              <w:rPr>
                <w:rFonts w:hint="eastAsia" w:eastAsia="Arial" w:cs="Times New Roman"/>
                <w:snapToGrid w:val="0"/>
                <w:color w:val="auto"/>
                <w:sz w:val="24"/>
                <w:szCs w:val="24"/>
                <w:highlight w:val="none"/>
                <w:lang w:val="en-US" w:eastAsia="zh-CN" w:bidi="ar-SA"/>
              </w:rPr>
              <w:t>2.673</w:t>
            </w:r>
            <w:r>
              <w:rPr>
                <w:rFonts w:hint="default" w:ascii="Times New Roman" w:hAnsi="Times New Roman" w:cs="Times New Roman"/>
                <w:color w:val="auto"/>
                <w:sz w:val="24"/>
                <w:szCs w:val="24"/>
                <w:highlight w:val="none"/>
                <w:lang w:val="en-US" w:eastAsia="zh-CN"/>
              </w:rPr>
              <w:t>t/a</w:t>
            </w:r>
          </w:p>
        </w:tc>
        <w:tc>
          <w:tcPr>
            <w:tcW w:w="1613" w:type="dxa"/>
            <w:vAlign w:val="center"/>
          </w:tcPr>
          <w:p w14:paraId="5E90975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c>
          <w:tcPr>
            <w:tcW w:w="1665" w:type="dxa"/>
            <w:vAlign w:val="center"/>
          </w:tcPr>
          <w:p w14:paraId="791E30D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eastAsia="Arial" w:cs="Times New Roman"/>
                <w:snapToGrid w:val="0"/>
                <w:color w:val="auto"/>
                <w:sz w:val="24"/>
                <w:szCs w:val="24"/>
                <w:highlight w:val="none"/>
                <w:lang w:val="en-US" w:eastAsia="zh-CN" w:bidi="ar-SA"/>
              </w:rPr>
              <w:t>2.673</w:t>
            </w:r>
            <w:r>
              <w:rPr>
                <w:rFonts w:hint="default" w:ascii="Times New Roman" w:hAnsi="Times New Roman" w:cs="Times New Roman"/>
                <w:color w:val="auto"/>
                <w:sz w:val="24"/>
                <w:szCs w:val="24"/>
                <w:highlight w:val="none"/>
                <w:lang w:val="en-US" w:eastAsia="zh-CN"/>
              </w:rPr>
              <w:t>t/a</w:t>
            </w:r>
          </w:p>
        </w:tc>
        <w:tc>
          <w:tcPr>
            <w:tcW w:w="1268" w:type="dxa"/>
            <w:vAlign w:val="center"/>
          </w:tcPr>
          <w:p w14:paraId="37E98B24">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eastAsia="Arial" w:cs="Times New Roman"/>
                <w:snapToGrid w:val="0"/>
                <w:color w:val="auto"/>
                <w:sz w:val="24"/>
                <w:szCs w:val="24"/>
                <w:highlight w:val="none"/>
                <w:lang w:val="en-US" w:eastAsia="zh-CN" w:bidi="ar-SA"/>
              </w:rPr>
              <w:t>+2.673</w:t>
            </w:r>
            <w:r>
              <w:rPr>
                <w:rFonts w:hint="default" w:ascii="Times New Roman" w:hAnsi="Times New Roman" w:cs="Times New Roman"/>
                <w:color w:val="auto"/>
                <w:sz w:val="24"/>
                <w:szCs w:val="24"/>
                <w:highlight w:val="none"/>
                <w:lang w:val="en-US" w:eastAsia="zh-CN"/>
              </w:rPr>
              <w:t>t/a</w:t>
            </w:r>
          </w:p>
        </w:tc>
      </w:tr>
      <w:tr w14:paraId="14D1A7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0E965F1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7ED79E7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漆渣</w:t>
            </w:r>
          </w:p>
        </w:tc>
        <w:tc>
          <w:tcPr>
            <w:tcW w:w="1701" w:type="dxa"/>
            <w:vAlign w:val="center"/>
          </w:tcPr>
          <w:p w14:paraId="75D5341F">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2DFE0DF5">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0769C5FB">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6284A37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Arial" w:cs="Times New Roman"/>
                <w:snapToGrid w:val="0"/>
                <w:color w:val="auto"/>
                <w:sz w:val="24"/>
                <w:szCs w:val="24"/>
                <w:highlight w:val="none"/>
                <w:lang w:val="en-US" w:eastAsia="zh-CN" w:bidi="ar-SA"/>
              </w:rPr>
            </w:pPr>
            <w:r>
              <w:rPr>
                <w:rFonts w:hint="eastAsia" w:eastAsia="Arial" w:cs="Times New Roman"/>
                <w:snapToGrid w:val="0"/>
                <w:color w:val="auto"/>
                <w:sz w:val="24"/>
                <w:szCs w:val="24"/>
                <w:highlight w:val="none"/>
                <w:lang w:val="en-US" w:eastAsia="zh-CN" w:bidi="ar-SA"/>
              </w:rPr>
              <w:t>0.849</w:t>
            </w:r>
            <w:r>
              <w:rPr>
                <w:rFonts w:hint="default" w:ascii="Times New Roman" w:hAnsi="Times New Roman" w:cs="Times New Roman"/>
                <w:color w:val="auto"/>
                <w:sz w:val="24"/>
                <w:szCs w:val="24"/>
                <w:highlight w:val="none"/>
                <w:lang w:val="en-US" w:eastAsia="zh-CN"/>
              </w:rPr>
              <w:t>t/a</w:t>
            </w:r>
          </w:p>
        </w:tc>
        <w:tc>
          <w:tcPr>
            <w:tcW w:w="1613" w:type="dxa"/>
            <w:vAlign w:val="center"/>
          </w:tcPr>
          <w:p w14:paraId="702C863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c>
          <w:tcPr>
            <w:tcW w:w="1665" w:type="dxa"/>
            <w:vAlign w:val="center"/>
          </w:tcPr>
          <w:p w14:paraId="66A496CC">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Arial" w:cs="Times New Roman"/>
                <w:snapToGrid w:val="0"/>
                <w:color w:val="auto"/>
                <w:sz w:val="24"/>
                <w:szCs w:val="24"/>
                <w:highlight w:val="none"/>
                <w:lang w:val="en-US" w:eastAsia="zh-CN" w:bidi="ar-SA"/>
              </w:rPr>
            </w:pPr>
            <w:r>
              <w:rPr>
                <w:rFonts w:hint="eastAsia" w:eastAsia="Arial" w:cs="Times New Roman"/>
                <w:snapToGrid w:val="0"/>
                <w:color w:val="auto"/>
                <w:sz w:val="24"/>
                <w:szCs w:val="24"/>
                <w:highlight w:val="none"/>
                <w:lang w:val="en-US" w:eastAsia="zh-CN" w:bidi="ar-SA"/>
              </w:rPr>
              <w:t>0.849</w:t>
            </w:r>
            <w:r>
              <w:rPr>
                <w:rFonts w:hint="default" w:ascii="Times New Roman" w:hAnsi="Times New Roman" w:cs="Times New Roman"/>
                <w:color w:val="auto"/>
                <w:sz w:val="24"/>
                <w:szCs w:val="24"/>
                <w:highlight w:val="none"/>
                <w:lang w:val="en-US" w:eastAsia="zh-CN"/>
              </w:rPr>
              <w:t>t/a</w:t>
            </w:r>
          </w:p>
        </w:tc>
        <w:tc>
          <w:tcPr>
            <w:tcW w:w="1268" w:type="dxa"/>
            <w:vAlign w:val="center"/>
          </w:tcPr>
          <w:p w14:paraId="45F3BFAA">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eastAsia" w:eastAsia="Arial" w:cs="Times New Roman"/>
                <w:snapToGrid w:val="0"/>
                <w:color w:val="auto"/>
                <w:sz w:val="24"/>
                <w:szCs w:val="24"/>
                <w:highlight w:val="none"/>
                <w:lang w:val="en-US" w:eastAsia="zh-CN" w:bidi="ar-SA"/>
              </w:rPr>
              <w:t>+0.849</w:t>
            </w:r>
            <w:r>
              <w:rPr>
                <w:rFonts w:hint="default" w:ascii="Times New Roman" w:hAnsi="Times New Roman" w:cs="Times New Roman"/>
                <w:color w:val="auto"/>
                <w:sz w:val="24"/>
                <w:szCs w:val="24"/>
                <w:highlight w:val="none"/>
                <w:lang w:val="en-US" w:eastAsia="zh-CN"/>
              </w:rPr>
              <w:t>t/a</w:t>
            </w:r>
          </w:p>
        </w:tc>
      </w:tr>
      <w:tr w14:paraId="1813E0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6453492B">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6503DC7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废机油</w:t>
            </w:r>
          </w:p>
        </w:tc>
        <w:tc>
          <w:tcPr>
            <w:tcW w:w="1701" w:type="dxa"/>
            <w:vAlign w:val="center"/>
          </w:tcPr>
          <w:p w14:paraId="4F015DB4">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43F88291">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3A2969F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6726C41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t/a</w:t>
            </w:r>
          </w:p>
        </w:tc>
        <w:tc>
          <w:tcPr>
            <w:tcW w:w="1613" w:type="dxa"/>
            <w:vAlign w:val="center"/>
          </w:tcPr>
          <w:p w14:paraId="26966A2A">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lang w:val="en-US" w:eastAsia="zh-CN"/>
              </w:rPr>
            </w:pPr>
          </w:p>
        </w:tc>
        <w:tc>
          <w:tcPr>
            <w:tcW w:w="1665" w:type="dxa"/>
            <w:vAlign w:val="center"/>
          </w:tcPr>
          <w:p w14:paraId="0AB0D53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t/a</w:t>
            </w:r>
          </w:p>
        </w:tc>
        <w:tc>
          <w:tcPr>
            <w:tcW w:w="1268" w:type="dxa"/>
            <w:vAlign w:val="center"/>
          </w:tcPr>
          <w:p w14:paraId="78F19F2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t/a</w:t>
            </w:r>
          </w:p>
        </w:tc>
      </w:tr>
      <w:tr w14:paraId="23234D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7310ABB0">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3436E98E">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废机油桶</w:t>
            </w:r>
          </w:p>
        </w:tc>
        <w:tc>
          <w:tcPr>
            <w:tcW w:w="1701" w:type="dxa"/>
            <w:vAlign w:val="center"/>
          </w:tcPr>
          <w:p w14:paraId="1197CC50">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636C1CF5">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791D10D3">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3E3EF7E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default" w:ascii="Times New Roman" w:hAnsi="Times New Roman" w:cs="Times New Roman"/>
                <w:snapToGrid w:val="0"/>
                <w:color w:val="auto"/>
                <w:sz w:val="24"/>
                <w:szCs w:val="24"/>
                <w:highlight w:val="none"/>
                <w:lang w:val="en-US" w:eastAsia="zh-CN" w:bidi="ar-SA"/>
              </w:rPr>
              <w:t>0.</w:t>
            </w:r>
            <w:r>
              <w:rPr>
                <w:rFonts w:hint="eastAsia" w:cs="Times New Roman"/>
                <w:snapToGrid w:val="0"/>
                <w:color w:val="auto"/>
                <w:sz w:val="24"/>
                <w:szCs w:val="24"/>
                <w:highlight w:val="none"/>
                <w:lang w:val="en-US" w:eastAsia="zh-CN" w:bidi="ar-SA"/>
              </w:rPr>
              <w:t>1</w:t>
            </w:r>
            <w:r>
              <w:rPr>
                <w:rFonts w:hint="default" w:ascii="Times New Roman" w:hAnsi="Times New Roman" w:cs="Times New Roman"/>
                <w:color w:val="auto"/>
                <w:sz w:val="24"/>
                <w:szCs w:val="24"/>
                <w:highlight w:val="none"/>
                <w:lang w:val="en-US" w:eastAsia="zh-CN"/>
              </w:rPr>
              <w:t>t/a</w:t>
            </w:r>
          </w:p>
        </w:tc>
        <w:tc>
          <w:tcPr>
            <w:tcW w:w="1613" w:type="dxa"/>
            <w:vAlign w:val="center"/>
          </w:tcPr>
          <w:p w14:paraId="7FD13CA3">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lang w:val="en-US" w:eastAsia="zh-CN"/>
              </w:rPr>
            </w:pPr>
          </w:p>
        </w:tc>
        <w:tc>
          <w:tcPr>
            <w:tcW w:w="1665" w:type="dxa"/>
            <w:vAlign w:val="center"/>
          </w:tcPr>
          <w:p w14:paraId="20CE113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default" w:ascii="Times New Roman" w:hAnsi="Times New Roman" w:cs="Times New Roman"/>
                <w:snapToGrid w:val="0"/>
                <w:color w:val="auto"/>
                <w:sz w:val="24"/>
                <w:szCs w:val="24"/>
                <w:highlight w:val="none"/>
                <w:lang w:val="en-US" w:eastAsia="zh-CN" w:bidi="ar-SA"/>
              </w:rPr>
              <w:t>0.</w:t>
            </w:r>
            <w:r>
              <w:rPr>
                <w:rFonts w:hint="eastAsia" w:cs="Times New Roman"/>
                <w:snapToGrid w:val="0"/>
                <w:color w:val="auto"/>
                <w:sz w:val="24"/>
                <w:szCs w:val="24"/>
                <w:highlight w:val="none"/>
                <w:lang w:val="en-US" w:eastAsia="zh-CN" w:bidi="ar-SA"/>
              </w:rPr>
              <w:t>1</w:t>
            </w:r>
            <w:r>
              <w:rPr>
                <w:rFonts w:hint="default" w:ascii="Times New Roman" w:hAnsi="Times New Roman" w:cs="Times New Roman"/>
                <w:color w:val="auto"/>
                <w:sz w:val="24"/>
                <w:szCs w:val="24"/>
                <w:highlight w:val="none"/>
                <w:lang w:val="en-US" w:eastAsia="zh-CN"/>
              </w:rPr>
              <w:t>t/a</w:t>
            </w:r>
          </w:p>
        </w:tc>
        <w:tc>
          <w:tcPr>
            <w:tcW w:w="1268" w:type="dxa"/>
            <w:vAlign w:val="center"/>
          </w:tcPr>
          <w:p w14:paraId="3F8F072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eastAsia" w:ascii="Times New Roman" w:hAnsi="Times New Roman" w:cs="Times New Roman"/>
                <w:snapToGrid w:val="0"/>
                <w:color w:val="auto"/>
                <w:sz w:val="24"/>
                <w:szCs w:val="24"/>
                <w:highlight w:val="none"/>
                <w:lang w:val="en-US" w:eastAsia="zh-CN" w:bidi="ar-SA"/>
              </w:rPr>
              <w:t>+</w:t>
            </w:r>
            <w:r>
              <w:rPr>
                <w:rFonts w:hint="default" w:ascii="Times New Roman" w:hAnsi="Times New Roman" w:cs="Times New Roman"/>
                <w:snapToGrid w:val="0"/>
                <w:color w:val="auto"/>
                <w:sz w:val="24"/>
                <w:szCs w:val="24"/>
                <w:highlight w:val="none"/>
                <w:lang w:val="en-US" w:eastAsia="zh-CN" w:bidi="ar-SA"/>
              </w:rPr>
              <w:t>0.</w:t>
            </w:r>
            <w:r>
              <w:rPr>
                <w:rFonts w:hint="eastAsia" w:cs="Times New Roman"/>
                <w:snapToGrid w:val="0"/>
                <w:color w:val="auto"/>
                <w:sz w:val="24"/>
                <w:szCs w:val="24"/>
                <w:highlight w:val="none"/>
                <w:lang w:val="en-US" w:eastAsia="zh-CN" w:bidi="ar-SA"/>
              </w:rPr>
              <w:t>1</w:t>
            </w:r>
            <w:r>
              <w:rPr>
                <w:rFonts w:hint="default" w:ascii="Times New Roman" w:hAnsi="Times New Roman" w:cs="Times New Roman"/>
                <w:color w:val="auto"/>
                <w:sz w:val="24"/>
                <w:szCs w:val="24"/>
                <w:highlight w:val="none"/>
                <w:lang w:val="en-US" w:eastAsia="zh-CN"/>
              </w:rPr>
              <w:t>t/a</w:t>
            </w:r>
          </w:p>
        </w:tc>
      </w:tr>
      <w:tr w14:paraId="76644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1EED1ED6">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rPr>
            </w:pPr>
          </w:p>
        </w:tc>
        <w:tc>
          <w:tcPr>
            <w:tcW w:w="1417" w:type="dxa"/>
            <w:vAlign w:val="center"/>
          </w:tcPr>
          <w:p w14:paraId="64ADFB73">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槽渣及污泥</w:t>
            </w:r>
          </w:p>
        </w:tc>
        <w:tc>
          <w:tcPr>
            <w:tcW w:w="1701" w:type="dxa"/>
            <w:vAlign w:val="center"/>
          </w:tcPr>
          <w:p w14:paraId="60EC999B">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276" w:type="dxa"/>
            <w:vAlign w:val="center"/>
          </w:tcPr>
          <w:p w14:paraId="187B1537">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701" w:type="dxa"/>
            <w:vAlign w:val="center"/>
          </w:tcPr>
          <w:p w14:paraId="69570CCB">
            <w:pPr>
              <w:pStyle w:val="54"/>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559" w:type="dxa"/>
            <w:vAlign w:val="center"/>
          </w:tcPr>
          <w:p w14:paraId="7CD0E71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default" w:ascii="Times New Roman" w:hAnsi="Times New Roman" w:cs="Times New Roman"/>
                <w:snapToGrid w:val="0"/>
                <w:color w:val="auto"/>
                <w:sz w:val="24"/>
                <w:szCs w:val="24"/>
                <w:highlight w:val="none"/>
                <w:lang w:val="en-US" w:eastAsia="zh-CN" w:bidi="ar-SA"/>
              </w:rPr>
              <w:t>1.0</w:t>
            </w:r>
            <w:r>
              <w:rPr>
                <w:rFonts w:hint="default" w:ascii="Times New Roman" w:hAnsi="Times New Roman" w:cs="Times New Roman"/>
                <w:color w:val="auto"/>
                <w:sz w:val="24"/>
                <w:szCs w:val="24"/>
                <w:highlight w:val="none"/>
                <w:lang w:val="en-US" w:eastAsia="zh-CN"/>
              </w:rPr>
              <w:t>t/a</w:t>
            </w:r>
          </w:p>
        </w:tc>
        <w:tc>
          <w:tcPr>
            <w:tcW w:w="1613" w:type="dxa"/>
            <w:vAlign w:val="center"/>
          </w:tcPr>
          <w:p w14:paraId="71F9F34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4"/>
                <w:szCs w:val="24"/>
                <w:highlight w:val="none"/>
                <w:lang w:val="en-US" w:eastAsia="zh-CN"/>
              </w:rPr>
            </w:pPr>
          </w:p>
        </w:tc>
        <w:tc>
          <w:tcPr>
            <w:tcW w:w="1665" w:type="dxa"/>
            <w:vAlign w:val="center"/>
          </w:tcPr>
          <w:p w14:paraId="1D0F0A7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default" w:ascii="Times New Roman" w:hAnsi="Times New Roman" w:cs="Times New Roman"/>
                <w:snapToGrid w:val="0"/>
                <w:color w:val="auto"/>
                <w:sz w:val="24"/>
                <w:szCs w:val="24"/>
                <w:highlight w:val="none"/>
                <w:lang w:val="en-US" w:eastAsia="zh-CN" w:bidi="ar-SA"/>
              </w:rPr>
              <w:t>1.0</w:t>
            </w:r>
            <w:r>
              <w:rPr>
                <w:rFonts w:hint="default" w:ascii="Times New Roman" w:hAnsi="Times New Roman" w:cs="Times New Roman"/>
                <w:color w:val="auto"/>
                <w:sz w:val="24"/>
                <w:szCs w:val="24"/>
                <w:highlight w:val="none"/>
                <w:lang w:val="en-US" w:eastAsia="zh-CN"/>
              </w:rPr>
              <w:t>t/a</w:t>
            </w:r>
          </w:p>
        </w:tc>
        <w:tc>
          <w:tcPr>
            <w:tcW w:w="1268" w:type="dxa"/>
            <w:vAlign w:val="center"/>
          </w:tcPr>
          <w:p w14:paraId="742EF87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napToGrid w:val="0"/>
                <w:color w:val="auto"/>
                <w:sz w:val="24"/>
                <w:szCs w:val="24"/>
                <w:highlight w:val="none"/>
                <w:lang w:val="en-US" w:eastAsia="zh-CN" w:bidi="ar-SA"/>
              </w:rPr>
            </w:pPr>
            <w:r>
              <w:rPr>
                <w:rFonts w:hint="eastAsia" w:ascii="Times New Roman" w:hAnsi="Times New Roman" w:cs="Times New Roman"/>
                <w:snapToGrid w:val="0"/>
                <w:color w:val="auto"/>
                <w:sz w:val="24"/>
                <w:szCs w:val="24"/>
                <w:highlight w:val="none"/>
                <w:lang w:val="en-US" w:eastAsia="zh-CN" w:bidi="ar-SA"/>
              </w:rPr>
              <w:t>+</w:t>
            </w:r>
            <w:r>
              <w:rPr>
                <w:rFonts w:hint="default" w:ascii="Times New Roman" w:hAnsi="Times New Roman" w:cs="Times New Roman"/>
                <w:snapToGrid w:val="0"/>
                <w:color w:val="auto"/>
                <w:sz w:val="24"/>
                <w:szCs w:val="24"/>
                <w:highlight w:val="none"/>
                <w:lang w:val="en-US" w:eastAsia="zh-CN" w:bidi="ar-SA"/>
              </w:rPr>
              <w:t>1.0</w:t>
            </w:r>
            <w:r>
              <w:rPr>
                <w:rFonts w:hint="default" w:ascii="Times New Roman" w:hAnsi="Times New Roman" w:cs="Times New Roman"/>
                <w:color w:val="auto"/>
                <w:sz w:val="24"/>
                <w:szCs w:val="24"/>
                <w:highlight w:val="none"/>
                <w:lang w:val="en-US" w:eastAsia="zh-CN"/>
              </w:rPr>
              <w:t>t/a</w:t>
            </w:r>
          </w:p>
        </w:tc>
      </w:tr>
    </w:tbl>
    <w:p w14:paraId="4633F354">
      <w:pPr>
        <w:jc w:val="both"/>
        <w:rPr>
          <w:color w:val="auto"/>
          <w:highlight w:val="none"/>
        </w:rPr>
      </w:pPr>
      <w:r>
        <w:rPr>
          <w:rFonts w:hint="eastAsia" w:hAnsi="宋体"/>
          <w:snapToGrid w:val="0"/>
          <w:color w:val="auto"/>
          <w:kern w:val="21"/>
          <w:highlight w:val="none"/>
        </w:rPr>
        <w:t>注：</w:t>
      </w:r>
      <w:r>
        <w:rPr>
          <w:rFonts w:hAnsi="宋体"/>
          <w:snapToGrid w:val="0"/>
          <w:color w:val="auto"/>
          <w:spacing w:val="-16"/>
          <w:kern w:val="21"/>
          <w:highlight w:val="none"/>
        </w:rPr>
        <w:fldChar w:fldCharType="begin"/>
      </w:r>
      <w:r>
        <w:rPr>
          <w:rFonts w:hAnsi="宋体"/>
          <w:snapToGrid w:val="0"/>
          <w:color w:val="auto"/>
          <w:spacing w:val="-16"/>
          <w:kern w:val="21"/>
          <w:highlight w:val="none"/>
        </w:rPr>
        <w:instrText xml:space="preserve"> = 6 \* GB3 \* MERGEFORMAT </w:instrText>
      </w:r>
      <w:r>
        <w:rPr>
          <w:rFonts w:hAnsi="宋体"/>
          <w:snapToGrid w:val="0"/>
          <w:color w:val="auto"/>
          <w:spacing w:val="-16"/>
          <w:kern w:val="21"/>
          <w:highlight w:val="none"/>
        </w:rPr>
        <w:fldChar w:fldCharType="separate"/>
      </w:r>
      <w:r>
        <w:rPr>
          <w:rFonts w:hint="eastAsia" w:hAnsi="宋体"/>
          <w:color w:val="auto"/>
          <w:highlight w:val="none"/>
        </w:rPr>
        <w:t>⑥</w:t>
      </w:r>
      <w:r>
        <w:rPr>
          <w:rFonts w:hAnsi="宋体"/>
          <w:snapToGrid w:val="0"/>
          <w:color w:val="auto"/>
          <w:spacing w:val="-16"/>
          <w:kern w:val="21"/>
          <w:highlight w:val="none"/>
        </w:rPr>
        <w:fldChar w:fldCharType="end"/>
      </w:r>
      <w:r>
        <w:rPr>
          <w:rFonts w:hAnsi="宋体"/>
          <w:snapToGrid w:val="0"/>
          <w:color w:val="auto"/>
          <w:spacing w:val="-16"/>
          <w:kern w:val="21"/>
          <w:highlight w:val="none"/>
        </w:rPr>
        <w:t>=</w:t>
      </w:r>
      <w:r>
        <w:rPr>
          <w:rFonts w:hAnsi="宋体"/>
          <w:snapToGrid w:val="0"/>
          <w:color w:val="auto"/>
          <w:spacing w:val="-6"/>
          <w:kern w:val="21"/>
          <w:highlight w:val="none"/>
        </w:rPr>
        <w:fldChar w:fldCharType="begin"/>
      </w:r>
      <w:r>
        <w:rPr>
          <w:rFonts w:hAnsi="宋体"/>
          <w:snapToGrid w:val="0"/>
          <w:color w:val="auto"/>
          <w:spacing w:val="-6"/>
          <w:kern w:val="21"/>
          <w:highlight w:val="none"/>
        </w:rPr>
        <w:instrText xml:space="preserve"> = 1 \* GB3 \* MERGEFORMAT </w:instrText>
      </w:r>
      <w:r>
        <w:rPr>
          <w:rFonts w:hAnsi="宋体"/>
          <w:snapToGrid w:val="0"/>
          <w:color w:val="auto"/>
          <w:spacing w:val="-6"/>
          <w:kern w:val="21"/>
          <w:highlight w:val="none"/>
        </w:rPr>
        <w:fldChar w:fldCharType="separate"/>
      </w:r>
      <w:r>
        <w:rPr>
          <w:rFonts w:hint="eastAsia" w:hAnsi="宋体"/>
          <w:color w:val="auto"/>
          <w:highlight w:val="none"/>
        </w:rPr>
        <w:t>①</w:t>
      </w:r>
      <w:r>
        <w:rPr>
          <w:rFonts w:hAnsi="宋体"/>
          <w:snapToGrid w:val="0"/>
          <w:color w:val="auto"/>
          <w:spacing w:val="-6"/>
          <w:kern w:val="21"/>
          <w:highlight w:val="none"/>
        </w:rPr>
        <w:fldChar w:fldCharType="end"/>
      </w:r>
      <w:r>
        <w:rPr>
          <w:rFonts w:hAnsi="宋体"/>
          <w:snapToGrid w:val="0"/>
          <w:color w:val="auto"/>
          <w:spacing w:val="-6"/>
          <w:kern w:val="21"/>
          <w:highlight w:val="none"/>
        </w:rPr>
        <w:t>+</w:t>
      </w:r>
      <w:r>
        <w:rPr>
          <w:rFonts w:hAnsi="宋体"/>
          <w:snapToGrid w:val="0"/>
          <w:color w:val="auto"/>
          <w:spacing w:val="-6"/>
          <w:kern w:val="21"/>
          <w:highlight w:val="none"/>
        </w:rPr>
        <w:fldChar w:fldCharType="begin"/>
      </w:r>
      <w:r>
        <w:rPr>
          <w:rFonts w:hAnsi="宋体"/>
          <w:snapToGrid w:val="0"/>
          <w:color w:val="auto"/>
          <w:spacing w:val="-6"/>
          <w:kern w:val="21"/>
          <w:highlight w:val="none"/>
        </w:rPr>
        <w:instrText xml:space="preserve"> = 3 \* GB3 \* MERGEFORMAT </w:instrText>
      </w:r>
      <w:r>
        <w:rPr>
          <w:rFonts w:hAnsi="宋体"/>
          <w:snapToGrid w:val="0"/>
          <w:color w:val="auto"/>
          <w:spacing w:val="-6"/>
          <w:kern w:val="21"/>
          <w:highlight w:val="none"/>
        </w:rPr>
        <w:fldChar w:fldCharType="separate"/>
      </w:r>
      <w:r>
        <w:rPr>
          <w:rFonts w:hint="eastAsia" w:hAnsi="宋体"/>
          <w:color w:val="auto"/>
          <w:highlight w:val="none"/>
        </w:rPr>
        <w:t>③</w:t>
      </w:r>
      <w:r>
        <w:rPr>
          <w:rFonts w:hAnsi="宋体"/>
          <w:snapToGrid w:val="0"/>
          <w:color w:val="auto"/>
          <w:spacing w:val="-6"/>
          <w:kern w:val="21"/>
          <w:highlight w:val="none"/>
        </w:rPr>
        <w:fldChar w:fldCharType="end"/>
      </w:r>
      <w:r>
        <w:rPr>
          <w:rFonts w:hAnsi="宋体"/>
          <w:snapToGrid w:val="0"/>
          <w:color w:val="auto"/>
          <w:spacing w:val="-6"/>
          <w:kern w:val="21"/>
          <w:highlight w:val="none"/>
        </w:rPr>
        <w:t>+</w:t>
      </w:r>
      <w:r>
        <w:rPr>
          <w:rFonts w:hAnsi="宋体"/>
          <w:snapToGrid w:val="0"/>
          <w:color w:val="auto"/>
          <w:spacing w:val="-6"/>
          <w:kern w:val="21"/>
          <w:highlight w:val="none"/>
        </w:rPr>
        <w:fldChar w:fldCharType="begin"/>
      </w:r>
      <w:r>
        <w:rPr>
          <w:rFonts w:hAnsi="宋体"/>
          <w:snapToGrid w:val="0"/>
          <w:color w:val="auto"/>
          <w:spacing w:val="-6"/>
          <w:kern w:val="21"/>
          <w:highlight w:val="none"/>
        </w:rPr>
        <w:instrText xml:space="preserve"> = 4 \* GB3 \* MERGEFORMAT </w:instrText>
      </w:r>
      <w:r>
        <w:rPr>
          <w:rFonts w:hAnsi="宋体"/>
          <w:snapToGrid w:val="0"/>
          <w:color w:val="auto"/>
          <w:spacing w:val="-6"/>
          <w:kern w:val="21"/>
          <w:highlight w:val="none"/>
        </w:rPr>
        <w:fldChar w:fldCharType="separate"/>
      </w:r>
      <w:r>
        <w:rPr>
          <w:rFonts w:hint="eastAsia" w:hAnsi="宋体"/>
          <w:color w:val="auto"/>
          <w:highlight w:val="none"/>
        </w:rPr>
        <w:t>④</w:t>
      </w:r>
      <w:r>
        <w:rPr>
          <w:rFonts w:hAnsi="宋体"/>
          <w:snapToGrid w:val="0"/>
          <w:color w:val="auto"/>
          <w:spacing w:val="-6"/>
          <w:kern w:val="21"/>
          <w:highlight w:val="none"/>
        </w:rPr>
        <w:fldChar w:fldCharType="end"/>
      </w:r>
      <w:r>
        <w:rPr>
          <w:rFonts w:hAnsi="宋体"/>
          <w:snapToGrid w:val="0"/>
          <w:color w:val="auto"/>
          <w:spacing w:val="-6"/>
          <w:kern w:val="21"/>
          <w:highlight w:val="none"/>
        </w:rPr>
        <w:t>-</w:t>
      </w:r>
      <w:r>
        <w:rPr>
          <w:rFonts w:hAnsi="宋体"/>
          <w:snapToGrid w:val="0"/>
          <w:color w:val="auto"/>
          <w:spacing w:val="-16"/>
          <w:kern w:val="21"/>
          <w:highlight w:val="none"/>
        </w:rPr>
        <w:fldChar w:fldCharType="begin"/>
      </w:r>
      <w:r>
        <w:rPr>
          <w:rFonts w:hAnsi="宋体"/>
          <w:snapToGrid w:val="0"/>
          <w:color w:val="auto"/>
          <w:spacing w:val="-16"/>
          <w:kern w:val="21"/>
          <w:highlight w:val="none"/>
        </w:rPr>
        <w:instrText xml:space="preserve"> = 5 \* GB3 \* MERGEFORMAT </w:instrText>
      </w:r>
      <w:r>
        <w:rPr>
          <w:rFonts w:hAnsi="宋体"/>
          <w:snapToGrid w:val="0"/>
          <w:color w:val="auto"/>
          <w:spacing w:val="-16"/>
          <w:kern w:val="21"/>
          <w:highlight w:val="none"/>
        </w:rPr>
        <w:fldChar w:fldCharType="separate"/>
      </w:r>
      <w:r>
        <w:rPr>
          <w:rFonts w:hint="eastAsia" w:hAnsi="宋体"/>
          <w:color w:val="auto"/>
          <w:highlight w:val="none"/>
        </w:rPr>
        <w:t>⑤</w:t>
      </w:r>
      <w:r>
        <w:rPr>
          <w:rFonts w:hAnsi="宋体"/>
          <w:snapToGrid w:val="0"/>
          <w:color w:val="auto"/>
          <w:spacing w:val="-16"/>
          <w:kern w:val="21"/>
          <w:highlight w:val="none"/>
        </w:rPr>
        <w:fldChar w:fldCharType="end"/>
      </w:r>
      <w:r>
        <w:rPr>
          <w:rFonts w:hint="eastAsia" w:hAnsi="宋体"/>
          <w:snapToGrid w:val="0"/>
          <w:color w:val="auto"/>
          <w:spacing w:val="-16"/>
          <w:kern w:val="21"/>
          <w:highlight w:val="none"/>
        </w:rPr>
        <w:t>；</w:t>
      </w:r>
      <w:r>
        <w:rPr>
          <w:rFonts w:hAnsi="宋体"/>
          <w:snapToGrid w:val="0"/>
          <w:color w:val="auto"/>
          <w:spacing w:val="-6"/>
          <w:kern w:val="21"/>
          <w:highlight w:val="none"/>
        </w:rPr>
        <w:fldChar w:fldCharType="begin"/>
      </w:r>
      <w:r>
        <w:rPr>
          <w:rFonts w:hAnsi="宋体"/>
          <w:snapToGrid w:val="0"/>
          <w:color w:val="auto"/>
          <w:spacing w:val="-6"/>
          <w:kern w:val="21"/>
          <w:highlight w:val="none"/>
        </w:rPr>
        <w:instrText xml:space="preserve"> = 7 \* GB3 \* MERGEFORMAT </w:instrText>
      </w:r>
      <w:r>
        <w:rPr>
          <w:rFonts w:hAnsi="宋体"/>
          <w:snapToGrid w:val="0"/>
          <w:color w:val="auto"/>
          <w:spacing w:val="-6"/>
          <w:kern w:val="21"/>
          <w:highlight w:val="none"/>
        </w:rPr>
        <w:fldChar w:fldCharType="separate"/>
      </w:r>
      <w:r>
        <w:rPr>
          <w:rFonts w:hint="eastAsia" w:hAnsi="宋体"/>
          <w:color w:val="auto"/>
          <w:highlight w:val="none"/>
        </w:rPr>
        <w:t>⑦</w:t>
      </w:r>
      <w:r>
        <w:rPr>
          <w:rFonts w:hAnsi="宋体"/>
          <w:snapToGrid w:val="0"/>
          <w:color w:val="auto"/>
          <w:spacing w:val="-6"/>
          <w:kern w:val="21"/>
          <w:highlight w:val="none"/>
        </w:rPr>
        <w:fldChar w:fldCharType="end"/>
      </w:r>
      <w:r>
        <w:rPr>
          <w:rFonts w:hAnsi="宋体"/>
          <w:snapToGrid w:val="0"/>
          <w:color w:val="auto"/>
          <w:spacing w:val="-6"/>
          <w:kern w:val="21"/>
          <w:highlight w:val="none"/>
        </w:rPr>
        <w:t>=</w:t>
      </w:r>
      <w:r>
        <w:rPr>
          <w:rFonts w:hAnsi="宋体"/>
          <w:snapToGrid w:val="0"/>
          <w:color w:val="auto"/>
          <w:spacing w:val="-16"/>
          <w:kern w:val="21"/>
          <w:highlight w:val="none"/>
        </w:rPr>
        <w:fldChar w:fldCharType="begin"/>
      </w:r>
      <w:r>
        <w:rPr>
          <w:rFonts w:hAnsi="宋体"/>
          <w:snapToGrid w:val="0"/>
          <w:color w:val="auto"/>
          <w:spacing w:val="-16"/>
          <w:kern w:val="21"/>
          <w:highlight w:val="none"/>
        </w:rPr>
        <w:instrText xml:space="preserve"> = 6 \* GB3 \* MERGEFORMAT </w:instrText>
      </w:r>
      <w:r>
        <w:rPr>
          <w:rFonts w:hAnsi="宋体"/>
          <w:snapToGrid w:val="0"/>
          <w:color w:val="auto"/>
          <w:spacing w:val="-16"/>
          <w:kern w:val="21"/>
          <w:highlight w:val="none"/>
        </w:rPr>
        <w:fldChar w:fldCharType="separate"/>
      </w:r>
      <w:r>
        <w:rPr>
          <w:rFonts w:hint="eastAsia" w:hAnsi="宋体"/>
          <w:color w:val="auto"/>
          <w:highlight w:val="none"/>
        </w:rPr>
        <w:t>⑥</w:t>
      </w:r>
      <w:r>
        <w:rPr>
          <w:rFonts w:hAnsi="宋体"/>
          <w:snapToGrid w:val="0"/>
          <w:color w:val="auto"/>
          <w:spacing w:val="-16"/>
          <w:kern w:val="21"/>
          <w:highlight w:val="none"/>
        </w:rPr>
        <w:fldChar w:fldCharType="end"/>
      </w:r>
      <w:r>
        <w:rPr>
          <w:rFonts w:hAnsi="宋体"/>
          <w:snapToGrid w:val="0"/>
          <w:color w:val="auto"/>
          <w:spacing w:val="-16"/>
          <w:kern w:val="21"/>
          <w:highlight w:val="none"/>
        </w:rPr>
        <w:t>-</w:t>
      </w:r>
      <w:r>
        <w:rPr>
          <w:rFonts w:hAnsi="宋体"/>
          <w:snapToGrid w:val="0"/>
          <w:color w:val="auto"/>
          <w:spacing w:val="-6"/>
          <w:kern w:val="21"/>
          <w:highlight w:val="none"/>
        </w:rPr>
        <w:fldChar w:fldCharType="begin"/>
      </w:r>
      <w:r>
        <w:rPr>
          <w:rFonts w:hAnsi="宋体"/>
          <w:snapToGrid w:val="0"/>
          <w:color w:val="auto"/>
          <w:spacing w:val="-6"/>
          <w:kern w:val="21"/>
          <w:highlight w:val="none"/>
        </w:rPr>
        <w:instrText xml:space="preserve"> = 1 \* GB3 \* MERGEFORMAT </w:instrText>
      </w:r>
      <w:r>
        <w:rPr>
          <w:rFonts w:hAnsi="宋体"/>
          <w:snapToGrid w:val="0"/>
          <w:color w:val="auto"/>
          <w:spacing w:val="-6"/>
          <w:kern w:val="21"/>
          <w:highlight w:val="none"/>
        </w:rPr>
        <w:fldChar w:fldCharType="separate"/>
      </w:r>
      <w:r>
        <w:rPr>
          <w:rFonts w:hint="eastAsia" w:hAnsi="宋体"/>
          <w:color w:val="auto"/>
          <w:highlight w:val="none"/>
        </w:rPr>
        <w:t>①</w:t>
      </w:r>
      <w:r>
        <w:rPr>
          <w:rFonts w:hAnsi="宋体"/>
          <w:snapToGrid w:val="0"/>
          <w:color w:val="auto"/>
          <w:spacing w:val="-6"/>
          <w:kern w:val="21"/>
          <w:highlight w:val="none"/>
        </w:rPr>
        <w:fldChar w:fldCharType="end"/>
      </w:r>
    </w:p>
    <w:sectPr>
      <w:pgSz w:w="16838" w:h="11906" w:orient="landscape"/>
      <w:pgMar w:top="1080" w:right="1440" w:bottom="108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
    <w:altName w:val="Segoe Print"/>
    <w:panose1 w:val="00000000000000000000"/>
    <w:charset w:val="A1"/>
    <w:family w:val="auto"/>
    <w:pitch w:val="default"/>
    <w:sig w:usb0="00000000" w:usb1="00000000" w:usb2="00000000" w:usb3="00000000" w:csb0="00000009" w:csb1="00000000"/>
  </w:font>
  <w:font w:name="AMGDT">
    <w:altName w:val="Vrinda"/>
    <w:panose1 w:val="02000400000000000000"/>
    <w:charset w:val="00"/>
    <w:family w:val="auto"/>
    <w:pitch w:val="default"/>
    <w:sig w:usb0="00000000" w:usb1="00000000" w:usb2="00000000" w:usb3="00000000" w:csb0="00000001" w:csb1="00000000"/>
  </w:font>
  <w:font w:name="华文宋体">
    <w:altName w:val="宋体"/>
    <w:panose1 w:val="02010600040101010101"/>
    <w:charset w:val="86"/>
    <w:family w:val="auto"/>
    <w:pitch w:val="default"/>
    <w:sig w:usb0="00000000" w:usb1="00000000" w:usb2="00000000" w:usb3="00000000" w:csb0="0004009F" w:csb1="DFD70000"/>
  </w:font>
  <w:font w:name="PMingLiU">
    <w:panose1 w:val="02020500000000000000"/>
    <w:charset w:val="88"/>
    <w:family w:val="roman"/>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瀹嬩綋">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roman"/>
    <w:pitch w:val="default"/>
    <w:sig w:usb0="E00002FF" w:usb1="420024FF" w:usb2="00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MS PGothic">
    <w:panose1 w:val="020B0600070205080204"/>
    <w:charset w:val="80"/>
    <w:family w:val="auto"/>
    <w:pitch w:val="default"/>
    <w:sig w:usb0="E00002FF" w:usb1="6AC7FDFB" w:usb2="00000012" w:usb3="00000000" w:csb0="4002009F" w:csb1="DFD7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CDD5D">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D67F3">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7D67F3">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8CF3B">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64EB09"/>
    <w:multiLevelType w:val="singleLevel"/>
    <w:tmpl w:val="B364EB09"/>
    <w:lvl w:ilvl="0" w:tentative="0">
      <w:start w:val="3"/>
      <w:numFmt w:val="decimal"/>
      <w:suff w:val="nothing"/>
      <w:lvlText w:val="（%1）"/>
      <w:lvlJc w:val="left"/>
    </w:lvl>
  </w:abstractNum>
  <w:abstractNum w:abstractNumId="1">
    <w:nsid w:val="B37EADE4"/>
    <w:multiLevelType w:val="singleLevel"/>
    <w:tmpl w:val="B37EADE4"/>
    <w:lvl w:ilvl="0" w:tentative="0">
      <w:start w:val="1"/>
      <w:numFmt w:val="decimal"/>
      <w:suff w:val="nothing"/>
      <w:lvlText w:val="%1、"/>
      <w:lvlJc w:val="left"/>
    </w:lvl>
  </w:abstractNum>
  <w:abstractNum w:abstractNumId="2">
    <w:nsid w:val="149F85C4"/>
    <w:multiLevelType w:val="singleLevel"/>
    <w:tmpl w:val="149F85C4"/>
    <w:lvl w:ilvl="0" w:tentative="0">
      <w:start w:val="1"/>
      <w:numFmt w:val="decimal"/>
      <w:suff w:val="nothing"/>
      <w:lvlText w:val="%1、"/>
      <w:lvlJc w:val="left"/>
    </w:lvl>
  </w:abstractNum>
  <w:abstractNum w:abstractNumId="3">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34"/>
      <w:suff w:val="space"/>
      <w:lvlText w:val="%1.%2"/>
      <w:lvlJc w:val="left"/>
      <w:pPr>
        <w:ind w:left="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5E16F1E1"/>
    <w:multiLevelType w:val="singleLevel"/>
    <w:tmpl w:val="5E16F1E1"/>
    <w:lvl w:ilvl="0" w:tentative="0">
      <w:start w:val="1"/>
      <w:numFmt w:val="bullet"/>
      <w:pStyle w:val="16"/>
      <w:lvlText w:val=""/>
      <w:lvlJc w:val="left"/>
      <w:pPr>
        <w:tabs>
          <w:tab w:val="left" w:pos="2040"/>
        </w:tabs>
        <w:ind w:left="2040" w:hanging="360"/>
      </w:pPr>
      <w:rPr>
        <w:rFonts w:hint="default" w:ascii="Wingdings" w:hAnsi="Wingdings"/>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UwY2Q0NGEwNzRjNmM5Njk1MjlhOTE4YmEyMGNiMTUifQ=="/>
  </w:docVars>
  <w:rsids>
    <w:rsidRoot w:val="1EF34813"/>
    <w:rsid w:val="00816543"/>
    <w:rsid w:val="00936276"/>
    <w:rsid w:val="013B4944"/>
    <w:rsid w:val="0186257C"/>
    <w:rsid w:val="01D46B46"/>
    <w:rsid w:val="01DE6658"/>
    <w:rsid w:val="02254765"/>
    <w:rsid w:val="02515FCF"/>
    <w:rsid w:val="02775E4F"/>
    <w:rsid w:val="02A429BD"/>
    <w:rsid w:val="02BB34E3"/>
    <w:rsid w:val="03CB5C0E"/>
    <w:rsid w:val="03D92099"/>
    <w:rsid w:val="04107CBF"/>
    <w:rsid w:val="041E22FB"/>
    <w:rsid w:val="045521C0"/>
    <w:rsid w:val="0457247F"/>
    <w:rsid w:val="04ED23F9"/>
    <w:rsid w:val="05355B4E"/>
    <w:rsid w:val="05C018BB"/>
    <w:rsid w:val="05E27A84"/>
    <w:rsid w:val="05E96551"/>
    <w:rsid w:val="06021ED4"/>
    <w:rsid w:val="064249C6"/>
    <w:rsid w:val="0661309E"/>
    <w:rsid w:val="068427B9"/>
    <w:rsid w:val="068A64F2"/>
    <w:rsid w:val="06CC6FF0"/>
    <w:rsid w:val="07397B77"/>
    <w:rsid w:val="07A76F56"/>
    <w:rsid w:val="08A94889"/>
    <w:rsid w:val="08ED6E6B"/>
    <w:rsid w:val="08F972F8"/>
    <w:rsid w:val="090221EB"/>
    <w:rsid w:val="0906020D"/>
    <w:rsid w:val="09245CFA"/>
    <w:rsid w:val="09AF5ECF"/>
    <w:rsid w:val="09C9793D"/>
    <w:rsid w:val="0A0D1B9A"/>
    <w:rsid w:val="0A0D52EB"/>
    <w:rsid w:val="0A1B5312"/>
    <w:rsid w:val="0A4C5E14"/>
    <w:rsid w:val="0A7464A7"/>
    <w:rsid w:val="0A7F7F97"/>
    <w:rsid w:val="0A850D71"/>
    <w:rsid w:val="0ACC0D02"/>
    <w:rsid w:val="0AFF2E86"/>
    <w:rsid w:val="0B071D3B"/>
    <w:rsid w:val="0B20712E"/>
    <w:rsid w:val="0B5560C9"/>
    <w:rsid w:val="0B5A4560"/>
    <w:rsid w:val="0B7F7B23"/>
    <w:rsid w:val="0BBE2444"/>
    <w:rsid w:val="0BCF2858"/>
    <w:rsid w:val="0BDA11FD"/>
    <w:rsid w:val="0C265816"/>
    <w:rsid w:val="0C773774"/>
    <w:rsid w:val="0C8E2094"/>
    <w:rsid w:val="0C9B098C"/>
    <w:rsid w:val="0CAD06C0"/>
    <w:rsid w:val="0D1557C7"/>
    <w:rsid w:val="0D162709"/>
    <w:rsid w:val="0D3D1A44"/>
    <w:rsid w:val="0D58401B"/>
    <w:rsid w:val="0D5E0CBC"/>
    <w:rsid w:val="0D773627"/>
    <w:rsid w:val="0D8E04F1"/>
    <w:rsid w:val="0D9000C1"/>
    <w:rsid w:val="0DEB2A04"/>
    <w:rsid w:val="0E722A40"/>
    <w:rsid w:val="0EA578A0"/>
    <w:rsid w:val="0EAC1A53"/>
    <w:rsid w:val="0F273D5B"/>
    <w:rsid w:val="0F4D1A20"/>
    <w:rsid w:val="0F864741"/>
    <w:rsid w:val="0FBC4648"/>
    <w:rsid w:val="10134CDE"/>
    <w:rsid w:val="1053332C"/>
    <w:rsid w:val="10572BB3"/>
    <w:rsid w:val="10744512"/>
    <w:rsid w:val="107F4121"/>
    <w:rsid w:val="10A04E3C"/>
    <w:rsid w:val="10B14C22"/>
    <w:rsid w:val="10B569D9"/>
    <w:rsid w:val="10DC1574"/>
    <w:rsid w:val="1109680C"/>
    <w:rsid w:val="11531836"/>
    <w:rsid w:val="11733C86"/>
    <w:rsid w:val="119447BB"/>
    <w:rsid w:val="119D0D03"/>
    <w:rsid w:val="11AB78C4"/>
    <w:rsid w:val="1213385C"/>
    <w:rsid w:val="128D521B"/>
    <w:rsid w:val="12A52565"/>
    <w:rsid w:val="133D09EF"/>
    <w:rsid w:val="135E64BF"/>
    <w:rsid w:val="13C61F27"/>
    <w:rsid w:val="13D50C28"/>
    <w:rsid w:val="14040997"/>
    <w:rsid w:val="141A1088"/>
    <w:rsid w:val="143F60A1"/>
    <w:rsid w:val="14503CC9"/>
    <w:rsid w:val="14666B7F"/>
    <w:rsid w:val="1489582B"/>
    <w:rsid w:val="149911FA"/>
    <w:rsid w:val="14A85E16"/>
    <w:rsid w:val="14C63B53"/>
    <w:rsid w:val="15051099"/>
    <w:rsid w:val="15607AC1"/>
    <w:rsid w:val="1562473D"/>
    <w:rsid w:val="1574621E"/>
    <w:rsid w:val="159D3157"/>
    <w:rsid w:val="167C538B"/>
    <w:rsid w:val="1688192D"/>
    <w:rsid w:val="16E66CA8"/>
    <w:rsid w:val="16EE1F67"/>
    <w:rsid w:val="17141A67"/>
    <w:rsid w:val="17966920"/>
    <w:rsid w:val="17E11726"/>
    <w:rsid w:val="17E21A9C"/>
    <w:rsid w:val="17EC5C35"/>
    <w:rsid w:val="18113658"/>
    <w:rsid w:val="1843750D"/>
    <w:rsid w:val="18586C70"/>
    <w:rsid w:val="18AB3826"/>
    <w:rsid w:val="18F16C54"/>
    <w:rsid w:val="192166BD"/>
    <w:rsid w:val="1A0A11CB"/>
    <w:rsid w:val="1A467042"/>
    <w:rsid w:val="1A516B2E"/>
    <w:rsid w:val="1A7016AA"/>
    <w:rsid w:val="1AC75042"/>
    <w:rsid w:val="1AE300CE"/>
    <w:rsid w:val="1AE43998"/>
    <w:rsid w:val="1B46065D"/>
    <w:rsid w:val="1B726910"/>
    <w:rsid w:val="1C0866F4"/>
    <w:rsid w:val="1C2A3ADB"/>
    <w:rsid w:val="1C6012AB"/>
    <w:rsid w:val="1C902753"/>
    <w:rsid w:val="1D002D3C"/>
    <w:rsid w:val="1D075E4C"/>
    <w:rsid w:val="1D1125A5"/>
    <w:rsid w:val="1D4E1BDE"/>
    <w:rsid w:val="1D4E55A7"/>
    <w:rsid w:val="1DA23326"/>
    <w:rsid w:val="1DDF4451"/>
    <w:rsid w:val="1E3539DB"/>
    <w:rsid w:val="1E74103D"/>
    <w:rsid w:val="1EF34813"/>
    <w:rsid w:val="1F58270D"/>
    <w:rsid w:val="202A22FB"/>
    <w:rsid w:val="204213F3"/>
    <w:rsid w:val="219915B7"/>
    <w:rsid w:val="21F93D33"/>
    <w:rsid w:val="220D5A31"/>
    <w:rsid w:val="220D77DF"/>
    <w:rsid w:val="223C00C4"/>
    <w:rsid w:val="224469E3"/>
    <w:rsid w:val="224F429B"/>
    <w:rsid w:val="226E2973"/>
    <w:rsid w:val="22761828"/>
    <w:rsid w:val="227C76D0"/>
    <w:rsid w:val="22B42350"/>
    <w:rsid w:val="22E42C35"/>
    <w:rsid w:val="233B259E"/>
    <w:rsid w:val="23541F73"/>
    <w:rsid w:val="239339F1"/>
    <w:rsid w:val="23A31A58"/>
    <w:rsid w:val="23B100DE"/>
    <w:rsid w:val="23BF0FAD"/>
    <w:rsid w:val="2472601F"/>
    <w:rsid w:val="249E5066"/>
    <w:rsid w:val="24A3071F"/>
    <w:rsid w:val="251E295E"/>
    <w:rsid w:val="2573204F"/>
    <w:rsid w:val="25E87DB6"/>
    <w:rsid w:val="25F94A58"/>
    <w:rsid w:val="26445799"/>
    <w:rsid w:val="26633E71"/>
    <w:rsid w:val="277B51EB"/>
    <w:rsid w:val="279C2835"/>
    <w:rsid w:val="27C2621D"/>
    <w:rsid w:val="28F74D45"/>
    <w:rsid w:val="292875F4"/>
    <w:rsid w:val="293E2974"/>
    <w:rsid w:val="295927C1"/>
    <w:rsid w:val="29D66C35"/>
    <w:rsid w:val="2A0F7D89"/>
    <w:rsid w:val="2A1F09F7"/>
    <w:rsid w:val="2A1F32A0"/>
    <w:rsid w:val="2AFA5A3A"/>
    <w:rsid w:val="2B2A7653"/>
    <w:rsid w:val="2B6145D2"/>
    <w:rsid w:val="2BBD0AEF"/>
    <w:rsid w:val="2BC250F1"/>
    <w:rsid w:val="2BE9306B"/>
    <w:rsid w:val="2BFF4648"/>
    <w:rsid w:val="2C365B84"/>
    <w:rsid w:val="2C5223C6"/>
    <w:rsid w:val="2C97502B"/>
    <w:rsid w:val="2CBE3693"/>
    <w:rsid w:val="2D1E4F96"/>
    <w:rsid w:val="2D353F9E"/>
    <w:rsid w:val="2D5C161A"/>
    <w:rsid w:val="2D617BCC"/>
    <w:rsid w:val="2DCA2092"/>
    <w:rsid w:val="2DCA2A28"/>
    <w:rsid w:val="2DCE7B02"/>
    <w:rsid w:val="2DCF1999"/>
    <w:rsid w:val="2DD6761F"/>
    <w:rsid w:val="2DEB6A75"/>
    <w:rsid w:val="2E20089A"/>
    <w:rsid w:val="2E580034"/>
    <w:rsid w:val="2E935510"/>
    <w:rsid w:val="2EDA4EED"/>
    <w:rsid w:val="2EF04710"/>
    <w:rsid w:val="2F13458E"/>
    <w:rsid w:val="2F2B399A"/>
    <w:rsid w:val="2F396DA4"/>
    <w:rsid w:val="2F3A3BDD"/>
    <w:rsid w:val="2F69783B"/>
    <w:rsid w:val="2F951C1D"/>
    <w:rsid w:val="2FA21EAE"/>
    <w:rsid w:val="2FC23CCE"/>
    <w:rsid w:val="2FFB15BE"/>
    <w:rsid w:val="307373A7"/>
    <w:rsid w:val="30A33171"/>
    <w:rsid w:val="30C26109"/>
    <w:rsid w:val="30E402A4"/>
    <w:rsid w:val="31716E7B"/>
    <w:rsid w:val="317C04DD"/>
    <w:rsid w:val="31A6331A"/>
    <w:rsid w:val="32580D2A"/>
    <w:rsid w:val="32AE0B6A"/>
    <w:rsid w:val="32D034D0"/>
    <w:rsid w:val="332638F5"/>
    <w:rsid w:val="337E2DEF"/>
    <w:rsid w:val="33B977C6"/>
    <w:rsid w:val="33FA30C0"/>
    <w:rsid w:val="346C65E7"/>
    <w:rsid w:val="348E47AF"/>
    <w:rsid w:val="34B14942"/>
    <w:rsid w:val="350B4A94"/>
    <w:rsid w:val="352E5F92"/>
    <w:rsid w:val="35EF74CF"/>
    <w:rsid w:val="364041CF"/>
    <w:rsid w:val="36B67FED"/>
    <w:rsid w:val="36D40DB0"/>
    <w:rsid w:val="36F823B4"/>
    <w:rsid w:val="37040D59"/>
    <w:rsid w:val="376B527C"/>
    <w:rsid w:val="379A346B"/>
    <w:rsid w:val="37B20112"/>
    <w:rsid w:val="37EF1A09"/>
    <w:rsid w:val="3872263A"/>
    <w:rsid w:val="3879276C"/>
    <w:rsid w:val="38806B05"/>
    <w:rsid w:val="38F50390"/>
    <w:rsid w:val="390B7A49"/>
    <w:rsid w:val="396B1563"/>
    <w:rsid w:val="39877C59"/>
    <w:rsid w:val="398C14D9"/>
    <w:rsid w:val="3A52627F"/>
    <w:rsid w:val="3A9E3272"/>
    <w:rsid w:val="3AC727C9"/>
    <w:rsid w:val="3ACE7FFB"/>
    <w:rsid w:val="3BFD221A"/>
    <w:rsid w:val="3C0637C5"/>
    <w:rsid w:val="3C2854E9"/>
    <w:rsid w:val="3C4A2F0A"/>
    <w:rsid w:val="3CDA422F"/>
    <w:rsid w:val="3D780506"/>
    <w:rsid w:val="3E4405D4"/>
    <w:rsid w:val="3E7F33BB"/>
    <w:rsid w:val="3EA66B99"/>
    <w:rsid w:val="3F074F48"/>
    <w:rsid w:val="3F2D6571"/>
    <w:rsid w:val="3F5A0C7B"/>
    <w:rsid w:val="3FA72BC9"/>
    <w:rsid w:val="3FC03C8B"/>
    <w:rsid w:val="3FE200A5"/>
    <w:rsid w:val="402204A1"/>
    <w:rsid w:val="40A435AC"/>
    <w:rsid w:val="41211416"/>
    <w:rsid w:val="416F5968"/>
    <w:rsid w:val="42204EB5"/>
    <w:rsid w:val="42DA1507"/>
    <w:rsid w:val="434B5F61"/>
    <w:rsid w:val="437E1E93"/>
    <w:rsid w:val="43B64878"/>
    <w:rsid w:val="43F13DEC"/>
    <w:rsid w:val="43FE2FD4"/>
    <w:rsid w:val="441371F0"/>
    <w:rsid w:val="447A427A"/>
    <w:rsid w:val="449200E4"/>
    <w:rsid w:val="45A35BE1"/>
    <w:rsid w:val="472F76FE"/>
    <w:rsid w:val="473A2575"/>
    <w:rsid w:val="474F4272"/>
    <w:rsid w:val="476D215C"/>
    <w:rsid w:val="47CD5197"/>
    <w:rsid w:val="47EA1634"/>
    <w:rsid w:val="4800111E"/>
    <w:rsid w:val="48180B08"/>
    <w:rsid w:val="48256D81"/>
    <w:rsid w:val="4887791D"/>
    <w:rsid w:val="48A40B02"/>
    <w:rsid w:val="48D11AB6"/>
    <w:rsid w:val="4948541D"/>
    <w:rsid w:val="4A123335"/>
    <w:rsid w:val="4A271BA8"/>
    <w:rsid w:val="4A9D46FE"/>
    <w:rsid w:val="4AE64EED"/>
    <w:rsid w:val="4B0C5FD6"/>
    <w:rsid w:val="4B0E1D4E"/>
    <w:rsid w:val="4B3F0159"/>
    <w:rsid w:val="4B502367"/>
    <w:rsid w:val="4BAF1783"/>
    <w:rsid w:val="4BB328F5"/>
    <w:rsid w:val="4BD444F6"/>
    <w:rsid w:val="4C20442F"/>
    <w:rsid w:val="4C547C35"/>
    <w:rsid w:val="4CD64AED"/>
    <w:rsid w:val="4D5B4FF3"/>
    <w:rsid w:val="4D970721"/>
    <w:rsid w:val="4DAE072C"/>
    <w:rsid w:val="4DD92AE7"/>
    <w:rsid w:val="4E087DE7"/>
    <w:rsid w:val="4E3A10AC"/>
    <w:rsid w:val="4E662EBF"/>
    <w:rsid w:val="4E93713A"/>
    <w:rsid w:val="4F4B3B01"/>
    <w:rsid w:val="4F67298B"/>
    <w:rsid w:val="4F6F19FD"/>
    <w:rsid w:val="4FB84E80"/>
    <w:rsid w:val="4FC43323"/>
    <w:rsid w:val="4FC450D1"/>
    <w:rsid w:val="4FC96B8B"/>
    <w:rsid w:val="500F0A42"/>
    <w:rsid w:val="502618E8"/>
    <w:rsid w:val="502E6618"/>
    <w:rsid w:val="506F1A69"/>
    <w:rsid w:val="50A70C7B"/>
    <w:rsid w:val="50AD5456"/>
    <w:rsid w:val="50ED0658"/>
    <w:rsid w:val="51087240"/>
    <w:rsid w:val="51330C53"/>
    <w:rsid w:val="521265C8"/>
    <w:rsid w:val="52256503"/>
    <w:rsid w:val="52416EDB"/>
    <w:rsid w:val="529E3F58"/>
    <w:rsid w:val="52AD009F"/>
    <w:rsid w:val="52BC6534"/>
    <w:rsid w:val="52D46D81"/>
    <w:rsid w:val="52D6583A"/>
    <w:rsid w:val="536410A5"/>
    <w:rsid w:val="53984247"/>
    <w:rsid w:val="53AF5284"/>
    <w:rsid w:val="53C13E92"/>
    <w:rsid w:val="53DE69AE"/>
    <w:rsid w:val="54177EC5"/>
    <w:rsid w:val="549C661D"/>
    <w:rsid w:val="54EA7388"/>
    <w:rsid w:val="5507618C"/>
    <w:rsid w:val="5543118E"/>
    <w:rsid w:val="55713605"/>
    <w:rsid w:val="55B17EA6"/>
    <w:rsid w:val="55DA38A0"/>
    <w:rsid w:val="55DC42A1"/>
    <w:rsid w:val="56665134"/>
    <w:rsid w:val="56867584"/>
    <w:rsid w:val="56AD68BF"/>
    <w:rsid w:val="56BC7730"/>
    <w:rsid w:val="56D24578"/>
    <w:rsid w:val="56DE116E"/>
    <w:rsid w:val="56DF0A43"/>
    <w:rsid w:val="56FE7F16"/>
    <w:rsid w:val="574037F9"/>
    <w:rsid w:val="575763C7"/>
    <w:rsid w:val="576D604E"/>
    <w:rsid w:val="579F6DCF"/>
    <w:rsid w:val="58070251"/>
    <w:rsid w:val="581A4428"/>
    <w:rsid w:val="58580AAD"/>
    <w:rsid w:val="587358E6"/>
    <w:rsid w:val="58842BD6"/>
    <w:rsid w:val="589C4E3D"/>
    <w:rsid w:val="58A14A23"/>
    <w:rsid w:val="58B303D9"/>
    <w:rsid w:val="590E5DE9"/>
    <w:rsid w:val="59250A9F"/>
    <w:rsid w:val="595E20F3"/>
    <w:rsid w:val="59741916"/>
    <w:rsid w:val="59A57D21"/>
    <w:rsid w:val="59B77A55"/>
    <w:rsid w:val="59C4289D"/>
    <w:rsid w:val="59E44CEE"/>
    <w:rsid w:val="5A190577"/>
    <w:rsid w:val="5A1F67F5"/>
    <w:rsid w:val="5A2E2F5F"/>
    <w:rsid w:val="5A346077"/>
    <w:rsid w:val="5A8738CB"/>
    <w:rsid w:val="5AE0768E"/>
    <w:rsid w:val="5AEE0891"/>
    <w:rsid w:val="5B121F70"/>
    <w:rsid w:val="5B3E21DC"/>
    <w:rsid w:val="5C1949F7"/>
    <w:rsid w:val="5C3D06E5"/>
    <w:rsid w:val="5C814A76"/>
    <w:rsid w:val="5C9E402C"/>
    <w:rsid w:val="5CF60894"/>
    <w:rsid w:val="5D245401"/>
    <w:rsid w:val="5D3E4715"/>
    <w:rsid w:val="5DA6050C"/>
    <w:rsid w:val="5DE85D72"/>
    <w:rsid w:val="5E337FF2"/>
    <w:rsid w:val="5E357494"/>
    <w:rsid w:val="5E3C3A9E"/>
    <w:rsid w:val="5E435D5B"/>
    <w:rsid w:val="5EEC63F2"/>
    <w:rsid w:val="5F2D401F"/>
    <w:rsid w:val="5F310A0D"/>
    <w:rsid w:val="5FA87416"/>
    <w:rsid w:val="5FB655A9"/>
    <w:rsid w:val="5FF45F9C"/>
    <w:rsid w:val="60110F2E"/>
    <w:rsid w:val="60673F83"/>
    <w:rsid w:val="60896B0A"/>
    <w:rsid w:val="611834CF"/>
    <w:rsid w:val="611F2C55"/>
    <w:rsid w:val="61202383"/>
    <w:rsid w:val="613D1187"/>
    <w:rsid w:val="61E805AF"/>
    <w:rsid w:val="62053A53"/>
    <w:rsid w:val="620B44CD"/>
    <w:rsid w:val="621A6DD3"/>
    <w:rsid w:val="62363B84"/>
    <w:rsid w:val="628C7CD0"/>
    <w:rsid w:val="628E1C9B"/>
    <w:rsid w:val="631A2E68"/>
    <w:rsid w:val="63402869"/>
    <w:rsid w:val="635F5B81"/>
    <w:rsid w:val="637B06F1"/>
    <w:rsid w:val="63C60FC0"/>
    <w:rsid w:val="63C94F54"/>
    <w:rsid w:val="643248A8"/>
    <w:rsid w:val="64DB6CED"/>
    <w:rsid w:val="64F00268"/>
    <w:rsid w:val="653B778C"/>
    <w:rsid w:val="65E24493"/>
    <w:rsid w:val="66075896"/>
    <w:rsid w:val="666F1DE3"/>
    <w:rsid w:val="66860EDB"/>
    <w:rsid w:val="66A46EDA"/>
    <w:rsid w:val="66CA3897"/>
    <w:rsid w:val="67987117"/>
    <w:rsid w:val="67C1041C"/>
    <w:rsid w:val="67D0240D"/>
    <w:rsid w:val="680A52CD"/>
    <w:rsid w:val="683A1D60"/>
    <w:rsid w:val="68690377"/>
    <w:rsid w:val="689C6B70"/>
    <w:rsid w:val="68EA3793"/>
    <w:rsid w:val="68F16ADF"/>
    <w:rsid w:val="693809CB"/>
    <w:rsid w:val="698536CB"/>
    <w:rsid w:val="69A578CA"/>
    <w:rsid w:val="69AB1384"/>
    <w:rsid w:val="69EE3C23"/>
    <w:rsid w:val="6A2276F7"/>
    <w:rsid w:val="6A575068"/>
    <w:rsid w:val="6A883473"/>
    <w:rsid w:val="6A9E4A45"/>
    <w:rsid w:val="6B23319C"/>
    <w:rsid w:val="6B4078AA"/>
    <w:rsid w:val="6B421F06"/>
    <w:rsid w:val="6B9660DC"/>
    <w:rsid w:val="6BAA566B"/>
    <w:rsid w:val="6C8D1545"/>
    <w:rsid w:val="6C9C1458"/>
    <w:rsid w:val="6CD40BF2"/>
    <w:rsid w:val="6D5D1E6A"/>
    <w:rsid w:val="6D6F367E"/>
    <w:rsid w:val="6DD71D4B"/>
    <w:rsid w:val="6E742D9B"/>
    <w:rsid w:val="6ECE341F"/>
    <w:rsid w:val="6F0926A9"/>
    <w:rsid w:val="6F125A01"/>
    <w:rsid w:val="6F66568F"/>
    <w:rsid w:val="6FA6623A"/>
    <w:rsid w:val="6FAD572A"/>
    <w:rsid w:val="6FBD3BBF"/>
    <w:rsid w:val="6FDB438A"/>
    <w:rsid w:val="701E3F32"/>
    <w:rsid w:val="70294DB1"/>
    <w:rsid w:val="710A45D1"/>
    <w:rsid w:val="71235CA4"/>
    <w:rsid w:val="71290DE0"/>
    <w:rsid w:val="71661174"/>
    <w:rsid w:val="71B91B77"/>
    <w:rsid w:val="71F54391"/>
    <w:rsid w:val="721750DD"/>
    <w:rsid w:val="728F5B93"/>
    <w:rsid w:val="72952C1D"/>
    <w:rsid w:val="72AB619E"/>
    <w:rsid w:val="72BF7C4E"/>
    <w:rsid w:val="72C2386F"/>
    <w:rsid w:val="72DF209E"/>
    <w:rsid w:val="72F773E8"/>
    <w:rsid w:val="73466B6F"/>
    <w:rsid w:val="73AE0585"/>
    <w:rsid w:val="75372475"/>
    <w:rsid w:val="75566574"/>
    <w:rsid w:val="757C1E26"/>
    <w:rsid w:val="76004806"/>
    <w:rsid w:val="7670679E"/>
    <w:rsid w:val="76FB64C8"/>
    <w:rsid w:val="77291B3A"/>
    <w:rsid w:val="772A140E"/>
    <w:rsid w:val="77351703"/>
    <w:rsid w:val="777803CC"/>
    <w:rsid w:val="7888079C"/>
    <w:rsid w:val="78A3591C"/>
    <w:rsid w:val="78B158B9"/>
    <w:rsid w:val="78B90C9C"/>
    <w:rsid w:val="79060872"/>
    <w:rsid w:val="790E0FDD"/>
    <w:rsid w:val="792720A9"/>
    <w:rsid w:val="795310F0"/>
    <w:rsid w:val="79C212F6"/>
    <w:rsid w:val="79EE2BC7"/>
    <w:rsid w:val="7A052E91"/>
    <w:rsid w:val="7A4647B1"/>
    <w:rsid w:val="7A652049"/>
    <w:rsid w:val="7A6F5AB6"/>
    <w:rsid w:val="7ACD78CF"/>
    <w:rsid w:val="7AD65B35"/>
    <w:rsid w:val="7B757794"/>
    <w:rsid w:val="7C142DB9"/>
    <w:rsid w:val="7C1D1542"/>
    <w:rsid w:val="7C1F52BA"/>
    <w:rsid w:val="7C515276"/>
    <w:rsid w:val="7C5C650E"/>
    <w:rsid w:val="7CA51C63"/>
    <w:rsid w:val="7CA7686B"/>
    <w:rsid w:val="7CEA3B1A"/>
    <w:rsid w:val="7D092F17"/>
    <w:rsid w:val="7D3B7EFB"/>
    <w:rsid w:val="7D4E22FA"/>
    <w:rsid w:val="7D690EE2"/>
    <w:rsid w:val="7DE22A43"/>
    <w:rsid w:val="7E355268"/>
    <w:rsid w:val="7E41481C"/>
    <w:rsid w:val="7E4B4A8C"/>
    <w:rsid w:val="7E6E42D6"/>
    <w:rsid w:val="7EC30004"/>
    <w:rsid w:val="7F117A27"/>
    <w:rsid w:val="7F1906E6"/>
    <w:rsid w:val="7F227BB1"/>
    <w:rsid w:val="7F303039"/>
    <w:rsid w:val="7F313C82"/>
    <w:rsid w:val="7F5151E9"/>
    <w:rsid w:val="7F54786E"/>
    <w:rsid w:val="7F684FCA"/>
    <w:rsid w:val="7FC618A1"/>
    <w:rsid w:val="7FD34D39"/>
    <w:rsid w:val="7FE64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0" w:beforeLines="0" w:beforeAutospacing="0" w:after="0" w:afterLines="0" w:afterAutospacing="0" w:line="240" w:lineRule="auto"/>
      <w:ind w:firstLine="0" w:firstLineChars="0"/>
      <w:jc w:val="left"/>
      <w:outlineLvl w:val="0"/>
    </w:pPr>
    <w:rPr>
      <w:rFonts w:eastAsia="黑体"/>
      <w:kern w:val="44"/>
      <w:sz w:val="32"/>
    </w:rPr>
  </w:style>
  <w:style w:type="paragraph" w:styleId="3">
    <w:name w:val="heading 2"/>
    <w:basedOn w:val="1"/>
    <w:next w:val="1"/>
    <w:qFormat/>
    <w:uiPriority w:val="0"/>
    <w:pPr>
      <w:keepNext/>
      <w:keepLines/>
      <w:spacing w:line="360" w:lineRule="auto"/>
      <w:outlineLvl w:val="1"/>
    </w:pPr>
    <w:rPr>
      <w:b/>
      <w:sz w:val="32"/>
    </w:rPr>
  </w:style>
  <w:style w:type="paragraph" w:styleId="4">
    <w:name w:val="heading 3"/>
    <w:basedOn w:val="1"/>
    <w:next w:val="1"/>
    <w:qFormat/>
    <w:uiPriority w:val="0"/>
    <w:pPr>
      <w:keepNext/>
      <w:keepLines/>
      <w:outlineLvl w:val="2"/>
    </w:pPr>
    <w:rPr>
      <w:b/>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5">
    <w:name w:val="List 3"/>
    <w:basedOn w:val="1"/>
    <w:next w:val="1"/>
    <w:qFormat/>
    <w:uiPriority w:val="0"/>
    <w:pPr>
      <w:spacing w:line="288" w:lineRule="auto"/>
      <w:ind w:left="1260" w:hanging="420"/>
    </w:pPr>
    <w:rPr>
      <w:sz w:val="24"/>
      <w:szCs w:val="20"/>
    </w:rPr>
  </w:style>
  <w:style w:type="paragraph" w:styleId="6">
    <w:name w:val="Normal Indent"/>
    <w:basedOn w:val="1"/>
    <w:next w:val="1"/>
    <w:qFormat/>
    <w:uiPriority w:val="0"/>
    <w:pPr>
      <w:ind w:firstLine="200" w:firstLineChars="200"/>
    </w:pPr>
    <w:rPr>
      <w:sz w:val="28"/>
      <w:szCs w:val="24"/>
    </w:rPr>
  </w:style>
  <w:style w:type="paragraph" w:styleId="7">
    <w:name w:val="annotation text"/>
    <w:basedOn w:val="1"/>
    <w:semiHidden/>
    <w:qFormat/>
    <w:uiPriority w:val="99"/>
    <w:pPr>
      <w:jc w:val="left"/>
    </w:pPr>
    <w:rPr>
      <w:kern w:val="0"/>
    </w:rPr>
  </w:style>
  <w:style w:type="paragraph" w:styleId="8">
    <w:name w:val="Salutation"/>
    <w:basedOn w:val="1"/>
    <w:next w:val="1"/>
    <w:qFormat/>
    <w:uiPriority w:val="99"/>
    <w:rPr>
      <w:rFonts w:ascii="??" w:hAnsi="华文宋体" w:eastAsia="Times New Roman" w:cs="??"/>
      <w:sz w:val="28"/>
      <w:szCs w:val="28"/>
    </w:rPr>
  </w:style>
  <w:style w:type="paragraph" w:styleId="9">
    <w:name w:val="Body Text"/>
    <w:basedOn w:val="1"/>
    <w:next w:val="10"/>
    <w:qFormat/>
    <w:uiPriority w:val="0"/>
    <w:pPr>
      <w:widowControl/>
      <w:snapToGrid w:val="0"/>
      <w:spacing w:before="60" w:after="160" w:line="259" w:lineRule="auto"/>
      <w:ind w:right="113"/>
    </w:pPr>
    <w:rPr>
      <w:sz w:val="18"/>
      <w:szCs w:val="20"/>
    </w:rPr>
  </w:style>
  <w:style w:type="paragraph" w:customStyle="1" w:styleId="10">
    <w:name w:val="xl27"/>
    <w:basedOn w:val="1"/>
    <w:next w:val="1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sz w:val="16"/>
      <w:szCs w:val="16"/>
      <w:lang w:eastAsia="zh-TW"/>
    </w:rPr>
  </w:style>
  <w:style w:type="paragraph" w:customStyle="1" w:styleId="11">
    <w:name w:val="A正文"/>
    <w:basedOn w:val="1"/>
    <w:autoRedefine/>
    <w:qFormat/>
    <w:uiPriority w:val="0"/>
    <w:pPr>
      <w:widowControl/>
      <w:overflowPunct w:val="0"/>
      <w:autoSpaceDE w:val="0"/>
      <w:autoSpaceDN w:val="0"/>
      <w:jc w:val="left"/>
      <w:textAlignment w:val="baseline"/>
    </w:pPr>
  </w:style>
  <w:style w:type="paragraph" w:styleId="12">
    <w:name w:val="Body Text Indent"/>
    <w:basedOn w:val="1"/>
    <w:next w:val="13"/>
    <w:qFormat/>
    <w:uiPriority w:val="0"/>
    <w:pPr>
      <w:spacing w:after="120"/>
      <w:ind w:left="420" w:leftChars="200"/>
    </w:pPr>
    <w:rPr>
      <w:sz w:val="24"/>
      <w:szCs w:val="20"/>
    </w:rPr>
  </w:style>
  <w:style w:type="paragraph" w:styleId="13">
    <w:name w:val="Body Text Indent 2"/>
    <w:basedOn w:val="1"/>
    <w:next w:val="14"/>
    <w:qFormat/>
    <w:uiPriority w:val="0"/>
    <w:pPr>
      <w:ind w:left="435"/>
    </w:pPr>
    <w:rPr>
      <w:sz w:val="24"/>
    </w:rPr>
  </w:style>
  <w:style w:type="paragraph" w:styleId="14">
    <w:name w:val="Body Text First Indent 2"/>
    <w:basedOn w:val="12"/>
    <w:next w:val="1"/>
    <w:qFormat/>
    <w:uiPriority w:val="0"/>
    <w:pPr>
      <w:ind w:firstLine="420"/>
    </w:pPr>
  </w:style>
  <w:style w:type="paragraph" w:styleId="15">
    <w:name w:val="Plain Text"/>
    <w:basedOn w:val="1"/>
    <w:next w:val="8"/>
    <w:qFormat/>
    <w:uiPriority w:val="99"/>
    <w:rPr>
      <w:rFonts w:ascii="??" w:hAnsi="Courier New" w:eastAsia="Times New Roman" w:cs="??"/>
    </w:rPr>
  </w:style>
  <w:style w:type="paragraph" w:styleId="16">
    <w:name w:val="List Bullet 5"/>
    <w:basedOn w:val="1"/>
    <w:qFormat/>
    <w:uiPriority w:val="0"/>
    <w:pPr>
      <w:numPr>
        <w:ilvl w:val="0"/>
        <w:numId w:val="1"/>
      </w:numPr>
    </w:p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next w:val="9"/>
    <w:qFormat/>
    <w:uiPriority w:val="0"/>
    <w:pPr>
      <w:tabs>
        <w:tab w:val="center" w:pos="4153"/>
        <w:tab w:val="right" w:pos="8306"/>
      </w:tabs>
      <w:snapToGrid w:val="0"/>
      <w:spacing w:line="240" w:lineRule="auto"/>
      <w:jc w:val="center"/>
    </w:pPr>
    <w:rPr>
      <w:sz w:val="18"/>
      <w:szCs w:val="18"/>
    </w:rPr>
  </w:style>
  <w:style w:type="paragraph" w:styleId="19">
    <w:name w:val="index heading"/>
    <w:basedOn w:val="1"/>
    <w:next w:val="20"/>
    <w:qFormat/>
    <w:uiPriority w:val="0"/>
    <w:rPr>
      <w:color w:val="auto"/>
      <w:kern w:val="2"/>
      <w:szCs w:val="20"/>
    </w:rPr>
  </w:style>
  <w:style w:type="paragraph" w:styleId="20">
    <w:name w:val="index 1"/>
    <w:basedOn w:val="1"/>
    <w:next w:val="1"/>
    <w:qFormat/>
    <w:uiPriority w:val="0"/>
    <w:pPr>
      <w:jc w:val="center"/>
    </w:pPr>
    <w:rPr>
      <w:rFonts w:eastAsia="黑体"/>
    </w:rPr>
  </w:style>
  <w:style w:type="paragraph" w:styleId="21">
    <w:name w:val="List"/>
    <w:basedOn w:val="1"/>
    <w:next w:val="9"/>
    <w:qFormat/>
    <w:uiPriority w:val="0"/>
    <w:pPr>
      <w:ind w:left="200" w:hanging="200" w:hangingChars="200"/>
    </w:pPr>
  </w:style>
  <w:style w:type="paragraph" w:styleId="22">
    <w:name w:val="table of figures"/>
    <w:basedOn w:val="1"/>
    <w:next w:val="1"/>
    <w:unhideWhenUsed/>
    <w:qFormat/>
    <w:uiPriority w:val="99"/>
    <w:pPr>
      <w:ind w:left="200" w:leftChars="200" w:hanging="200" w:hangingChars="200"/>
    </w:pPr>
  </w:style>
  <w:style w:type="paragraph" w:styleId="23">
    <w:name w:val="Normal (Web)"/>
    <w:basedOn w:val="1"/>
    <w:qFormat/>
    <w:uiPriority w:val="0"/>
    <w:pPr>
      <w:spacing w:before="100" w:beforeAutospacing="1" w:after="100" w:afterAutospacing="1"/>
    </w:pPr>
    <w:rPr>
      <w:rFonts w:ascii="宋体" w:hAnsi="宋体"/>
      <w:sz w:val="24"/>
      <w:szCs w:val="20"/>
    </w:rPr>
  </w:style>
  <w:style w:type="paragraph" w:styleId="24">
    <w:name w:val="Body Text First Indent"/>
    <w:basedOn w:val="9"/>
    <w:next w:val="1"/>
    <w:qFormat/>
    <w:uiPriority w:val="0"/>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Hyperlink"/>
    <w:basedOn w:val="27"/>
    <w:qFormat/>
    <w:uiPriority w:val="0"/>
    <w:rPr>
      <w:color w:val="0000FF"/>
      <w:u w:val="single"/>
    </w:rPr>
  </w:style>
  <w:style w:type="character" w:styleId="30">
    <w:name w:val="annotation reference"/>
    <w:basedOn w:val="27"/>
    <w:qFormat/>
    <w:uiPriority w:val="0"/>
    <w:rPr>
      <w:sz w:val="21"/>
      <w:szCs w:val="21"/>
    </w:rPr>
  </w:style>
  <w:style w:type="paragraph" w:customStyle="1" w:styleId="31">
    <w:name w:val="Default"/>
    <w:basedOn w:val="32"/>
    <w:next w:val="33"/>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32">
    <w:name w:val="纯文本1"/>
    <w:basedOn w:val="1"/>
    <w:autoRedefine/>
    <w:qFormat/>
    <w:uiPriority w:val="0"/>
    <w:pPr>
      <w:adjustRightInd w:val="0"/>
    </w:pPr>
    <w:rPr>
      <w:rFonts w:ascii="宋体" w:hAnsi="Courier New"/>
    </w:rPr>
  </w:style>
  <w:style w:type="paragraph" w:customStyle="1" w:styleId="33">
    <w:name w:val="Char Char Char Char Char Char1 Char Char Char Char"/>
    <w:basedOn w:val="1"/>
    <w:next w:val="1"/>
    <w:autoRedefine/>
    <w:semiHidden/>
    <w:qFormat/>
    <w:uiPriority w:val="0"/>
    <w:pPr>
      <w:ind w:firstLine="200" w:firstLineChars="200"/>
    </w:pPr>
    <w:rPr>
      <w:rFonts w:ascii="宋体" w:hAnsi="宋体" w:cs="宋体"/>
    </w:rPr>
  </w:style>
  <w:style w:type="paragraph" w:customStyle="1" w:styleId="34">
    <w:name w:val="标题2"/>
    <w:basedOn w:val="3"/>
    <w:next w:val="1"/>
    <w:autoRedefine/>
    <w:qFormat/>
    <w:uiPriority w:val="0"/>
    <w:pPr>
      <w:numPr>
        <w:ilvl w:val="1"/>
        <w:numId w:val="2"/>
      </w:numPr>
      <w:spacing w:line="440" w:lineRule="exact"/>
    </w:pPr>
    <w:rPr>
      <w:sz w:val="28"/>
    </w:rPr>
  </w:style>
  <w:style w:type="paragraph" w:customStyle="1" w:styleId="35">
    <w:name w:val="Default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6">
    <w:name w:val="1正文段落"/>
    <w:basedOn w:val="1"/>
    <w:qFormat/>
    <w:uiPriority w:val="0"/>
    <w:pPr>
      <w:spacing w:line="360" w:lineRule="auto"/>
      <w:ind w:firstLine="480" w:firstLineChars="200"/>
      <w:jc w:val="left"/>
    </w:pPr>
    <w:rPr>
      <w:snapToGrid w:val="0"/>
      <w:kern w:val="0"/>
      <w:sz w:val="24"/>
    </w:rPr>
  </w:style>
  <w:style w:type="paragraph" w:customStyle="1" w:styleId="37">
    <w:name w:val="文本"/>
    <w:basedOn w:val="1"/>
    <w:next w:val="1"/>
    <w:qFormat/>
    <w:uiPriority w:val="99"/>
    <w:pPr>
      <w:autoSpaceDE w:val="0"/>
      <w:autoSpaceDN w:val="0"/>
      <w:ind w:firstLine="480"/>
    </w:pPr>
    <w:rPr>
      <w:lang w:val="zh-CN"/>
    </w:rPr>
  </w:style>
  <w:style w:type="paragraph" w:customStyle="1" w:styleId="38">
    <w:name w:val="样式1"/>
    <w:basedOn w:val="19"/>
    <w:next w:val="1"/>
    <w:autoRedefine/>
    <w:qFormat/>
    <w:uiPriority w:val="0"/>
    <w:pPr>
      <w:jc w:val="center"/>
    </w:pPr>
    <w:rPr>
      <w:b/>
    </w:rPr>
  </w:style>
  <w:style w:type="paragraph" w:customStyle="1" w:styleId="39">
    <w:name w:val="图、表内容"/>
    <w:basedOn w:val="1"/>
    <w:qFormat/>
    <w:uiPriority w:val="0"/>
    <w:pPr>
      <w:jc w:val="center"/>
    </w:pPr>
    <w:rPr>
      <w:sz w:val="21"/>
    </w:rPr>
  </w:style>
  <w:style w:type="paragraph" w:customStyle="1" w:styleId="40">
    <w:name w:val="表标题"/>
    <w:basedOn w:val="1"/>
    <w:autoRedefine/>
    <w:qFormat/>
    <w:uiPriority w:val="0"/>
    <w:pPr>
      <w:spacing w:line="240" w:lineRule="auto"/>
      <w:ind w:firstLine="0" w:firstLineChars="0"/>
      <w:jc w:val="center"/>
    </w:pPr>
    <w:rPr>
      <w:rFonts w:hint="eastAsia"/>
      <w:b/>
    </w:rPr>
  </w:style>
  <w:style w:type="paragraph" w:customStyle="1" w:styleId="41">
    <w:name w:val="表格文字"/>
    <w:basedOn w:val="6"/>
    <w:autoRedefine/>
    <w:qFormat/>
    <w:uiPriority w:val="0"/>
    <w:pPr>
      <w:spacing w:line="240" w:lineRule="auto"/>
      <w:ind w:firstLine="0" w:firstLineChars="0"/>
      <w:jc w:val="center"/>
    </w:pPr>
    <w:rPr>
      <w:sz w:val="21"/>
      <w:szCs w:val="21"/>
    </w:rPr>
  </w:style>
  <w:style w:type="paragraph" w:customStyle="1" w:styleId="42">
    <w:name w:val="表1表2"/>
    <w:basedOn w:val="1"/>
    <w:autoRedefine/>
    <w:qFormat/>
    <w:uiPriority w:val="0"/>
    <w:pPr>
      <w:jc w:val="center"/>
      <w:textAlignment w:val="center"/>
    </w:pPr>
    <w:rPr>
      <w:rFonts w:ascii="Times New Roman" w:hAnsi="Times New Roman" w:eastAsia="宋体" w:cs="Times New Roman"/>
    </w:rPr>
  </w:style>
  <w:style w:type="paragraph" w:styleId="43">
    <w:name w:val="No Spacing"/>
    <w:basedOn w:val="1"/>
    <w:autoRedefine/>
    <w:qFormat/>
    <w:uiPriority w:val="1"/>
    <w:pPr>
      <w:ind w:firstLine="480"/>
    </w:pPr>
    <w:rPr>
      <w:rFonts w:eastAsia="仿宋"/>
      <w:w w:val="90"/>
    </w:rPr>
  </w:style>
  <w:style w:type="paragraph" w:customStyle="1" w:styleId="44">
    <w:name w:val="表格样式"/>
    <w:basedOn w:val="1"/>
    <w:qFormat/>
    <w:uiPriority w:val="0"/>
    <w:pPr>
      <w:autoSpaceDE w:val="0"/>
      <w:autoSpaceDN w:val="0"/>
      <w:spacing w:line="360" w:lineRule="exact"/>
      <w:jc w:val="center"/>
    </w:pPr>
    <w:rPr>
      <w:szCs w:val="21"/>
    </w:rPr>
  </w:style>
  <w:style w:type="paragraph" w:customStyle="1" w:styleId="45">
    <w:name w:val="Table Paragraph"/>
    <w:basedOn w:val="1"/>
    <w:qFormat/>
    <w:uiPriority w:val="1"/>
    <w:pPr>
      <w:autoSpaceDE w:val="0"/>
      <w:autoSpaceDN w:val="0"/>
      <w:jc w:val="left"/>
    </w:pPr>
    <w:rPr>
      <w:rFonts w:ascii="宋体" w:hAnsi="宋体" w:eastAsia="宋体" w:cs="宋体"/>
      <w:kern w:val="0"/>
      <w:sz w:val="22"/>
      <w:lang w:eastAsia="en-US"/>
    </w:rPr>
  </w:style>
  <w:style w:type="paragraph" w:customStyle="1" w:styleId="46">
    <w:name w:val="表"/>
    <w:basedOn w:val="21"/>
    <w:qFormat/>
    <w:uiPriority w:val="0"/>
    <w:pPr>
      <w:adjustRightInd w:val="0"/>
      <w:snapToGrid w:val="0"/>
      <w:spacing w:line="360" w:lineRule="exact"/>
      <w:jc w:val="center"/>
    </w:pPr>
    <w:rPr>
      <w:spacing w:val="10"/>
      <w:szCs w:val="21"/>
    </w:rPr>
  </w:style>
  <w:style w:type="paragraph" w:customStyle="1" w:styleId="47">
    <w:name w:val="正文首行缩进2个字 Char"/>
    <w:basedOn w:val="1"/>
    <w:autoRedefine/>
    <w:qFormat/>
    <w:uiPriority w:val="0"/>
    <w:pPr>
      <w:ind w:firstLine="480" w:firstLineChars="200"/>
    </w:pPr>
    <w:rPr>
      <w:rFonts w:eastAsia="楷体"/>
      <w:sz w:val="24"/>
    </w:rPr>
  </w:style>
  <w:style w:type="paragraph" w:customStyle="1" w:styleId="48">
    <w:name w:val="p0"/>
    <w:basedOn w:val="1"/>
    <w:autoRedefine/>
    <w:qFormat/>
    <w:uiPriority w:val="0"/>
  </w:style>
  <w:style w:type="character" w:customStyle="1" w:styleId="49">
    <w:name w:val="font181"/>
    <w:basedOn w:val="27"/>
    <w:qFormat/>
    <w:uiPriority w:val="0"/>
    <w:rPr>
      <w:rFonts w:hint="eastAsia" w:ascii="仿宋" w:hAnsi="仿宋" w:eastAsia="仿宋" w:cs="仿宋"/>
      <w:b/>
      <w:color w:val="000000"/>
      <w:sz w:val="22"/>
      <w:szCs w:val="22"/>
      <w:u w:val="none"/>
    </w:rPr>
  </w:style>
  <w:style w:type="character" w:customStyle="1" w:styleId="50">
    <w:name w:val="font61"/>
    <w:qFormat/>
    <w:uiPriority w:val="0"/>
    <w:rPr>
      <w:rFonts w:hint="eastAsia" w:ascii="宋体" w:hAnsi="宋体" w:eastAsia="宋体" w:cs="宋体"/>
      <w:color w:val="000000"/>
      <w:sz w:val="22"/>
      <w:szCs w:val="22"/>
      <w:u w:val="none"/>
    </w:rPr>
  </w:style>
  <w:style w:type="paragraph" w:customStyle="1" w:styleId="51">
    <w:name w:val="表格12"/>
    <w:basedOn w:val="1"/>
    <w:autoRedefine/>
    <w:qFormat/>
    <w:uiPriority w:val="0"/>
    <w:pPr>
      <w:jc w:val="center"/>
    </w:pPr>
  </w:style>
  <w:style w:type="paragraph" w:customStyle="1" w:styleId="52">
    <w:name w:val="表格内容"/>
    <w:basedOn w:val="53"/>
    <w:next w:val="1"/>
    <w:qFormat/>
    <w:uiPriority w:val="0"/>
    <w:pPr>
      <w:spacing w:line="240" w:lineRule="atLeast"/>
      <w:ind w:firstLine="0" w:firstLineChars="0"/>
      <w:jc w:val="center"/>
    </w:pPr>
    <w:rPr>
      <w:rFonts w:eastAsia="宋体"/>
      <w:sz w:val="21"/>
    </w:rPr>
  </w:style>
  <w:style w:type="paragraph" w:customStyle="1" w:styleId="53">
    <w:name w:val="表格标题"/>
    <w:basedOn w:val="21"/>
    <w:next w:val="52"/>
    <w:autoRedefine/>
    <w:qFormat/>
    <w:uiPriority w:val="0"/>
    <w:pPr>
      <w:spacing w:line="360" w:lineRule="auto"/>
      <w:ind w:firstLine="0" w:firstLineChars="0"/>
      <w:jc w:val="center"/>
      <w:outlineLvl w:val="5"/>
    </w:pPr>
    <w:rPr>
      <w:rFonts w:ascii="Times New Roman" w:hAnsi="Times New Roman" w:eastAsia="宋体"/>
      <w:bCs/>
      <w:sz w:val="24"/>
      <w:szCs w:val="32"/>
      <w:lang w:val="zh-CN"/>
    </w:rPr>
  </w:style>
  <w:style w:type="paragraph" w:customStyle="1" w:styleId="54">
    <w:name w:val="表格"/>
    <w:basedOn w:val="22"/>
    <w:qFormat/>
    <w:uiPriority w:val="0"/>
    <w:pPr>
      <w:adjustRightInd w:val="0"/>
      <w:snapToGrid w:val="0"/>
      <w:spacing w:beforeLines="10" w:afterLines="10" w:line="259" w:lineRule="auto"/>
      <w:jc w:val="center"/>
    </w:pPr>
    <w:rPr>
      <w:rFonts w:ascii="宋体"/>
      <w:kern w:val="0"/>
      <w:szCs w:val="20"/>
    </w:rPr>
  </w:style>
  <w:style w:type="paragraph" w:customStyle="1" w:styleId="55">
    <w:name w:val="A-正文"/>
    <w:basedOn w:val="1"/>
    <w:qFormat/>
    <w:uiPriority w:val="0"/>
    <w:pPr>
      <w:widowControl w:val="0"/>
      <w:adjustRightInd/>
      <w:snapToGrid/>
      <w:spacing w:line="560" w:lineRule="exact"/>
      <w:ind w:firstLine="560" w:firstLineChars="200"/>
    </w:pPr>
    <w:rPr>
      <w:rFonts w:ascii="Times New Roman" w:hAnsi="Times New Roman" w:eastAsia="仿宋_GB2312"/>
      <w:kern w:val="0"/>
      <w:sz w:val="24"/>
      <w:lang w:bidi="ar-SA"/>
    </w:rPr>
  </w:style>
  <w:style w:type="paragraph" w:customStyle="1" w:styleId="56">
    <w:name w:val="表头"/>
    <w:basedOn w:val="6"/>
    <w:next w:val="1"/>
    <w:autoRedefine/>
    <w:qFormat/>
    <w:uiPriority w:val="0"/>
    <w:pPr>
      <w:tabs>
        <w:tab w:val="left" w:pos="315"/>
        <w:tab w:val="left" w:pos="425"/>
      </w:tabs>
      <w:spacing w:line="320" w:lineRule="atLeast"/>
      <w:jc w:val="center"/>
    </w:pPr>
    <w:rPr>
      <w:rFonts w:eastAsia="黑体"/>
      <w:spacing w:val="-10"/>
      <w:szCs w:val="20"/>
    </w:rPr>
  </w:style>
  <w:style w:type="paragraph" w:customStyle="1" w:styleId="57">
    <w:name w:val="表头样式1"/>
    <w:basedOn w:val="1"/>
    <w:autoRedefine/>
    <w:qFormat/>
    <w:uiPriority w:val="0"/>
    <w:pPr>
      <w:jc w:val="center"/>
    </w:pPr>
    <w:rPr>
      <w:rFonts w:ascii="楷体_GB2312" w:hAnsi="宋体" w:eastAsia="楷体_GB2312" w:cs="宋体"/>
      <w:b/>
      <w:bCs/>
    </w:rPr>
  </w:style>
  <w:style w:type="paragraph" w:customStyle="1" w:styleId="58">
    <w:name w:val="正文001"/>
    <w:basedOn w:val="1"/>
    <w:autoRedefine/>
    <w:qFormat/>
    <w:uiPriority w:val="0"/>
    <w:pPr>
      <w:spacing w:before="60" w:line="420" w:lineRule="exact"/>
      <w:ind w:firstLine="482"/>
    </w:pPr>
    <w:rPr>
      <w:rFonts w:ascii="宋体" w:hAnsi="宋体"/>
    </w:rPr>
  </w:style>
  <w:style w:type="paragraph" w:customStyle="1" w:styleId="59">
    <w:name w:val="样式35"/>
    <w:basedOn w:val="1"/>
    <w:autoRedefine/>
    <w:qFormat/>
    <w:uiPriority w:val="0"/>
    <w:pPr>
      <w:spacing w:line="312" w:lineRule="auto"/>
      <w:ind w:firstLine="567"/>
    </w:pPr>
    <w:rPr>
      <w:rFonts w:ascii="宋体"/>
      <w:sz w:val="28"/>
    </w:rPr>
  </w:style>
  <w:style w:type="paragraph" w:customStyle="1" w:styleId="60">
    <w:name w:val="图表表题"/>
    <w:basedOn w:val="1"/>
    <w:autoRedefine/>
    <w:qFormat/>
    <w:uiPriority w:val="0"/>
    <w:pPr>
      <w:autoSpaceDE w:val="0"/>
      <w:autoSpaceDN w:val="0"/>
      <w:adjustRightInd w:val="0"/>
      <w:snapToGrid w:val="0"/>
      <w:spacing w:line="240" w:lineRule="auto"/>
      <w:ind w:firstLine="0" w:firstLineChars="0"/>
      <w:jc w:val="center"/>
    </w:pPr>
    <w:rPr>
      <w:rFonts w:hint="eastAsia" w:cs="宋体"/>
      <w:b/>
      <w:bCs/>
    </w:rPr>
  </w:style>
  <w:style w:type="table" w:customStyle="1" w:styleId="61">
    <w:name w:val="Table Normal"/>
    <w:semiHidden/>
    <w:unhideWhenUsed/>
    <w:qFormat/>
    <w:uiPriority w:val="0"/>
    <w:tblPr>
      <w:tblCellMar>
        <w:top w:w="0" w:type="dxa"/>
        <w:left w:w="0" w:type="dxa"/>
        <w:bottom w:w="0" w:type="dxa"/>
        <w:right w:w="0" w:type="dxa"/>
      </w:tblCellMar>
    </w:tblPr>
  </w:style>
  <w:style w:type="paragraph" w:customStyle="1" w:styleId="62">
    <w:name w:val="Table Text"/>
    <w:basedOn w:val="1"/>
    <w:semiHidden/>
    <w:qFormat/>
    <w:uiPriority w:val="0"/>
    <w:rPr>
      <w:rFonts w:ascii="宋体" w:hAnsi="宋体" w:eastAsia="宋体" w:cs="宋体"/>
      <w:sz w:val="24"/>
      <w:szCs w:val="24"/>
      <w:lang w:val="en-US" w:eastAsia="en-US" w:bidi="ar-SA"/>
    </w:rPr>
  </w:style>
  <w:style w:type="paragraph" w:customStyle="1" w:styleId="63">
    <w:name w:val="图、表标题"/>
    <w:basedOn w:val="1"/>
    <w:autoRedefine/>
    <w:qFormat/>
    <w:uiPriority w:val="0"/>
    <w:pPr>
      <w:jc w:val="center"/>
    </w:pPr>
    <w:rPr>
      <w:b/>
    </w:rPr>
  </w:style>
  <w:style w:type="paragraph" w:customStyle="1" w:styleId="64">
    <w:name w:val="正文j"/>
    <w:qFormat/>
    <w:uiPriority w:val="0"/>
    <w:pPr>
      <w:adjustRightInd w:val="0"/>
      <w:snapToGrid w:val="0"/>
      <w:spacing w:beforeLines="25" w:afterLines="25" w:line="360" w:lineRule="auto"/>
      <w:ind w:firstLine="200" w:firstLineChars="200"/>
    </w:pPr>
    <w:rPr>
      <w:rFonts w:ascii="Times New Roman" w:hAnsi="Times New Roman" w:eastAsia="宋体" w:cs="Times New Roman"/>
      <w:kern w:val="2"/>
      <w:sz w:val="24"/>
      <w:szCs w:val="28"/>
      <w:lang w:val="en-US" w:eastAsia="zh-CN" w:bidi="ar-SA"/>
    </w:rPr>
  </w:style>
  <w:style w:type="paragraph" w:customStyle="1" w:styleId="65">
    <w:name w:val="正式文本"/>
    <w:basedOn w:val="1"/>
    <w:qFormat/>
    <w:uiPriority w:val="0"/>
    <w:pPr>
      <w:adjustRightInd w:val="0"/>
      <w:snapToGrid w:val="0"/>
      <w:spacing w:line="360" w:lineRule="auto"/>
      <w:ind w:firstLine="420" w:firstLineChars="200"/>
      <w:jc w:val="left"/>
    </w:pPr>
    <w:rPr>
      <w:bCs/>
      <w:szCs w:val="21"/>
    </w:rPr>
  </w:style>
  <w:style w:type="character" w:customStyle="1" w:styleId="66">
    <w:name w:val="fontstyle11"/>
    <w:qFormat/>
    <w:uiPriority w:val="0"/>
    <w:rPr>
      <w:rFonts w:hint="default" w:ascii="Times New Roman" w:hAnsi="Times New Roman" w:cs="Times New Roman"/>
      <w:b/>
      <w:color w:val="000000"/>
      <w:sz w:val="22"/>
      <w:szCs w:val="22"/>
    </w:rPr>
  </w:style>
  <w:style w:type="paragraph" w:customStyle="1" w:styleId="67">
    <w:name w:val="表格内容自定"/>
    <w:basedOn w:val="1"/>
    <w:qFormat/>
    <w:uiPriority w:val="0"/>
    <w:pPr>
      <w:spacing w:line="280" w:lineRule="exact"/>
      <w:jc w:val="center"/>
    </w:pPr>
    <w:rPr>
      <w:kern w:val="0"/>
      <w:sz w:val="18"/>
      <w:szCs w:val="18"/>
    </w:rPr>
  </w:style>
  <w:style w:type="paragraph" w:customStyle="1" w:styleId="68">
    <w:name w:val="yt表内"/>
    <w:basedOn w:val="69"/>
    <w:next w:val="69"/>
    <w:qFormat/>
    <w:uiPriority w:val="0"/>
    <w:pPr>
      <w:tabs>
        <w:tab w:val="left" w:pos="1068"/>
      </w:tabs>
      <w:spacing w:line="240" w:lineRule="atLeast"/>
      <w:ind w:firstLine="0" w:firstLineChars="0"/>
      <w:jc w:val="center"/>
    </w:pPr>
    <w:rPr>
      <w:sz w:val="21"/>
      <w:szCs w:val="21"/>
    </w:rPr>
  </w:style>
  <w:style w:type="paragraph" w:customStyle="1" w:styleId="69">
    <w:name w:val="yt正文"/>
    <w:basedOn w:val="6"/>
    <w:next w:val="13"/>
    <w:qFormat/>
    <w:uiPriority w:val="0"/>
    <w:pPr>
      <w:tabs>
        <w:tab w:val="left" w:pos="1068"/>
      </w:tabs>
      <w:spacing w:line="360" w:lineRule="auto"/>
      <w:ind w:firstLineChars="200"/>
    </w:pPr>
    <w:rPr>
      <w:rFonts w:ascii="Times New Roman" w:hAnsi="Times New Roman" w:eastAsia="宋体"/>
      <w:sz w:val="24"/>
      <w:szCs w:val="24"/>
    </w:rPr>
  </w:style>
  <w:style w:type="paragraph" w:customStyle="1" w:styleId="70">
    <w:name w:val="24磅正文"/>
    <w:basedOn w:val="1"/>
    <w:qFormat/>
    <w:uiPriority w:val="0"/>
    <w:pPr>
      <w:spacing w:line="480" w:lineRule="exact"/>
      <w:ind w:firstLine="480" w:firstLineChars="200"/>
    </w:pPr>
  </w:style>
  <w:style w:type="character" w:customStyle="1" w:styleId="71">
    <w:name w:val="font21"/>
    <w:basedOn w:val="27"/>
    <w:qFormat/>
    <w:uiPriority w:val="0"/>
    <w:rPr>
      <w:rFonts w:ascii="宋体" w:hAnsi="宋体" w:eastAsia="宋体" w:cs="宋体"/>
      <w:color w:val="000000"/>
      <w:sz w:val="14"/>
      <w:szCs w:val="14"/>
      <w:u w:val="none"/>
    </w:rPr>
  </w:style>
  <w:style w:type="paragraph" w:customStyle="1" w:styleId="72">
    <w:name w:val="A标准格式"/>
    <w:basedOn w:val="1"/>
    <w:autoRedefine/>
    <w:qFormat/>
    <w:uiPriority w:val="0"/>
    <w:pPr>
      <w:spacing w:line="440" w:lineRule="exact"/>
      <w:ind w:firstLine="480" w:firstLineChars="200"/>
    </w:pPr>
  </w:style>
  <w:style w:type="paragraph" w:customStyle="1" w:styleId="73">
    <w:name w:val="4级标题"/>
    <w:basedOn w:val="1"/>
    <w:qFormat/>
    <w:uiPriority w:val="0"/>
    <w:pPr>
      <w:widowControl/>
      <w:spacing w:before="120" w:after="120"/>
      <w:outlineLvl w:val="3"/>
    </w:pPr>
    <w:rPr>
      <w:b/>
    </w:rPr>
  </w:style>
  <w:style w:type="paragraph" w:customStyle="1" w:styleId="74">
    <w:name w:val="表格字体"/>
    <w:basedOn w:val="1"/>
    <w:qFormat/>
    <w:uiPriority w:val="0"/>
    <w:pPr>
      <w:spacing w:line="240" w:lineRule="auto"/>
      <w:ind w:firstLine="0" w:firstLineChars="0"/>
      <w:jc w:val="center"/>
    </w:pPr>
    <w:rPr>
      <w:sz w:val="21"/>
      <w:szCs w:val="21"/>
    </w:rPr>
  </w:style>
  <w:style w:type="paragraph" w:customStyle="1" w:styleId="75">
    <w:name w:val="图标题"/>
    <w:basedOn w:val="1"/>
    <w:qFormat/>
    <w:uiPriority w:val="0"/>
    <w:pPr>
      <w:spacing w:line="240" w:lineRule="auto"/>
      <w:ind w:firstLine="0" w:firstLineChars="0"/>
      <w:jc w:val="center"/>
    </w:pPr>
    <w:rPr>
      <w:rFonts w:ascii="Times New Roman" w:hAnsi="Times New Roman" w:eastAsia="宋体"/>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wmf"/><Relationship Id="rId25" Type="http://schemas.openxmlformats.org/officeDocument/2006/relationships/image" Target="media/image20.wmf"/><Relationship Id="rId24" Type="http://schemas.openxmlformats.org/officeDocument/2006/relationships/image" Target="media/image19.wmf"/><Relationship Id="rId23" Type="http://schemas.openxmlformats.org/officeDocument/2006/relationships/image" Target="media/image18.wmf"/><Relationship Id="rId22" Type="http://schemas.openxmlformats.org/officeDocument/2006/relationships/image" Target="media/image17.wmf"/><Relationship Id="rId21" Type="http://schemas.openxmlformats.org/officeDocument/2006/relationships/image" Target="media/image16.wmf"/><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"/>
    </extobj>
    <extobj name="F360BE8B-6686-4F3D-AEAF-501FE73E4058-2">
      <extobjdata type="F360BE8B-6686-4F3D-AEAF-501FE73E4058" data="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"/>
    </extobj>
    <extobj name="F360BE8B-6686-4F3D-AEAF-501FE73E4058-3">
      <extobjdata type="F360BE8B-6686-4F3D-AEAF-501FE73E4058" data="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"/>
    </extobj>
    <extobj name="F360BE8B-6686-4F3D-AEAF-501FE73E4058-4">
      <extobjdata type="F360BE8B-6686-4F3D-AEAF-501FE73E4058" data="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"/>
    </extobj>
    <extobj name="F360BE8B-6686-4F3D-AEAF-501FE73E4058-5">
      <extobjdata type="F360BE8B-6686-4F3D-AEAF-501FE73E4058" data="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12125</Words>
  <Characters>13054</Characters>
  <Lines>0</Lines>
  <Paragraphs>0</Paragraphs>
  <TotalTime>0</TotalTime>
  <ScaleCrop>false</ScaleCrop>
  <LinksUpToDate>false</LinksUpToDate>
  <CharactersWithSpaces>13194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2024-10-12T08:09:00Z</dcterms:created>
  <dc:creator>张毅</dc:creator>
  <cp:lastModifiedBy>后天下</cp:lastModifiedBy>
  <dcterms:modified xsi:type="dcterms:W3CDTF">2025-08-20T06:57:04Z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5EFE26107457485CA65F344B7ADC446D_13</vt:lpwstr>
  </property>
  <property fmtid="{D5CDD505-2E9C-101B-9397-08002B2CF9AE}" pid="4" name="KSOTemplateDocerSaveRecord">
    <vt:lpwstr>eyJoZGlkIjoiYjIwNGIxMDQ3YjYwNjc5YjUyOGUwYmFhMDAxYWJjNzEiLCJ1c2VySWQiOiI0MjQ2ODIzNzUifQ==</vt:lpwstr>
  </property>
</Properties>
</file>