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23E06">
      <w:pPr>
        <w:spacing w:line="560" w:lineRule="exact"/>
        <w:rPr>
          <w:rFonts w:ascii="TimesNewRoman" w:hAnsi="TimesNewRoman" w:eastAsia="黑体" w:cs="TimesNewRoman"/>
          <w:szCs w:val="32"/>
        </w:rPr>
      </w:pPr>
      <w:r>
        <w:rPr>
          <w:rFonts w:hint="eastAsia" w:ascii="TimesNewRoman" w:hAnsi="TimesNewRoman" w:eastAsia="黑体" w:cs="TimesNewRoman"/>
          <w:szCs w:val="32"/>
        </w:rPr>
        <w:t>附件1-1</w:t>
      </w:r>
    </w:p>
    <w:p w14:paraId="6D206A6D"/>
    <w:p w14:paraId="5E895B29"/>
    <w:p w14:paraId="2ADAD366"/>
    <w:p w14:paraId="0237FABB"/>
    <w:p w14:paraId="1C251EE0"/>
    <w:p w14:paraId="13964E91"/>
    <w:p w14:paraId="13447511"/>
    <w:p w14:paraId="3AFA66D0"/>
    <w:p w14:paraId="406CF7A4">
      <w:pPr>
        <w:spacing w:line="560" w:lineRule="exact"/>
        <w:jc w:val="center"/>
        <w:rPr>
          <w:rFonts w:ascii="TimesNewRoman" w:hAnsi="TimesNewRoman" w:eastAsia="华文中宋" w:cs="TimesNewRoman"/>
          <w:b/>
          <w:sz w:val="44"/>
          <w:szCs w:val="44"/>
        </w:rPr>
      </w:pPr>
      <w:r>
        <w:rPr>
          <w:rFonts w:hint="eastAsia" w:ascii="TimesNewRoman" w:hAnsi="TimesNewRoman" w:eastAsia="华文中宋" w:cs="TimesNewRoman"/>
          <w:b/>
          <w:sz w:val="44"/>
          <w:szCs w:val="44"/>
        </w:rPr>
        <w:t>安徽省淮北市相山区人民政府办公室</w:t>
      </w:r>
    </w:p>
    <w:p w14:paraId="0C9CE627">
      <w:pPr>
        <w:spacing w:line="560" w:lineRule="exact"/>
        <w:jc w:val="center"/>
        <w:rPr>
          <w:rFonts w:ascii="TimesNewRoman" w:hAnsi="TimesNewRoman" w:eastAsia="华文中宋" w:cs="TimesNewRoman"/>
          <w:b/>
          <w:sz w:val="44"/>
          <w:szCs w:val="44"/>
        </w:rPr>
      </w:pPr>
      <w:r>
        <w:rPr>
          <w:rFonts w:hint="eastAsia" w:ascii="TimesNewRoman" w:hAnsi="TimesNewRoman" w:eastAsia="华文中宋" w:cs="TimesNewRoman"/>
          <w:b/>
          <w:sz w:val="44"/>
          <w:szCs w:val="44"/>
        </w:rPr>
        <w:t>2025年预算</w:t>
      </w:r>
    </w:p>
    <w:p w14:paraId="53B18D76"/>
    <w:p w14:paraId="45F31410"/>
    <w:p w14:paraId="4D84E77D"/>
    <w:p w14:paraId="737658C0"/>
    <w:p w14:paraId="5ED8A53D"/>
    <w:p w14:paraId="667340CC"/>
    <w:p w14:paraId="5F388916"/>
    <w:p w14:paraId="66C2980E"/>
    <w:p w14:paraId="26AACD6B"/>
    <w:p w14:paraId="163A743C"/>
    <w:p w14:paraId="7D233456"/>
    <w:p w14:paraId="0B028E55"/>
    <w:p w14:paraId="0F1599D6"/>
    <w:p w14:paraId="1FC0E558"/>
    <w:p w14:paraId="3D74B02A"/>
    <w:p w14:paraId="49F43586"/>
    <w:p w14:paraId="4CC48F84"/>
    <w:p w14:paraId="6D7E706C"/>
    <w:p w14:paraId="251258D8"/>
    <w:p w14:paraId="6CBBB41A"/>
    <w:p w14:paraId="78D2EB08"/>
    <w:p w14:paraId="2381CF4C"/>
    <w:p w14:paraId="7A4F2C45"/>
    <w:p w14:paraId="50955C8C">
      <w:pPr>
        <w:pStyle w:val="7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44"/>
          <w:szCs w:val="44"/>
        </w:rPr>
      </w:pPr>
    </w:p>
    <w:p w14:paraId="10C8805C">
      <w:pPr>
        <w:pStyle w:val="7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44"/>
          <w:szCs w:val="44"/>
        </w:rPr>
      </w:pPr>
      <w:r>
        <w:rPr>
          <w:rFonts w:hint="eastAsia" w:ascii="TimesNewRoman" w:hAnsi="TimesNewRoman" w:eastAsia="黑体" w:cs="TimesNewRoman"/>
          <w:bCs/>
          <w:sz w:val="44"/>
          <w:szCs w:val="44"/>
        </w:rPr>
        <w:t>2025年1月</w:t>
      </w:r>
    </w:p>
    <w:p w14:paraId="1FA4C94E"/>
    <w:p w14:paraId="191EB9B7"/>
    <w:p w14:paraId="0FD9C591">
      <w:pPr>
        <w:pStyle w:val="7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44"/>
          <w:szCs w:val="44"/>
        </w:rPr>
      </w:pPr>
      <w:r>
        <w:rPr>
          <w:rFonts w:hint="eastAsia" w:ascii="TimesNewRoman" w:hAnsi="TimesNewRoman" w:eastAsia="黑体" w:cs="TimesNewRoman"/>
          <w:bCs/>
          <w:sz w:val="44"/>
          <w:szCs w:val="44"/>
        </w:rPr>
        <w:t>目  录</w:t>
      </w:r>
    </w:p>
    <w:p w14:paraId="26A94A71"/>
    <w:p w14:paraId="0BD98551">
      <w:pPr>
        <w:pStyle w:val="7"/>
        <w:adjustRightInd w:val="0"/>
        <w:snapToGrid w:val="0"/>
        <w:spacing w:line="40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第一部分 部门（单位）概况</w:t>
      </w:r>
    </w:p>
    <w:p w14:paraId="3DD4393C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1、主要职责</w:t>
      </w:r>
    </w:p>
    <w:p w14:paraId="3408665C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2、部门（单位）预算构成</w:t>
      </w:r>
    </w:p>
    <w:p w14:paraId="59D51240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3 、2025年度主要工作任务</w:t>
      </w:r>
    </w:p>
    <w:p w14:paraId="34CA7615">
      <w:pPr>
        <w:pStyle w:val="7"/>
        <w:adjustRightInd w:val="0"/>
        <w:snapToGrid w:val="0"/>
        <w:spacing w:line="40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第二部分 2024年部门（单位）预算表</w:t>
      </w:r>
    </w:p>
    <w:p w14:paraId="0AE9ACDF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1、淮北市相山区人民政府办公室2025年收支总表</w:t>
      </w:r>
    </w:p>
    <w:p w14:paraId="0531AFFD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2、淮北市相山区人民政府办公室2025年收入总表</w:t>
      </w:r>
    </w:p>
    <w:p w14:paraId="199A887F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3、淮北市相山区人民政府办公室2025年支出总表</w:t>
      </w:r>
    </w:p>
    <w:p w14:paraId="061906FE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4、淮北市相山区人民政府办公室2025年财政拨款收支总表</w:t>
      </w:r>
    </w:p>
    <w:p w14:paraId="5F7FF395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5、淮北市相山区人民政府办公室2025年一般公共预算支出表</w:t>
      </w:r>
    </w:p>
    <w:p w14:paraId="794D3A91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6、淮北市相山区人民政府办公室2025年一般公共预算基本支出表</w:t>
      </w:r>
    </w:p>
    <w:p w14:paraId="4174B9C1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7、淮北市相山区人民政府办公室2025年政府性基金预算支出表</w:t>
      </w:r>
    </w:p>
    <w:p w14:paraId="17217B2A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8、淮北市相山区人民政府办公室2025年国有资本经营预算支出表</w:t>
      </w:r>
    </w:p>
    <w:p w14:paraId="1131164C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9、淮北市相山区人民政府办公室2025年项目支出表</w:t>
      </w:r>
    </w:p>
    <w:p w14:paraId="2DDC2FBE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10、淮北市相山区人民政府办公室2025年政府采购支出表</w:t>
      </w:r>
    </w:p>
    <w:p w14:paraId="23AFAE90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11、淮北市相山区人民政府办公室2025年政府购买服务支出表</w:t>
      </w:r>
    </w:p>
    <w:p w14:paraId="5F7EC409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12、淮北市相山区人民政府办公室2025年通用资产配置支出表的说明</w:t>
      </w:r>
    </w:p>
    <w:p w14:paraId="1AFCB1FD">
      <w:pPr>
        <w:pStyle w:val="7"/>
        <w:adjustRightInd w:val="0"/>
        <w:snapToGrid w:val="0"/>
        <w:spacing w:line="40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第三部分 2024年部门（单位）预算情况说明</w:t>
      </w:r>
    </w:p>
    <w:p w14:paraId="18DAFDD8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1、关于2025年收支总表的说明</w:t>
      </w:r>
    </w:p>
    <w:p w14:paraId="12A7C9F7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2、关于2025年收入总表的说明</w:t>
      </w:r>
    </w:p>
    <w:p w14:paraId="449E2A12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3、关于2025年支出总表的说明</w:t>
      </w:r>
    </w:p>
    <w:p w14:paraId="16E844BD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4、关于2025年财政拨款收支总表的说明</w:t>
      </w:r>
    </w:p>
    <w:p w14:paraId="0AABC3DD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5、关于2025年一般公共预算支出表的说明</w:t>
      </w:r>
    </w:p>
    <w:p w14:paraId="1333426B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6、关于2025年一般公共预算基本支出表的说明</w:t>
      </w:r>
    </w:p>
    <w:p w14:paraId="64FFF6A8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7、关于2025年政府性基金预算支出表的说明</w:t>
      </w:r>
    </w:p>
    <w:p w14:paraId="41130818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8、关于2025年国有资本经营预算支出表的说明</w:t>
      </w:r>
    </w:p>
    <w:p w14:paraId="79441682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9、关于2025年项目支出表的说明</w:t>
      </w:r>
    </w:p>
    <w:p w14:paraId="2231F42C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10、关于2025年政府采购支出表的说明</w:t>
      </w:r>
    </w:p>
    <w:p w14:paraId="39336CAC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11、关于2025年政府购买服务支出表的说明</w:t>
      </w:r>
    </w:p>
    <w:p w14:paraId="3D9296FA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12、关于2025年通用资产配置支出表的说明</w:t>
      </w:r>
    </w:p>
    <w:p w14:paraId="0E02188D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13、其他重要事项情况说明</w:t>
      </w:r>
    </w:p>
    <w:p w14:paraId="6DF549ED">
      <w:pPr>
        <w:pStyle w:val="7"/>
        <w:adjustRightInd w:val="0"/>
        <w:snapToGrid w:val="0"/>
        <w:spacing w:line="40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第四部分 名词解释</w:t>
      </w:r>
    </w:p>
    <w:p w14:paraId="33F25981">
      <w:pPr>
        <w:pStyle w:val="7"/>
        <w:adjustRightInd w:val="0"/>
        <w:snapToGrid w:val="0"/>
        <w:spacing w:line="400" w:lineRule="exact"/>
        <w:ind w:firstLine="803" w:firstLineChars="250"/>
        <w:rPr>
          <w:rFonts w:hint="eastAsia" w:ascii="TimesNewRoman" w:hAnsi="TimesNewRoman" w:eastAsia="仿宋_GB2312" w:cs="TimesNewRoman"/>
          <w:b/>
          <w:sz w:val="32"/>
          <w:szCs w:val="32"/>
        </w:rPr>
      </w:pPr>
    </w:p>
    <w:p w14:paraId="2166FAD8">
      <w:pPr>
        <w:pStyle w:val="7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</w:p>
    <w:p w14:paraId="39E63938">
      <w:pPr>
        <w:pStyle w:val="7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36"/>
          <w:szCs w:val="36"/>
        </w:rPr>
      </w:pPr>
      <w:r>
        <w:rPr>
          <w:rFonts w:hint="eastAsia" w:ascii="TimesNewRoman" w:hAnsi="TimesNewRoman" w:eastAsia="黑体" w:cs="TimesNewRoman"/>
          <w:bCs/>
          <w:sz w:val="36"/>
          <w:szCs w:val="36"/>
        </w:rPr>
        <w:t>第一部分 部门（单位）概况</w:t>
      </w:r>
    </w:p>
    <w:p w14:paraId="7D30AA44"/>
    <w:p w14:paraId="656414DE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一、主要职责</w:t>
      </w:r>
    </w:p>
    <w:p w14:paraId="18CC3110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1、负责组织起草上报市委、市政府的各项报告、请示等。</w:t>
      </w:r>
    </w:p>
    <w:p w14:paraId="73F8C065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2、负责起草区人民政府工作报告、政府各种会议讲话材料等，起草、审核以区政府、区政府办公室名义下发的各种文件。</w:t>
      </w:r>
    </w:p>
    <w:p w14:paraId="3B366013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3、做好区政府常务会议、区长办公会议记录，组织下发各种会议纪要；编写年鉴、政府大事记、信息简报及其它文字材料；安排、审核向区人大常委会报告、向区政协通报工作的各种材料。</w:t>
      </w:r>
    </w:p>
    <w:p w14:paraId="7EF3AC14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4、围绕区委、区政府全年及阶段性的重点工作，加强信息整理和调查研究，及时掌握全区经济和社会工作动态，为区政府领导科学决策，发挥参谋助手作用。</w:t>
      </w:r>
    </w:p>
    <w:p w14:paraId="1D05A79F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5、负责区政府各种会务、重大活动的组织安排工作。协助区政府领导督促、检查会议决定事项的落实。</w:t>
      </w:r>
    </w:p>
    <w:p w14:paraId="2DF0ECB1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6、负责区政府、区政府办公室印信的保管和使用，承办区政府各部门公章刻制事宜。</w:t>
      </w:r>
    </w:p>
    <w:p w14:paraId="16E75874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7、负责接听、记录各级各部门来电、来函，提出处理意见，并负责协调落实相关事宜。</w:t>
      </w:r>
    </w:p>
    <w:p w14:paraId="2F4ABFE4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8、负责国务院、省、市、区政府系统文件的收发、立卷、归档以及区政府机要、保密工作。</w:t>
      </w:r>
    </w:p>
    <w:p w14:paraId="44D3B47D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9、负责全区范围内的外事侨务事务工作。</w:t>
      </w:r>
    </w:p>
    <w:p w14:paraId="69A31D42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10、负责督促人大代表建议、政协委员提案办理工作。</w:t>
      </w:r>
    </w:p>
    <w:p w14:paraId="43B8AB3A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11、负责区政府值班工作，及时向区政府领导报告重要情况。</w:t>
      </w:r>
    </w:p>
    <w:p w14:paraId="7FDD2262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12、负责组织区级突发公共信息汇总、分析、协调；协助区政府领导同志做好突发事件应急处置工作，协调、督促落实相关应急管理工作。</w:t>
      </w:r>
    </w:p>
    <w:p w14:paraId="5FC9EBC6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13、负责全区电子政务网络建设和管理工作，指导、监督全区政务（政府信息）公开工作。</w:t>
      </w:r>
    </w:p>
    <w:p w14:paraId="7261EB09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14、承担区政府领导交办的其它事项。</w:t>
      </w:r>
    </w:p>
    <w:p w14:paraId="65398A47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二、部门预算构成</w:t>
      </w:r>
    </w:p>
    <w:p w14:paraId="54BDD210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sz w:val="32"/>
          <w:szCs w:val="32"/>
        </w:rPr>
        <w:t>从预算单位构成看，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淮北市相山区人民政府办公室</w:t>
      </w:r>
      <w:r>
        <w:rPr>
          <w:rFonts w:hint="eastAsia" w:ascii="TimesNewRoman" w:hAnsi="TimesNewRoman" w:eastAsia="仿宋_GB2312" w:cs="TimesNewRoman"/>
          <w:sz w:val="32"/>
          <w:szCs w:val="32"/>
        </w:rPr>
        <w:t>2024年度部门预算仅包括局（委）本级预算，无其他下属单位预算。</w:t>
      </w:r>
    </w:p>
    <w:p w14:paraId="74867B69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三、2025年度主要工作任务</w:t>
      </w:r>
    </w:p>
    <w:p w14:paraId="6D82B158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1、认真做好全区各单位、各部门的综合协调工作。</w:t>
      </w:r>
    </w:p>
    <w:p w14:paraId="389B9B73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2、确保文稿完成率 100%，优质稿率 95%以上，为区政府全体会、区政府常务会、区长办公会及区政府领导活动提供优质服务，及时整理会议纪要，按领导要求或批示及时印发。</w:t>
      </w:r>
    </w:p>
    <w:p w14:paraId="7034A6A8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3、严格遵守《党政机关公文处理</w:t>
      </w: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  <w:lang w:val="en-US" w:eastAsia="zh-CN"/>
        </w:rPr>
        <w:t>工作</w:t>
      </w:r>
      <w:bookmarkStart w:id="0" w:name="_GoBack"/>
      <w:bookmarkEnd w:id="0"/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条例》（中办发〔2012〕14 号），文字差错率控制在 0.4‰以内，优质高效地做好区委公文的审核、印制和下发工作，承办区直部门、镇街道（开发区）呈报的区政府请示、报告，办结率100%。</w:t>
      </w:r>
    </w:p>
    <w:p w14:paraId="724C9505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4、对区政府重要会议和重要文件精神的贯彻落实情况进行督促检查，一周内提出督查结果，对立项督查事项督查率 100%。</w:t>
      </w:r>
    </w:p>
    <w:p w14:paraId="200E7B96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5、按规定收发中央和省、市、区各种文件，做到手续清楚，发文规范，差错率零；做好“三密”文件的管理和清退工作，办公室“三密”件清退率 100%，全区“三密”件清退率 100%；按规定要求向档案馆移交档案，做好档案资料的收集、整理、保管、利用工作。保密工作完成市下达目标任务。</w:t>
      </w:r>
    </w:p>
    <w:p w14:paraId="29D5AB16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6、及时、准确、全面地向区委和上级政府提供信息，做到重大信息不漏报，突发信息不迟报。</w:t>
      </w:r>
    </w:p>
    <w:p w14:paraId="3069FC48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7、认真做好区政府召开重要会议的会务和重大活动的组织协调工作，完善电子公文办理，切实抓好上级领导调研、视察接待工作。</w:t>
      </w:r>
    </w:p>
    <w:p w14:paraId="0BA902CD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8、加强改革综合协调，定期开展督察督办，推动区政府各项改革措施落实。</w:t>
      </w:r>
    </w:p>
    <w:p w14:paraId="1EE60A3B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9、开展与村（社区）结对共建，突出抓好秸秆禁烧、文明创建、精准扶贫等工作。</w:t>
      </w:r>
    </w:p>
    <w:p w14:paraId="4B635535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10、严格值班制度，上传下达力争无差错；对待上访群众坚持做到热情接待，周到服务，坚决杜绝因履行职能不到位引发的上访。</w:t>
      </w:r>
    </w:p>
    <w:p w14:paraId="23A5CB35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11、完成区政府《关于2025年重点工作及责任分解的通知》涉及本单位的目标任务。</w:t>
      </w:r>
    </w:p>
    <w:p w14:paraId="02E75DF1"/>
    <w:p w14:paraId="3268EB09">
      <w:pPr>
        <w:pStyle w:val="7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36"/>
          <w:szCs w:val="36"/>
        </w:rPr>
      </w:pPr>
      <w:r>
        <w:rPr>
          <w:rFonts w:hint="eastAsia" w:ascii="TimesNewRoman" w:hAnsi="TimesNewRoman" w:eastAsia="黑体" w:cs="TimesNewRoman"/>
          <w:bCs/>
          <w:sz w:val="36"/>
          <w:szCs w:val="36"/>
        </w:rPr>
        <w:t>第二部分 2025年部门（单位）预算表</w:t>
      </w:r>
    </w:p>
    <w:p w14:paraId="4B30E099">
      <w:pPr>
        <w:ind w:firstLine="640" w:firstLineChars="200"/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见“附件1-2 2025年淮北市相山区人民政府办公室预算表”</w:t>
      </w:r>
    </w:p>
    <w:p w14:paraId="3AE81D98">
      <w:r>
        <w:t xml:space="preserve">                                        </w:t>
      </w:r>
    </w:p>
    <w:p w14:paraId="4482DAAC">
      <w:pPr>
        <w:pStyle w:val="7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36"/>
          <w:szCs w:val="36"/>
        </w:rPr>
      </w:pPr>
      <w:r>
        <w:rPr>
          <w:rFonts w:hint="eastAsia" w:ascii="TimesNewRoman" w:hAnsi="TimesNewRoman" w:eastAsia="黑体" w:cs="TimesNewRoman"/>
          <w:bCs/>
          <w:sz w:val="36"/>
          <w:szCs w:val="36"/>
        </w:rPr>
        <w:t>第三部分 2024年部门（单位）预算情况说明</w:t>
      </w:r>
    </w:p>
    <w:p w14:paraId="1A7A8ED6"/>
    <w:p w14:paraId="35924451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一、关于2025年收支总表的说明</w:t>
      </w:r>
    </w:p>
    <w:p w14:paraId="12BC4067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sz w:val="32"/>
          <w:szCs w:val="32"/>
        </w:rPr>
        <w:t>按照综合预算的原则，淮北市相山区人民政府办公室所有收入和支出均纳入部门（单位）预算管理。淮北市相山区人民政府办公室2025年收支总预算599.39万元，收入全部是一般公共预算拨款收入599.39万元，支出包括：一般公共服务支出、社会保障和就业支出、卫生健康支出、住房保障支出。</w:t>
      </w:r>
    </w:p>
    <w:p w14:paraId="013C7066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二、关于2025年收入总表的说明</w:t>
      </w:r>
    </w:p>
    <w:p w14:paraId="5DB6568A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淮北市相山区人民政府办公室2025年收入预算</w:t>
      </w:r>
      <w:r>
        <w:rPr>
          <w:rFonts w:hint="eastAsia" w:ascii="TimesNewRoman" w:hAnsi="TimesNewRoman" w:eastAsia="仿宋_GB2312" w:cs="TimesNewRoman"/>
          <w:sz w:val="32"/>
          <w:szCs w:val="32"/>
        </w:rPr>
        <w:t>599.39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万元，其中，本年收入</w:t>
      </w:r>
      <w:r>
        <w:rPr>
          <w:rFonts w:hint="eastAsia" w:ascii="TimesNewRoman" w:hAnsi="TimesNewRoman" w:eastAsia="仿宋_GB2312" w:cs="TimesNewRoman"/>
          <w:sz w:val="32"/>
          <w:szCs w:val="32"/>
        </w:rPr>
        <w:t>599.39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万元，上年结转收入0元。</w:t>
      </w:r>
    </w:p>
    <w:p w14:paraId="7D42D8E1">
      <w:pPr>
        <w:ind w:firstLine="643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kern w:val="0"/>
          <w:sz w:val="32"/>
          <w:szCs w:val="32"/>
        </w:rPr>
        <w:t>（一）本年收入</w:t>
      </w:r>
      <w:r>
        <w:rPr>
          <w:rFonts w:hint="eastAsia" w:ascii="TimesNewRoman" w:hAnsi="TimesNewRoman" w:eastAsia="仿宋_GB2312" w:cs="TimesNewRoman"/>
          <w:sz w:val="32"/>
          <w:szCs w:val="32"/>
        </w:rPr>
        <w:t>599.39</w:t>
      </w:r>
      <w:r>
        <w:rPr>
          <w:rFonts w:hint="eastAsia" w:ascii="TimesNewRoman" w:hAnsi="TimesNewRoman" w:eastAsia="仿宋_GB2312" w:cs="TimesNewRoman"/>
          <w:b/>
          <w:kern w:val="0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主要包括：一般公共预算拨款收入</w:t>
      </w:r>
      <w:r>
        <w:rPr>
          <w:rFonts w:hint="eastAsia" w:ascii="TimesNewRoman" w:hAnsi="TimesNewRoman" w:eastAsia="仿宋_GB2312" w:cs="TimesNewRoman"/>
          <w:sz w:val="32"/>
          <w:szCs w:val="32"/>
        </w:rPr>
        <w:t>599.39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100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%，比2024年预算减少58.49万元，减少8.89%，下降原因主要是</w:t>
      </w:r>
      <w:r>
        <w:rPr>
          <w:rFonts w:hint="eastAsia" w:ascii="仿宋_GB2312" w:hAnsi="仿宋" w:eastAsia="仿宋_GB2312"/>
          <w:sz w:val="32"/>
          <w:szCs w:val="32"/>
        </w:rPr>
        <w:t>落实厉行节约，过紧日子相关举措，压减项目经费支出和住房公积金缴费基数下调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；政府性基金预算拨款收入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%，比2024年预算增加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%，原因主要是无政府性基金预算拨款收入；财政专户管理资金收入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%，比2024年预算增加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%，原因主要是无财政专户管理资金收入。</w:t>
      </w:r>
    </w:p>
    <w:p w14:paraId="4FAB27F2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三、关于2025年支出总表的说明</w:t>
      </w:r>
    </w:p>
    <w:p w14:paraId="0B88633D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淮北市相山区人民政府办公室2025年支出预算</w:t>
      </w:r>
      <w:r>
        <w:rPr>
          <w:rFonts w:hint="eastAsia" w:ascii="TimesNewRoman" w:hAnsi="TimesNewRoman" w:eastAsia="仿宋_GB2312" w:cs="TimesNewRoman"/>
          <w:sz w:val="32"/>
          <w:szCs w:val="32"/>
        </w:rPr>
        <w:t>599.39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万元，比2024年预算减少58.49万元，减少8.89%，原因主要是</w:t>
      </w:r>
      <w:r>
        <w:rPr>
          <w:rFonts w:hint="eastAsia" w:ascii="仿宋_GB2312" w:hAnsi="仿宋" w:eastAsia="仿宋_GB2312"/>
          <w:sz w:val="32"/>
          <w:szCs w:val="32"/>
        </w:rPr>
        <w:t>落实厉行节约，过紧日子相关举措，压减项目经费支出和住房公积金缴费基数下调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。其中，基本支出399.39万元，占66.63%，主要用于保障机构日常运转、完成日常工作任务；项目支出200万元，占33.37%，主要用于一般公共服务支出和城乡社区支出。</w:t>
      </w:r>
    </w:p>
    <w:p w14:paraId="26919800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四、关于2025年财政拨款收支总表的说明</w:t>
      </w:r>
    </w:p>
    <w:p w14:paraId="78D0B375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淮北市相山区人民政府办公室2025年财政拨款收支预算</w:t>
      </w:r>
      <w:r>
        <w:rPr>
          <w:rFonts w:hint="eastAsia" w:ascii="TimesNewRoman" w:hAnsi="TimesNewRoman" w:eastAsia="仿宋_GB2312" w:cs="TimesNewRoman"/>
          <w:sz w:val="32"/>
          <w:szCs w:val="32"/>
        </w:rPr>
        <w:t>599.39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万元。收入按资金来源分为：一般公共预算拨款</w:t>
      </w:r>
      <w:r>
        <w:rPr>
          <w:rFonts w:hint="eastAsia" w:ascii="TimesNewRoman" w:hAnsi="TimesNewRoman" w:eastAsia="仿宋_GB2312" w:cs="TimesNewRoman"/>
          <w:sz w:val="32"/>
          <w:szCs w:val="32"/>
        </w:rPr>
        <w:t>599.39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万元、政府性基金预算拨款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万元；按资金年度分为：本年财政拨款收入</w:t>
      </w:r>
      <w:r>
        <w:rPr>
          <w:rFonts w:hint="eastAsia" w:ascii="TimesNewRoman" w:hAnsi="TimesNewRoman" w:eastAsia="仿宋_GB2312" w:cs="TimesNewRoman"/>
          <w:sz w:val="32"/>
          <w:szCs w:val="32"/>
        </w:rPr>
        <w:t>599.39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万元。支出按功能分类分为：一般公共服务支出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489.67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元，占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81.7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%；社会保障和就业支出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39.65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6.61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%；卫生健康支出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18.88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3.15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%；住房保障支出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51.19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8.54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%。</w:t>
      </w:r>
    </w:p>
    <w:p w14:paraId="6413F087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五、关于2024年一般公共预算支出表的说明</w:t>
      </w:r>
    </w:p>
    <w:p w14:paraId="32FBA657">
      <w:pPr>
        <w:pStyle w:val="7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楷体_GB2312" w:cs="TimesNewRoman"/>
          <w:b/>
          <w:sz w:val="32"/>
          <w:szCs w:val="32"/>
        </w:rPr>
      </w:pPr>
      <w:r>
        <w:rPr>
          <w:rFonts w:hint="eastAsia" w:ascii="TimesNewRoman" w:hAnsi="TimesNewRoman" w:eastAsia="楷体_GB2312" w:cs="TimesNewRoman"/>
          <w:b/>
          <w:sz w:val="32"/>
          <w:szCs w:val="32"/>
        </w:rPr>
        <w:t>（一）一般公共预算支出规模变化情况。</w:t>
      </w:r>
    </w:p>
    <w:p w14:paraId="449C1899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淮北市相山区人民政府办公室2024年一般公共预算支出</w:t>
      </w:r>
      <w:r>
        <w:rPr>
          <w:rFonts w:hint="eastAsia" w:ascii="TimesNewRoman" w:hAnsi="TimesNewRoman" w:eastAsia="仿宋_GB2312" w:cs="TimesNewRoman"/>
          <w:sz w:val="32"/>
          <w:szCs w:val="32"/>
        </w:rPr>
        <w:t>599.39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万元，比2024年预算减少58.49万元，减少8.89%，主要原因：一是</w:t>
      </w:r>
      <w:r>
        <w:rPr>
          <w:rFonts w:hint="eastAsia" w:ascii="仿宋_GB2312" w:hAnsi="仿宋" w:eastAsia="仿宋_GB2312"/>
          <w:sz w:val="32"/>
          <w:szCs w:val="32"/>
        </w:rPr>
        <w:t>落实厉行节约，过紧日子相关举措；二是压减项目经费支出和住房公积金缴费基数下调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367CAAFA">
      <w:pPr>
        <w:ind w:firstLine="643" w:firstLineChars="200"/>
        <w:rPr>
          <w:rFonts w:ascii="TimesNewRoman" w:hAnsi="TimesNewRoman" w:eastAsia="楷体_GB2312" w:cs="TimesNewRoman"/>
          <w:b/>
          <w:sz w:val="32"/>
          <w:szCs w:val="32"/>
        </w:rPr>
      </w:pPr>
      <w:r>
        <w:rPr>
          <w:rFonts w:hint="eastAsia" w:ascii="TimesNewRoman" w:hAnsi="TimesNewRoman" w:eastAsia="楷体_GB2312" w:cs="TimesNewRoman"/>
          <w:b/>
          <w:sz w:val="32"/>
          <w:szCs w:val="32"/>
        </w:rPr>
        <w:t>（二）一般公共预算支出结构情况。</w:t>
      </w:r>
    </w:p>
    <w:p w14:paraId="6CC3D65E">
      <w:pPr>
        <w:ind w:firstLine="640" w:firstLineChars="200"/>
        <w:rPr>
          <w:rFonts w:ascii="TimesNewRoman" w:hAnsi="TimesNewRoman" w:eastAsia="仿宋_GB2312" w:cs="TimesNewRoman"/>
          <w:color w:val="000000" w:themeColor="text1"/>
          <w:sz w:val="32"/>
          <w:szCs w:val="32"/>
        </w:rPr>
      </w:pPr>
      <w:r>
        <w:rPr>
          <w:rFonts w:hint="eastAsia" w:ascii="TimesNewRoman" w:hAnsi="TimesNewRoman" w:eastAsia="仿宋_GB2312" w:cs="TimesNewRoman"/>
          <w:color w:val="000000" w:themeColor="text1"/>
          <w:kern w:val="0"/>
          <w:sz w:val="32"/>
          <w:szCs w:val="32"/>
        </w:rPr>
        <w:t>一般公共服务支出</w:t>
      </w:r>
      <w:r>
        <w:rPr>
          <w:rFonts w:hint="eastAsia" w:ascii="TimesNewRoman" w:hAnsi="TimesNewRoman" w:eastAsia="仿宋_GB2312" w:cs="TimesNewRoman"/>
          <w:color w:val="000000" w:themeColor="text1"/>
          <w:kern w:val="0"/>
          <w:sz w:val="32"/>
          <w:szCs w:val="32"/>
          <w:lang w:val="en-US" w:eastAsia="zh-CN"/>
        </w:rPr>
        <w:t>489.67</w:t>
      </w:r>
      <w:r>
        <w:rPr>
          <w:rFonts w:hint="eastAsia" w:ascii="TimesNewRoman" w:hAnsi="TimesNewRoman" w:eastAsia="仿宋_GB2312" w:cs="TimesNewRoman"/>
          <w:color w:val="000000" w:themeColor="text1"/>
          <w:kern w:val="0"/>
          <w:sz w:val="32"/>
          <w:szCs w:val="32"/>
        </w:rPr>
        <w:t>万元，占</w:t>
      </w:r>
      <w:r>
        <w:rPr>
          <w:rFonts w:hint="eastAsia" w:ascii="TimesNewRoman" w:hAnsi="TimesNewRoman" w:eastAsia="仿宋_GB2312" w:cs="TimesNewRoman"/>
          <w:color w:val="000000" w:themeColor="text1"/>
          <w:kern w:val="0"/>
          <w:sz w:val="32"/>
          <w:szCs w:val="32"/>
          <w:lang w:val="en-US" w:eastAsia="zh-CN"/>
        </w:rPr>
        <w:t>81.69</w:t>
      </w:r>
      <w:r>
        <w:rPr>
          <w:rFonts w:hint="eastAsia" w:ascii="TimesNewRoman" w:hAnsi="TimesNewRoman" w:eastAsia="仿宋_GB2312" w:cs="TimesNewRoman"/>
          <w:color w:val="000000" w:themeColor="text1"/>
          <w:kern w:val="0"/>
          <w:sz w:val="32"/>
          <w:szCs w:val="32"/>
        </w:rPr>
        <w:t>%；社会保障和就业支出</w:t>
      </w:r>
      <w:r>
        <w:rPr>
          <w:rFonts w:hint="eastAsia" w:ascii="TimesNewRoman" w:hAnsi="TimesNewRoman" w:eastAsia="仿宋_GB2312" w:cs="TimesNewRoman"/>
          <w:color w:val="000000" w:themeColor="text1"/>
          <w:kern w:val="0"/>
          <w:sz w:val="32"/>
          <w:szCs w:val="32"/>
          <w:lang w:val="en-US" w:eastAsia="zh-CN"/>
        </w:rPr>
        <w:t>39.65</w:t>
      </w:r>
      <w:r>
        <w:rPr>
          <w:rFonts w:hint="eastAsia" w:ascii="TimesNewRoman" w:hAnsi="TimesNewRoman" w:eastAsia="仿宋_GB2312" w:cs="TimesNewRoman"/>
          <w:color w:val="000000" w:themeColor="text1"/>
          <w:kern w:val="0"/>
          <w:sz w:val="32"/>
          <w:szCs w:val="32"/>
        </w:rPr>
        <w:t>万元，占</w:t>
      </w:r>
      <w:r>
        <w:rPr>
          <w:rFonts w:hint="eastAsia" w:ascii="TimesNewRoman" w:hAnsi="TimesNewRoman" w:eastAsia="仿宋_GB2312" w:cs="TimesNewRoman"/>
          <w:color w:val="000000" w:themeColor="text1"/>
          <w:kern w:val="0"/>
          <w:sz w:val="32"/>
          <w:szCs w:val="32"/>
          <w:lang w:val="en-US" w:eastAsia="zh-CN"/>
        </w:rPr>
        <w:t>6.62</w:t>
      </w:r>
      <w:r>
        <w:rPr>
          <w:rFonts w:hint="eastAsia" w:ascii="TimesNewRoman" w:hAnsi="TimesNewRoman" w:eastAsia="仿宋_GB2312" w:cs="TimesNewRoman"/>
          <w:color w:val="000000" w:themeColor="text1"/>
          <w:kern w:val="0"/>
          <w:sz w:val="32"/>
          <w:szCs w:val="32"/>
        </w:rPr>
        <w:t>%；卫生健康支出</w:t>
      </w:r>
      <w:r>
        <w:rPr>
          <w:rFonts w:hint="eastAsia" w:ascii="TimesNewRoman" w:hAnsi="TimesNewRoman" w:eastAsia="仿宋_GB2312" w:cs="TimesNewRoman"/>
          <w:color w:val="000000" w:themeColor="text1"/>
          <w:kern w:val="0"/>
          <w:sz w:val="32"/>
          <w:szCs w:val="32"/>
          <w:lang w:val="en-US" w:eastAsia="zh-CN"/>
        </w:rPr>
        <w:t>18.88</w:t>
      </w:r>
      <w:r>
        <w:rPr>
          <w:rFonts w:hint="eastAsia" w:ascii="TimesNewRoman" w:hAnsi="TimesNewRoman" w:eastAsia="仿宋_GB2312" w:cs="TimesNewRoman"/>
          <w:color w:val="000000" w:themeColor="text1"/>
          <w:kern w:val="0"/>
          <w:sz w:val="32"/>
          <w:szCs w:val="32"/>
        </w:rPr>
        <w:t>万元，占</w:t>
      </w:r>
      <w:r>
        <w:rPr>
          <w:rFonts w:hint="eastAsia" w:ascii="TimesNewRoman" w:hAnsi="TimesNewRoman" w:eastAsia="仿宋_GB2312" w:cs="TimesNewRoman"/>
          <w:color w:val="000000" w:themeColor="text1"/>
          <w:kern w:val="0"/>
          <w:sz w:val="32"/>
          <w:szCs w:val="32"/>
          <w:lang w:val="en-US" w:eastAsia="zh-CN"/>
        </w:rPr>
        <w:t>3.15</w:t>
      </w:r>
      <w:r>
        <w:rPr>
          <w:rFonts w:hint="eastAsia" w:ascii="TimesNewRoman" w:hAnsi="TimesNewRoman" w:eastAsia="仿宋_GB2312" w:cs="TimesNewRoman"/>
          <w:color w:val="000000" w:themeColor="text1"/>
          <w:kern w:val="0"/>
          <w:sz w:val="32"/>
          <w:szCs w:val="32"/>
        </w:rPr>
        <w:t>%；住房保障支出</w:t>
      </w:r>
      <w:r>
        <w:rPr>
          <w:rFonts w:hint="eastAsia" w:ascii="TimesNewRoman" w:hAnsi="TimesNewRoman" w:eastAsia="仿宋_GB2312" w:cs="TimesNewRoman"/>
          <w:color w:val="000000" w:themeColor="text1"/>
          <w:kern w:val="0"/>
          <w:sz w:val="32"/>
          <w:szCs w:val="32"/>
          <w:lang w:val="en-US" w:eastAsia="zh-CN"/>
        </w:rPr>
        <w:t>51.19</w:t>
      </w:r>
      <w:r>
        <w:rPr>
          <w:rFonts w:hint="eastAsia" w:ascii="TimesNewRoman" w:hAnsi="TimesNewRoman" w:eastAsia="仿宋_GB2312" w:cs="TimesNewRoman"/>
          <w:color w:val="000000" w:themeColor="text1"/>
          <w:kern w:val="0"/>
          <w:sz w:val="32"/>
          <w:szCs w:val="32"/>
        </w:rPr>
        <w:t>万元，占</w:t>
      </w:r>
      <w:r>
        <w:rPr>
          <w:rFonts w:hint="eastAsia" w:ascii="TimesNewRoman" w:hAnsi="TimesNewRoman" w:eastAsia="仿宋_GB2312" w:cs="TimesNewRoman"/>
          <w:color w:val="000000" w:themeColor="text1"/>
          <w:kern w:val="0"/>
          <w:sz w:val="32"/>
          <w:szCs w:val="32"/>
          <w:lang w:val="en-US" w:eastAsia="zh-CN"/>
        </w:rPr>
        <w:t>8.54</w:t>
      </w:r>
      <w:r>
        <w:rPr>
          <w:rFonts w:hint="eastAsia" w:ascii="TimesNewRoman" w:hAnsi="TimesNewRoman" w:eastAsia="仿宋_GB2312" w:cs="TimesNewRoman"/>
          <w:color w:val="000000" w:themeColor="text1"/>
          <w:kern w:val="0"/>
          <w:sz w:val="32"/>
          <w:szCs w:val="32"/>
        </w:rPr>
        <w:t>%。</w:t>
      </w:r>
    </w:p>
    <w:p w14:paraId="7E2A5640">
      <w:pPr>
        <w:pStyle w:val="7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楷体_GB2312" w:cs="TimesNewRoman"/>
          <w:b/>
          <w:color w:val="000000" w:themeColor="text1"/>
          <w:sz w:val="32"/>
          <w:szCs w:val="32"/>
        </w:rPr>
      </w:pPr>
      <w:r>
        <w:rPr>
          <w:rFonts w:hint="eastAsia" w:ascii="TimesNewRoman" w:hAnsi="TimesNewRoman" w:eastAsia="楷体_GB2312" w:cs="TimesNewRoman"/>
          <w:b/>
          <w:color w:val="000000" w:themeColor="text1"/>
          <w:sz w:val="32"/>
          <w:szCs w:val="32"/>
        </w:rPr>
        <w:t>（三）一般公共预算支出具体使用情况。</w:t>
      </w:r>
    </w:p>
    <w:p w14:paraId="3F703138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1、一般公共服务支出（类）政府办公厅（室）及相关机构事务（款）行政运行（项）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400.62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3.81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0.96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(1)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行政运行支出增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加;(2)2025年部分预算科目名称调整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2A32D6D7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、一般公共服务支出（类）政府办公厅（室）及相关机构事务（款）事业运行（项）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89.05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12.95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17.02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%，原因主要是一般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政管理事务支出减少。</w:t>
      </w:r>
    </w:p>
    <w:p w14:paraId="3890ADDD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3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、社会保障和就业支出（类）行政事业单位养老支出（款）机关事业单位基本养老保险缴费支出（项）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25.99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减少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7.36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22.07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</w:t>
      </w:r>
      <w:r>
        <w:rPr>
          <w:rFonts w:hint="eastAsia" w:ascii="仿宋_GB2312" w:hAnsi="仿宋" w:eastAsia="仿宋_GB2312"/>
          <w:sz w:val="32"/>
          <w:szCs w:val="32"/>
        </w:rPr>
        <w:t>养老保险基数调整公务定额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3ADC105E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、社会保障和就业支出（类）行政事业单位养老支出（款）机关事业单位职业年金缴费支出（项）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13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24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减少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3.67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减少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22.02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</w:t>
      </w:r>
      <w:r>
        <w:rPr>
          <w:rFonts w:hint="eastAsia" w:ascii="仿宋_GB2312" w:hAnsi="仿宋" w:eastAsia="仿宋_GB2312"/>
          <w:sz w:val="32"/>
          <w:szCs w:val="32"/>
        </w:rPr>
        <w:t>养老保险基数调整公务定额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16F8A517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、社会保障和就业支出（类）其他社会保障和就业支出（款）其他社会保障和就业支出（项）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0.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66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预算增加0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.0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6.45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</w:t>
      </w:r>
      <w:r>
        <w:rPr>
          <w:rFonts w:hint="eastAsia" w:ascii="仿宋_GB2312" w:hAnsi="仿宋" w:eastAsia="仿宋_GB2312"/>
          <w:sz w:val="32"/>
          <w:szCs w:val="32"/>
        </w:rPr>
        <w:t>养老保险基数调整公务定额增加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699FD86F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highlight w:val="none"/>
        </w:rPr>
        <w:t>、卫生健康支出（类）行政事业单位医疗（款）行政单位医疗（项）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highlight w:val="none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highlight w:val="none"/>
          <w:lang w:val="en-US" w:eastAsia="zh-CN"/>
        </w:rPr>
        <w:t>14.01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highlight w:val="none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highlight w:val="none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highlight w:val="none"/>
          <w:lang w:val="en-US" w:eastAsia="zh-CN"/>
        </w:rPr>
        <w:t>减少1.32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highlight w:val="none"/>
        </w:rPr>
        <w:t>万元，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减少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8.61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减少原因主要是人员调整导致医疗保险缴费基数减少。</w:t>
      </w:r>
    </w:p>
    <w:p w14:paraId="27C9B3C1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、卫生健康支出（类）行政事业单位医疗（款）公务员医疗补助（项）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4.87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增加0.2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增长4.28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</w:t>
      </w:r>
      <w:r>
        <w:rPr>
          <w:rFonts w:hint="eastAsia" w:ascii="仿宋_GB2312" w:hAnsi="仿宋" w:eastAsia="仿宋_GB2312"/>
          <w:sz w:val="32"/>
          <w:szCs w:val="32"/>
        </w:rPr>
        <w:t>公务定额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</w:rPr>
        <w:t>公务员医疗补助预算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39B46E9E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、住房保障支出（类）住房改革支出（款）住房公积金（项）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36.13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减少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0.84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减少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0.84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</w:t>
      </w:r>
      <w:r>
        <w:rPr>
          <w:rFonts w:hint="eastAsia" w:ascii="仿宋_GB2312" w:hAnsi="仿宋" w:eastAsia="仿宋_GB2312"/>
          <w:sz w:val="32"/>
          <w:szCs w:val="32"/>
        </w:rPr>
        <w:t>公务定额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33364213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、住房保障支出（类）住房改革支出（款）提租补贴（项）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15.06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4.62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44.25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</w:t>
      </w:r>
      <w:r>
        <w:rPr>
          <w:rFonts w:hint="eastAsia" w:ascii="仿宋_GB2312" w:hAnsi="仿宋" w:eastAsia="仿宋_GB2312"/>
          <w:sz w:val="32"/>
          <w:szCs w:val="32"/>
        </w:rPr>
        <w:t>公务定额增加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42ADBEBF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六、关于2025年一般公共预算基本支出表的说明</w:t>
      </w:r>
    </w:p>
    <w:p w14:paraId="3E53ABCB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淮北市相山区人民政府办公室2025年一般公共预算基本支出399.39万元，其中，人员经费362.26万元，公用经费37.14万元。</w:t>
      </w:r>
    </w:p>
    <w:p w14:paraId="35F1A227">
      <w:pPr>
        <w:ind w:firstLine="643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kern w:val="0"/>
          <w:sz w:val="32"/>
          <w:szCs w:val="32"/>
        </w:rPr>
        <w:t>（一）人员经费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362.26</w:t>
      </w:r>
      <w:r>
        <w:rPr>
          <w:rFonts w:hint="eastAsia" w:ascii="TimesNewRoman" w:hAnsi="TimesNewRoman" w:eastAsia="仿宋_GB2312" w:cs="TimesNewRoman"/>
          <w:b/>
          <w:kern w:val="0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主要包括:基本工资、津贴补贴、奖金、绩效工资、机关事业单位基本养老保险费、职业年金缴费、职工基本医疗保险缴费、公务员医疗补助缴费、其他社会保障缴费、住房公积金、其他工资福利支出。</w:t>
      </w:r>
    </w:p>
    <w:p w14:paraId="23354924">
      <w:pPr>
        <w:ind w:firstLine="643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kern w:val="0"/>
          <w:sz w:val="32"/>
          <w:szCs w:val="32"/>
        </w:rPr>
        <w:t>（二）公用经费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37.14</w:t>
      </w:r>
      <w:r>
        <w:rPr>
          <w:rFonts w:hint="eastAsia" w:ascii="TimesNewRoman" w:hAnsi="TimesNewRoman" w:eastAsia="仿宋_GB2312" w:cs="TimesNewRoman"/>
          <w:b/>
          <w:kern w:val="0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主要包括：办公费、印刷费、差旅费、维修（护）费、培训费、委托业务费、工会经费、其他交通费用、其他商品服务支出、对其他个人和家庭的补助支出。</w:t>
      </w:r>
    </w:p>
    <w:p w14:paraId="22FF8A86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七、关于2025年政府性基金预算支出表的说明</w:t>
      </w:r>
    </w:p>
    <w:p w14:paraId="6B468846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淮北市相山区人民政府办公室2025年没有政府性基金预算拨款收入，也没有使用政府性基金预算拨款安排的支出。</w:t>
      </w:r>
    </w:p>
    <w:p w14:paraId="2F56F1DC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八、关于2025年国有资本经营预算支出表的说明</w:t>
      </w:r>
    </w:p>
    <w:p w14:paraId="44423FBE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淮北市相山区人民政府办公室2025年没有国有资本经营预算拨款收入，也没有使用国有资本经营预算拨款安排的支出。</w:t>
      </w:r>
    </w:p>
    <w:p w14:paraId="033361ED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九、关于2025年项目支出表的说明</w:t>
      </w:r>
    </w:p>
    <w:p w14:paraId="4E307E18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2025年预算共安排项目支出200万元，比2024年预算减少55万元，下降21.57%，原因主要是邮电费用工作经费减少。主要包括：本年财政拨款安排200万元（其中，一般公共预算拨款安排200万元，政府性基金预算拨款安排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万元），财政专户管理资金安排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</w:t>
      </w:r>
    </w:p>
    <w:p w14:paraId="3B0A613B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十、关于2025年政府采购支出表的说明</w:t>
      </w:r>
    </w:p>
    <w:p w14:paraId="6EE3BD5F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淮北市相山区人民政府办公室2025年没有使用一般公共预算拨款、政府性基金预算拨款、国有资本经营预算拨款、财政专户管理资金和单位资金安排的政府采购支出。</w:t>
      </w:r>
    </w:p>
    <w:p w14:paraId="5DA193D0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十一、关于2025年政府购买服务支出表的说明</w:t>
      </w:r>
    </w:p>
    <w:p w14:paraId="1A5A82E9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淮北市相山区人民政府办公室2025年没有安排政府购买服务支出。</w:t>
      </w:r>
    </w:p>
    <w:p w14:paraId="383CE8C5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十二、关于2025年通用资产配置支出表的说明</w:t>
      </w:r>
    </w:p>
    <w:p w14:paraId="14D68915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淮北市相山区人民政府办公室2024年没有安排通用资产配置支出。</w:t>
      </w:r>
    </w:p>
    <w:p w14:paraId="7DB7FCD7">
      <w:pPr>
        <w:pStyle w:val="7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十三、其他重要事项情况说明</w:t>
      </w:r>
    </w:p>
    <w:p w14:paraId="4C35FE92">
      <w:pPr>
        <w:adjustRightInd w:val="0"/>
        <w:snapToGrid w:val="0"/>
        <w:spacing w:line="58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（一）项目及绩效目标情况。</w:t>
      </w:r>
    </w:p>
    <w:p w14:paraId="14D516EE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1、“政府办公室工作经费”项目。</w:t>
      </w:r>
    </w:p>
    <w:p w14:paraId="2F613279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（1）项目概述。用于区政府办公室、区营商环境服务中心、热线办日常运转经费。</w:t>
      </w:r>
    </w:p>
    <w:p w14:paraId="099B2746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（2）立项依据。</w:t>
      </w:r>
      <w:r>
        <w:rPr>
          <w:rFonts w:hint="eastAsia" w:ascii="仿宋_GB2312" w:hAnsi="楷体" w:eastAsia="仿宋_GB2312"/>
          <w:sz w:val="32"/>
          <w:szCs w:val="32"/>
        </w:rPr>
        <w:t>根据《预算法》和深化国库集中改革的要求、加强地方政府债务管理、行政事业单位资产管理等有关规定。</w:t>
      </w:r>
    </w:p>
    <w:p w14:paraId="1C21E0FD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（3）实施主体。淮北市相山区人民政府办公室</w:t>
      </w:r>
    </w:p>
    <w:p w14:paraId="6A2713D1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（4）起止时间。2025年1月至2025年1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月</w:t>
      </w:r>
    </w:p>
    <w:p w14:paraId="7FF67A6F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（5）项目内容。用于区政府办公室、区营商环境服务中心、重大项目办日常运转经费。</w:t>
      </w:r>
    </w:p>
    <w:p w14:paraId="7ADE4118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（6）年度预算安排。用于区政府办公室、区营商环境服务中心、重大项目办日常运转经费。</w:t>
      </w:r>
    </w:p>
    <w:p w14:paraId="0FF41F54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（7）绩效目标。用于区政府办公室、区营商环境服务中心、重大项目办日常运转经费。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4CFC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C9ECE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项目支出绩效目标表</w:t>
            </w:r>
          </w:p>
        </w:tc>
      </w:tr>
      <w:tr w14:paraId="08E4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BBB032D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5年度）                                </w:t>
            </w:r>
          </w:p>
        </w:tc>
      </w:tr>
      <w:tr w14:paraId="75EE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Align w:val="center"/>
          </w:tcPr>
          <w:p w14:paraId="4117D5FB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7577" w:type="dxa"/>
            <w:gridSpan w:val="4"/>
            <w:vAlign w:val="center"/>
          </w:tcPr>
          <w:p w14:paraId="319F14C8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政府办公室工作经费</w:t>
            </w:r>
          </w:p>
        </w:tc>
      </w:tr>
      <w:tr w14:paraId="6252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vAlign w:val="center"/>
          </w:tcPr>
          <w:p w14:paraId="32B47D5C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主管部门   及代码</w:t>
            </w:r>
          </w:p>
        </w:tc>
        <w:tc>
          <w:tcPr>
            <w:tcW w:w="3349" w:type="dxa"/>
            <w:gridSpan w:val="2"/>
            <w:vAlign w:val="center"/>
          </w:tcPr>
          <w:p w14:paraId="6664DC2E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区政府办公室</w:t>
            </w:r>
          </w:p>
        </w:tc>
        <w:tc>
          <w:tcPr>
            <w:tcW w:w="1848" w:type="dxa"/>
            <w:vAlign w:val="center"/>
          </w:tcPr>
          <w:p w14:paraId="6FC9FC5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实施单位</w:t>
            </w:r>
          </w:p>
        </w:tc>
        <w:tc>
          <w:tcPr>
            <w:tcW w:w="2380" w:type="dxa"/>
            <w:vAlign w:val="center"/>
          </w:tcPr>
          <w:p w14:paraId="2BE1E493"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区政府办公室</w:t>
            </w:r>
          </w:p>
        </w:tc>
      </w:tr>
      <w:tr w14:paraId="633C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Align w:val="center"/>
          </w:tcPr>
          <w:p w14:paraId="2756F06D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项目来源</w:t>
            </w:r>
          </w:p>
        </w:tc>
        <w:tc>
          <w:tcPr>
            <w:tcW w:w="3349" w:type="dxa"/>
            <w:gridSpan w:val="2"/>
            <w:vAlign w:val="center"/>
          </w:tcPr>
          <w:p w14:paraId="4BF77C6C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1848" w:type="dxa"/>
            <w:vAlign w:val="center"/>
          </w:tcPr>
          <w:p w14:paraId="792CDC3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项目期</w:t>
            </w:r>
          </w:p>
        </w:tc>
        <w:tc>
          <w:tcPr>
            <w:tcW w:w="2380" w:type="dxa"/>
            <w:vAlign w:val="center"/>
          </w:tcPr>
          <w:p w14:paraId="1969A260"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1-12月</w:t>
            </w:r>
          </w:p>
        </w:tc>
      </w:tr>
      <w:tr w14:paraId="34F8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vAlign w:val="center"/>
          </w:tcPr>
          <w:p w14:paraId="57CB3C21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项目资金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（万元）</w:t>
            </w:r>
          </w:p>
        </w:tc>
        <w:tc>
          <w:tcPr>
            <w:tcW w:w="3349" w:type="dxa"/>
            <w:gridSpan w:val="2"/>
            <w:vAlign w:val="center"/>
          </w:tcPr>
          <w:p w14:paraId="1468D726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年度资金总额：</w:t>
            </w:r>
          </w:p>
        </w:tc>
        <w:tc>
          <w:tcPr>
            <w:tcW w:w="4228" w:type="dxa"/>
            <w:gridSpan w:val="2"/>
            <w:vAlign w:val="center"/>
          </w:tcPr>
          <w:p w14:paraId="13F2297D">
            <w:pPr>
              <w:jc w:val="center"/>
              <w:rPr>
                <w:rFonts w:ascii="宋体" w:cs="宋体"/>
                <w:sz w:val="20"/>
              </w:rPr>
            </w:pPr>
          </w:p>
        </w:tc>
      </w:tr>
      <w:tr w14:paraId="38D7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vAlign w:val="center"/>
          </w:tcPr>
          <w:p w14:paraId="244DB8F5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vAlign w:val="center"/>
          </w:tcPr>
          <w:p w14:paraId="643B4B1E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vAlign w:val="center"/>
          </w:tcPr>
          <w:p w14:paraId="20FA1213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cs="宋体"/>
                <w:sz w:val="20"/>
              </w:rPr>
              <w:t>156.33</w:t>
            </w:r>
          </w:p>
        </w:tc>
      </w:tr>
      <w:tr w14:paraId="2798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vAlign w:val="center"/>
          </w:tcPr>
          <w:p w14:paraId="332CF12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vAlign w:val="center"/>
          </w:tcPr>
          <w:p w14:paraId="5E6FC4A9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        上年结转</w:t>
            </w:r>
          </w:p>
        </w:tc>
        <w:tc>
          <w:tcPr>
            <w:tcW w:w="4228" w:type="dxa"/>
            <w:gridSpan w:val="2"/>
            <w:vAlign w:val="center"/>
          </w:tcPr>
          <w:p w14:paraId="79EF6880">
            <w:pPr>
              <w:jc w:val="center"/>
              <w:rPr>
                <w:rFonts w:ascii="宋体" w:cs="宋体"/>
                <w:sz w:val="20"/>
              </w:rPr>
            </w:pPr>
          </w:p>
        </w:tc>
      </w:tr>
      <w:tr w14:paraId="3586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vAlign w:val="center"/>
          </w:tcPr>
          <w:p w14:paraId="06A210A7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vAlign w:val="center"/>
          </w:tcPr>
          <w:p w14:paraId="4BCF3229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        其他资金</w:t>
            </w:r>
          </w:p>
        </w:tc>
        <w:tc>
          <w:tcPr>
            <w:tcW w:w="4228" w:type="dxa"/>
            <w:gridSpan w:val="2"/>
            <w:vAlign w:val="center"/>
          </w:tcPr>
          <w:p w14:paraId="3D8951B6">
            <w:pPr>
              <w:jc w:val="right"/>
              <w:rPr>
                <w:rFonts w:ascii="宋体" w:cs="宋体"/>
                <w:sz w:val="20"/>
              </w:rPr>
            </w:pPr>
          </w:p>
        </w:tc>
      </w:tr>
      <w:tr w14:paraId="0D10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vAlign w:val="center"/>
          </w:tcPr>
          <w:p w14:paraId="52C834A7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目标</w:t>
            </w:r>
          </w:p>
        </w:tc>
        <w:tc>
          <w:tcPr>
            <w:tcW w:w="8582" w:type="dxa"/>
            <w:gridSpan w:val="6"/>
            <w:vAlign w:val="center"/>
          </w:tcPr>
          <w:p w14:paraId="48099972">
            <w:pPr>
              <w:ind w:firstLine="300" w:firstLineChars="15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申请财政预算资金156.33万元，用于区政府办公室、区营商环境服务中心、热线办日常运转经费。</w:t>
            </w:r>
          </w:p>
          <w:p w14:paraId="06B629BD">
            <w:pPr>
              <w:jc w:val="left"/>
              <w:rPr>
                <w:rFonts w:ascii="宋体" w:cs="宋体"/>
                <w:sz w:val="20"/>
              </w:rPr>
            </w:pPr>
          </w:p>
        </w:tc>
      </w:tr>
      <w:tr w14:paraId="5290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vAlign w:val="center"/>
          </w:tcPr>
          <w:p w14:paraId="00C59F51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标</w:t>
            </w:r>
          </w:p>
        </w:tc>
        <w:tc>
          <w:tcPr>
            <w:tcW w:w="723" w:type="dxa"/>
            <w:vAlign w:val="center"/>
          </w:tcPr>
          <w:p w14:paraId="64AE0A94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59" w:type="dxa"/>
            <w:gridSpan w:val="2"/>
            <w:vAlign w:val="center"/>
          </w:tcPr>
          <w:p w14:paraId="10DA2443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2872" w:type="dxa"/>
            <w:vAlign w:val="center"/>
          </w:tcPr>
          <w:p w14:paraId="44A91041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4228" w:type="dxa"/>
            <w:gridSpan w:val="2"/>
            <w:vAlign w:val="center"/>
          </w:tcPr>
          <w:p w14:paraId="3AEB4ED0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指标值</w:t>
            </w:r>
          </w:p>
        </w:tc>
      </w:tr>
      <w:tr w14:paraId="08AA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20DD0113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5E3F93D6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vAlign w:val="center"/>
          </w:tcPr>
          <w:p w14:paraId="673C6CE3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数量指标</w:t>
            </w:r>
          </w:p>
        </w:tc>
        <w:tc>
          <w:tcPr>
            <w:tcW w:w="2872" w:type="dxa"/>
            <w:vAlign w:val="center"/>
          </w:tcPr>
          <w:p w14:paraId="1B81FFCD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指标1：申请数额</w:t>
            </w:r>
          </w:p>
        </w:tc>
        <w:tc>
          <w:tcPr>
            <w:tcW w:w="4228" w:type="dxa"/>
            <w:gridSpan w:val="2"/>
            <w:vAlign w:val="center"/>
          </w:tcPr>
          <w:p w14:paraId="56AB3A6F">
            <w:pPr>
              <w:pStyle w:val="3"/>
              <w:ind w:firstLine="400"/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156.33万元</w:t>
            </w:r>
          </w:p>
        </w:tc>
      </w:tr>
      <w:tr w14:paraId="02B0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3B90F61D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0045E318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 w14:paraId="16E64427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vAlign w:val="center"/>
          </w:tcPr>
          <w:p w14:paraId="48E618EC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vAlign w:val="center"/>
          </w:tcPr>
          <w:p w14:paraId="6E20AD60">
            <w:pPr>
              <w:pStyle w:val="3"/>
              <w:ind w:firstLine="400"/>
              <w:jc w:val="center"/>
              <w:rPr>
                <w:rFonts w:ascii="宋体" w:cs="宋体"/>
                <w:sz w:val="20"/>
              </w:rPr>
            </w:pPr>
          </w:p>
        </w:tc>
      </w:tr>
      <w:tr w14:paraId="3292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7FA950A9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2B854E4F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 w14:paraId="4D1725A7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vAlign w:val="center"/>
          </w:tcPr>
          <w:p w14:paraId="22D37F95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vAlign w:val="center"/>
          </w:tcPr>
          <w:p w14:paraId="49D83E3E">
            <w:pPr>
              <w:pStyle w:val="3"/>
              <w:ind w:firstLine="400"/>
              <w:jc w:val="center"/>
              <w:rPr>
                <w:rFonts w:ascii="宋体" w:cs="宋体"/>
                <w:sz w:val="20"/>
              </w:rPr>
            </w:pPr>
          </w:p>
        </w:tc>
      </w:tr>
      <w:tr w14:paraId="2054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12EDC695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6D1DB06F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14:paraId="625C8E59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质量指标</w:t>
            </w:r>
          </w:p>
        </w:tc>
        <w:tc>
          <w:tcPr>
            <w:tcW w:w="2872" w:type="dxa"/>
            <w:vAlign w:val="center"/>
          </w:tcPr>
          <w:p w14:paraId="64D6FD5A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指标1：及时完成率</w:t>
            </w:r>
          </w:p>
        </w:tc>
        <w:tc>
          <w:tcPr>
            <w:tcW w:w="4228" w:type="dxa"/>
            <w:gridSpan w:val="2"/>
            <w:vAlign w:val="center"/>
          </w:tcPr>
          <w:p w14:paraId="2FC119EB">
            <w:pPr>
              <w:pStyle w:val="3"/>
              <w:ind w:firstLine="400"/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≥98%</w:t>
            </w:r>
          </w:p>
        </w:tc>
      </w:tr>
      <w:tr w14:paraId="5F46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233F9E18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05171F7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 w14:paraId="5FEB85AA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vAlign w:val="center"/>
          </w:tcPr>
          <w:p w14:paraId="3E824FAE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vAlign w:val="center"/>
          </w:tcPr>
          <w:p w14:paraId="66B8CB31">
            <w:pPr>
              <w:pStyle w:val="3"/>
              <w:ind w:firstLine="400"/>
              <w:jc w:val="center"/>
              <w:rPr>
                <w:rFonts w:ascii="宋体" w:cs="宋体"/>
                <w:sz w:val="20"/>
              </w:rPr>
            </w:pPr>
          </w:p>
        </w:tc>
      </w:tr>
      <w:tr w14:paraId="30BB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6E400CDD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226FFAE0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14:paraId="63D2B89A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时效指标</w:t>
            </w:r>
          </w:p>
        </w:tc>
        <w:tc>
          <w:tcPr>
            <w:tcW w:w="2872" w:type="dxa"/>
            <w:vAlign w:val="center"/>
          </w:tcPr>
          <w:p w14:paraId="7640F6CA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指标1：工作完成率</w:t>
            </w:r>
          </w:p>
        </w:tc>
        <w:tc>
          <w:tcPr>
            <w:tcW w:w="4228" w:type="dxa"/>
            <w:gridSpan w:val="2"/>
            <w:vAlign w:val="center"/>
          </w:tcPr>
          <w:p w14:paraId="174DA7B9">
            <w:pPr>
              <w:pStyle w:val="3"/>
              <w:ind w:firstLine="400"/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≥98%</w:t>
            </w:r>
          </w:p>
        </w:tc>
      </w:tr>
      <w:tr w14:paraId="783F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48E9C2CA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3230BBF2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 w14:paraId="18F6A2A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vAlign w:val="center"/>
          </w:tcPr>
          <w:p w14:paraId="69B196FC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vAlign w:val="center"/>
          </w:tcPr>
          <w:p w14:paraId="0AC9C770">
            <w:pPr>
              <w:pStyle w:val="3"/>
              <w:ind w:firstLine="400"/>
              <w:rPr>
                <w:rFonts w:ascii="宋体" w:cs="宋体"/>
                <w:sz w:val="20"/>
              </w:rPr>
            </w:pPr>
          </w:p>
        </w:tc>
      </w:tr>
      <w:tr w14:paraId="0DEC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66A6638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70E97997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14:paraId="4676E79E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成本指标</w:t>
            </w:r>
          </w:p>
        </w:tc>
        <w:tc>
          <w:tcPr>
            <w:tcW w:w="2872" w:type="dxa"/>
            <w:vAlign w:val="center"/>
          </w:tcPr>
          <w:p w14:paraId="45BD9714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指标1：工作经费</w:t>
            </w:r>
          </w:p>
        </w:tc>
        <w:tc>
          <w:tcPr>
            <w:tcW w:w="4228" w:type="dxa"/>
            <w:gridSpan w:val="2"/>
            <w:vAlign w:val="center"/>
          </w:tcPr>
          <w:p w14:paraId="2DB73E5C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156.33万元</w:t>
            </w:r>
          </w:p>
        </w:tc>
      </w:tr>
      <w:tr w14:paraId="4331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32132BF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1E165D62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 w14:paraId="7D686C93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vAlign w:val="center"/>
          </w:tcPr>
          <w:p w14:paraId="3F6065FB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vAlign w:val="center"/>
          </w:tcPr>
          <w:p w14:paraId="3E17C058">
            <w:pPr>
              <w:pStyle w:val="3"/>
              <w:ind w:firstLine="400"/>
              <w:rPr>
                <w:rFonts w:ascii="宋体" w:cs="宋体"/>
                <w:sz w:val="20"/>
              </w:rPr>
            </w:pPr>
          </w:p>
        </w:tc>
      </w:tr>
      <w:tr w14:paraId="7474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7C3010D2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1D012139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Align w:val="center"/>
          </w:tcPr>
          <w:p w14:paraId="75EC44AD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…</w:t>
            </w:r>
          </w:p>
        </w:tc>
        <w:tc>
          <w:tcPr>
            <w:tcW w:w="2872" w:type="dxa"/>
            <w:vAlign w:val="center"/>
          </w:tcPr>
          <w:p w14:paraId="549051F4">
            <w:pPr>
              <w:jc w:val="left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vAlign w:val="center"/>
          </w:tcPr>
          <w:p w14:paraId="02E97B46">
            <w:pPr>
              <w:pStyle w:val="3"/>
              <w:ind w:firstLine="400"/>
              <w:rPr>
                <w:rFonts w:ascii="宋体" w:cs="宋体"/>
                <w:sz w:val="20"/>
              </w:rPr>
            </w:pPr>
          </w:p>
        </w:tc>
      </w:tr>
      <w:tr w14:paraId="761E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23700AAB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59D6C59E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效益指标</w:t>
            </w:r>
          </w:p>
        </w:tc>
        <w:tc>
          <w:tcPr>
            <w:tcW w:w="759" w:type="dxa"/>
            <w:gridSpan w:val="2"/>
            <w:vMerge w:val="restart"/>
            <w:vAlign w:val="center"/>
          </w:tcPr>
          <w:p w14:paraId="3947DF0F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经济效益指标</w:t>
            </w:r>
          </w:p>
        </w:tc>
        <w:tc>
          <w:tcPr>
            <w:tcW w:w="2872" w:type="dxa"/>
            <w:vAlign w:val="center"/>
          </w:tcPr>
          <w:p w14:paraId="7BBCA308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指标1：职工劳动生产率</w:t>
            </w:r>
          </w:p>
        </w:tc>
        <w:tc>
          <w:tcPr>
            <w:tcW w:w="4228" w:type="dxa"/>
            <w:gridSpan w:val="2"/>
            <w:vAlign w:val="center"/>
          </w:tcPr>
          <w:p w14:paraId="7FBAC6CE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98%</w:t>
            </w:r>
          </w:p>
        </w:tc>
      </w:tr>
      <w:tr w14:paraId="385A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4D2E54F4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354921E9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 w14:paraId="4813A6AA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vAlign w:val="center"/>
          </w:tcPr>
          <w:p w14:paraId="196FC569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vAlign w:val="center"/>
          </w:tcPr>
          <w:p w14:paraId="18BCFE51">
            <w:pPr>
              <w:pStyle w:val="3"/>
              <w:ind w:firstLine="400"/>
              <w:rPr>
                <w:rFonts w:ascii="宋体" w:cs="宋体"/>
                <w:sz w:val="20"/>
              </w:rPr>
            </w:pPr>
          </w:p>
        </w:tc>
      </w:tr>
      <w:tr w14:paraId="6D02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6BB3AA5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60E3F858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14:paraId="30030E96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社会效益指标</w:t>
            </w:r>
          </w:p>
        </w:tc>
        <w:tc>
          <w:tcPr>
            <w:tcW w:w="2872" w:type="dxa"/>
            <w:vAlign w:val="center"/>
          </w:tcPr>
          <w:p w14:paraId="431F9163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指标1：群众影响率</w:t>
            </w:r>
          </w:p>
        </w:tc>
        <w:tc>
          <w:tcPr>
            <w:tcW w:w="4228" w:type="dxa"/>
            <w:gridSpan w:val="2"/>
            <w:vAlign w:val="center"/>
          </w:tcPr>
          <w:p w14:paraId="3CB16DE2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98%</w:t>
            </w:r>
          </w:p>
        </w:tc>
      </w:tr>
      <w:tr w14:paraId="4CB6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02D1B237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0F0A934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 w14:paraId="5330E5D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vAlign w:val="center"/>
          </w:tcPr>
          <w:p w14:paraId="7D45289C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vAlign w:val="center"/>
          </w:tcPr>
          <w:p w14:paraId="3466EBD4">
            <w:pPr>
              <w:pStyle w:val="3"/>
              <w:ind w:firstLine="400"/>
              <w:rPr>
                <w:rFonts w:ascii="宋体" w:cs="宋体"/>
                <w:sz w:val="20"/>
              </w:rPr>
            </w:pPr>
          </w:p>
        </w:tc>
      </w:tr>
      <w:tr w14:paraId="2CA8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45C4332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2070067B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14:paraId="3356ADCA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生态效益指标</w:t>
            </w:r>
          </w:p>
        </w:tc>
        <w:tc>
          <w:tcPr>
            <w:tcW w:w="2872" w:type="dxa"/>
            <w:vAlign w:val="center"/>
          </w:tcPr>
          <w:p w14:paraId="4AA214BF">
            <w:pPr>
              <w:widowControl/>
              <w:jc w:val="left"/>
              <w:textAlignment w:val="center"/>
              <w:rPr>
                <w:rFonts w:hint="eastAsia" w:ascii="汉仪中秀体简" w:hAnsi="汉仪中秀体简" w:eastAsia="汉仪中秀体简" w:cs="汉仪中秀体简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生态效益影响程度</w:t>
            </w:r>
          </w:p>
        </w:tc>
        <w:tc>
          <w:tcPr>
            <w:tcW w:w="4228" w:type="dxa"/>
            <w:gridSpan w:val="2"/>
            <w:vAlign w:val="center"/>
          </w:tcPr>
          <w:p w14:paraId="51E88C60">
            <w:pPr>
              <w:pStyle w:val="3"/>
              <w:ind w:firstLine="0" w:firstLineChars="0"/>
              <w:jc w:val="center"/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97%</w:t>
            </w:r>
          </w:p>
        </w:tc>
      </w:tr>
      <w:tr w14:paraId="067F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vAlign w:val="center"/>
          </w:tcPr>
          <w:p w14:paraId="36AC860F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0C4B9FE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 w14:paraId="103777F8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872" w:type="dxa"/>
            <w:vAlign w:val="center"/>
          </w:tcPr>
          <w:p w14:paraId="4D14A79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vAlign w:val="center"/>
          </w:tcPr>
          <w:p w14:paraId="671497B2">
            <w:pPr>
              <w:pStyle w:val="3"/>
              <w:ind w:firstLine="400"/>
              <w:rPr>
                <w:rFonts w:ascii="宋体" w:cs="宋体"/>
                <w:sz w:val="20"/>
              </w:rPr>
            </w:pPr>
          </w:p>
        </w:tc>
      </w:tr>
      <w:tr w14:paraId="0929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vAlign w:val="center"/>
          </w:tcPr>
          <w:p w14:paraId="44D2A884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3DAB0867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14:paraId="213E57D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可持续影响指标</w:t>
            </w:r>
          </w:p>
        </w:tc>
        <w:tc>
          <w:tcPr>
            <w:tcW w:w="2872" w:type="dxa"/>
            <w:vAlign w:val="center"/>
          </w:tcPr>
          <w:p w14:paraId="33DACD7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指标1：生态保护平衡</w:t>
            </w:r>
          </w:p>
        </w:tc>
        <w:tc>
          <w:tcPr>
            <w:tcW w:w="4228" w:type="dxa"/>
            <w:gridSpan w:val="2"/>
            <w:vAlign w:val="center"/>
          </w:tcPr>
          <w:p w14:paraId="386808E1">
            <w:pPr>
              <w:pStyle w:val="3"/>
              <w:ind w:firstLine="0" w:firstLineChars="0"/>
              <w:jc w:val="center"/>
              <w:rPr>
                <w:rFonts w:ascii="宋体" w:cs="宋体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97%</w:t>
            </w:r>
          </w:p>
        </w:tc>
      </w:tr>
      <w:tr w14:paraId="0D69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77E1B708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4EA79723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 w14:paraId="66CA94EA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872" w:type="dxa"/>
            <w:vAlign w:val="center"/>
          </w:tcPr>
          <w:p w14:paraId="122924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vAlign w:val="center"/>
          </w:tcPr>
          <w:p w14:paraId="1CA93A83">
            <w:pPr>
              <w:pStyle w:val="3"/>
              <w:ind w:firstLine="400"/>
              <w:rPr>
                <w:rFonts w:ascii="宋体" w:cs="宋体"/>
                <w:sz w:val="20"/>
              </w:rPr>
            </w:pPr>
          </w:p>
        </w:tc>
      </w:tr>
      <w:tr w14:paraId="5335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438" w:type="dxa"/>
            <w:vMerge w:val="continue"/>
            <w:vAlign w:val="center"/>
          </w:tcPr>
          <w:p w14:paraId="36B013D5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5200440B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59" w:type="dxa"/>
            <w:gridSpan w:val="2"/>
            <w:vAlign w:val="center"/>
          </w:tcPr>
          <w:p w14:paraId="3B5E3287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…</w:t>
            </w:r>
          </w:p>
        </w:tc>
        <w:tc>
          <w:tcPr>
            <w:tcW w:w="2872" w:type="dxa"/>
            <w:vAlign w:val="center"/>
          </w:tcPr>
          <w:p w14:paraId="04282D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228" w:type="dxa"/>
            <w:gridSpan w:val="2"/>
            <w:vAlign w:val="center"/>
          </w:tcPr>
          <w:p w14:paraId="131B94C2">
            <w:pPr>
              <w:pStyle w:val="3"/>
              <w:ind w:firstLine="400"/>
              <w:rPr>
                <w:rFonts w:ascii="宋体" w:cs="宋体"/>
                <w:sz w:val="20"/>
              </w:rPr>
            </w:pPr>
          </w:p>
        </w:tc>
      </w:tr>
      <w:tr w14:paraId="7E4F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38" w:type="dxa"/>
            <w:vMerge w:val="continue"/>
            <w:vAlign w:val="center"/>
          </w:tcPr>
          <w:p w14:paraId="7FF2E300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Align w:val="center"/>
          </w:tcPr>
          <w:p w14:paraId="11CBB511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vAlign w:val="center"/>
          </w:tcPr>
          <w:p w14:paraId="7736E1A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满意度指标</w:t>
            </w:r>
          </w:p>
        </w:tc>
        <w:tc>
          <w:tcPr>
            <w:tcW w:w="2872" w:type="dxa"/>
            <w:vAlign w:val="center"/>
          </w:tcPr>
          <w:p w14:paraId="0C93A43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指标1：群众满意度</w:t>
            </w:r>
          </w:p>
        </w:tc>
        <w:tc>
          <w:tcPr>
            <w:tcW w:w="4228" w:type="dxa"/>
            <w:gridSpan w:val="2"/>
            <w:vAlign w:val="center"/>
          </w:tcPr>
          <w:p w14:paraId="73F2930C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99%</w:t>
            </w:r>
          </w:p>
        </w:tc>
      </w:tr>
    </w:tbl>
    <w:p w14:paraId="5DECA7FB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</w:p>
    <w:p w14:paraId="5C9015C9">
      <w:pPr>
        <w:adjustRightInd w:val="0"/>
        <w:snapToGrid w:val="0"/>
        <w:spacing w:line="58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（二）机关运行经费。</w:t>
      </w:r>
    </w:p>
    <w:p w14:paraId="006D2824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年机关运行经费财政拨款预算37.14万元，比202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年预算增加0.78万元，增长2.15%，原因主要日常运转经费增加。</w:t>
      </w:r>
    </w:p>
    <w:p w14:paraId="358FD46D">
      <w:pPr>
        <w:adjustRightInd w:val="0"/>
        <w:snapToGrid w:val="0"/>
        <w:spacing w:line="58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（三）政府采购情况。</w:t>
      </w:r>
    </w:p>
    <w:p w14:paraId="0386D409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淮北市相山区人民政府办公室2025年政府采购预算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万元。其中：政府采购货物预算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万元，政府采购工程预算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万元，政府采购服务预算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</w:t>
      </w:r>
    </w:p>
    <w:p w14:paraId="66A2B70D">
      <w:pPr>
        <w:adjustRightInd w:val="0"/>
        <w:snapToGrid w:val="0"/>
        <w:spacing w:line="58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（四）国有资产占有使用情况。</w:t>
      </w:r>
    </w:p>
    <w:p w14:paraId="33D97995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截至2024年12月31日，淮北市相山区人民政府办公室共有车辆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辆，其中：主要领导干部用车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辆、机要通信用车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辆、应急保障用车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辆、执法执勤用车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辆、特种专业技术用车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辆、离退休干部用车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辆、其他用车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辆（只列报车辆不为0的车型）。单价50万元以上的通用设备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台（套），单价100万元以上的专用设备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台（套）。</w:t>
      </w:r>
    </w:p>
    <w:p w14:paraId="0C7EE91E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2025年部门（单位）预算安排购置公务用车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辆，购置费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万元，其中：主要领导干部用车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辆、机要通信用车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辆、应急保障用车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辆、执法执勤用车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辆、特种专业技术用车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辆、离退休干部用车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辆、其他用车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辆（只列报车辆不为0的车型）；安排购置单价50万元以上的通用设备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台（套），购置费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万元；安排购置单价100万元以上专用设备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台（套），购置费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</w:t>
      </w:r>
    </w:p>
    <w:p w14:paraId="28E25CE8">
      <w:pPr>
        <w:adjustRightInd w:val="0"/>
        <w:snapToGrid w:val="0"/>
        <w:spacing w:line="58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（五）绩效目标设置情况。</w:t>
      </w:r>
    </w:p>
    <w:p w14:paraId="35406127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2025年，淮北市相山区人民政府办公室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个项目实行了绩效目标管理，涉及一般公共预算当年财政拨款156.33万元、政府性基金预算当年财政拨款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万元、财政专户管理资金当年安排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</w:t>
      </w:r>
    </w:p>
    <w:p w14:paraId="11878F91"/>
    <w:p w14:paraId="2F33EFA5">
      <w:pPr>
        <w:pStyle w:val="7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36"/>
          <w:szCs w:val="36"/>
        </w:rPr>
      </w:pPr>
    </w:p>
    <w:p w14:paraId="17703065">
      <w:pPr>
        <w:pStyle w:val="7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36"/>
          <w:szCs w:val="36"/>
        </w:rPr>
      </w:pPr>
    </w:p>
    <w:p w14:paraId="65D5B275">
      <w:pPr>
        <w:pStyle w:val="7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36"/>
          <w:szCs w:val="36"/>
        </w:rPr>
      </w:pPr>
    </w:p>
    <w:p w14:paraId="26CEE785">
      <w:pPr>
        <w:pStyle w:val="7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36"/>
          <w:szCs w:val="36"/>
        </w:rPr>
      </w:pPr>
    </w:p>
    <w:p w14:paraId="6BBE10D4">
      <w:pPr>
        <w:pStyle w:val="7"/>
        <w:adjustRightInd w:val="0"/>
        <w:snapToGrid w:val="0"/>
        <w:spacing w:line="560" w:lineRule="exact"/>
        <w:jc w:val="center"/>
        <w:rPr>
          <w:rFonts w:hint="eastAsia" w:ascii="TimesNewRoman" w:hAnsi="TimesNewRoman" w:eastAsia="黑体" w:cs="TimesNewRoman"/>
          <w:bCs/>
          <w:sz w:val="36"/>
          <w:szCs w:val="36"/>
        </w:rPr>
      </w:pPr>
    </w:p>
    <w:p w14:paraId="68A19DDF">
      <w:pPr>
        <w:pStyle w:val="7"/>
        <w:adjustRightInd w:val="0"/>
        <w:snapToGrid w:val="0"/>
        <w:spacing w:line="560" w:lineRule="exact"/>
        <w:jc w:val="center"/>
        <w:rPr>
          <w:rFonts w:hint="eastAsia" w:ascii="TimesNewRoman" w:hAnsi="TimesNewRoman" w:eastAsia="黑体" w:cs="TimesNewRoman"/>
          <w:bCs/>
          <w:sz w:val="36"/>
          <w:szCs w:val="36"/>
        </w:rPr>
      </w:pPr>
    </w:p>
    <w:p w14:paraId="75D78645">
      <w:pPr>
        <w:pStyle w:val="7"/>
        <w:adjustRightInd w:val="0"/>
        <w:snapToGrid w:val="0"/>
        <w:spacing w:line="560" w:lineRule="exact"/>
        <w:jc w:val="center"/>
        <w:rPr>
          <w:rFonts w:hint="eastAsia" w:ascii="TimesNewRoman" w:hAnsi="TimesNewRoman" w:eastAsia="黑体" w:cs="TimesNewRoman"/>
          <w:bCs/>
          <w:sz w:val="36"/>
          <w:szCs w:val="36"/>
        </w:rPr>
      </w:pPr>
    </w:p>
    <w:p w14:paraId="1921EB6E">
      <w:pPr>
        <w:pStyle w:val="7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36"/>
          <w:szCs w:val="36"/>
        </w:rPr>
      </w:pPr>
      <w:r>
        <w:rPr>
          <w:rFonts w:hint="eastAsia" w:ascii="TimesNewRoman" w:hAnsi="TimesNewRoman" w:eastAsia="黑体" w:cs="TimesNewRoman"/>
          <w:bCs/>
          <w:sz w:val="36"/>
          <w:szCs w:val="36"/>
        </w:rPr>
        <w:t>第四部分 名词解释</w:t>
      </w:r>
    </w:p>
    <w:p w14:paraId="445BFFA3"/>
    <w:p w14:paraId="472A4C9B">
      <w:pPr>
        <w:pStyle w:val="7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一、财政拨款收入：</w:t>
      </w:r>
      <w:r>
        <w:rPr>
          <w:rFonts w:hint="eastAsia" w:ascii="TimesNewRoman" w:hAnsi="TimesNewRoman" w:eastAsia="仿宋_GB2312" w:cs="TimesNewRoman"/>
          <w:sz w:val="32"/>
          <w:szCs w:val="32"/>
        </w:rPr>
        <w:t>指部门或单位从同级财政部门取得的财政预算资金。</w:t>
      </w:r>
    </w:p>
    <w:p w14:paraId="227EBF62">
      <w:pPr>
        <w:pStyle w:val="7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二、财政专户管理资金：</w:t>
      </w:r>
      <w:r>
        <w:rPr>
          <w:rFonts w:hint="eastAsia" w:ascii="TimesNewRoman" w:hAnsi="TimesNewRoman" w:eastAsia="仿宋_GB2312" w:cs="TimesNewRoman"/>
          <w:sz w:val="32"/>
          <w:szCs w:val="32"/>
        </w:rPr>
        <w:t>指按照非税收入管理相关规定，纳入财政专户管理的教育收费等。</w:t>
      </w:r>
    </w:p>
    <w:p w14:paraId="105626A4">
      <w:pPr>
        <w:pStyle w:val="7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三、上年结转：</w:t>
      </w:r>
      <w:r>
        <w:rPr>
          <w:rFonts w:hint="eastAsia" w:ascii="TimesNewRoman" w:hAnsi="TimesNewRoman" w:eastAsia="仿宋_GB2312" w:cs="TimesNewRoman"/>
          <w:sz w:val="32"/>
          <w:szCs w:val="32"/>
        </w:rPr>
        <w:t>指以前年度安排、结转到本年仍按原用途继续使用的资金。</w:t>
      </w:r>
    </w:p>
    <w:p w14:paraId="2E1FC6A5">
      <w:pPr>
        <w:pStyle w:val="7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四、项目支出：</w:t>
      </w:r>
      <w:r>
        <w:rPr>
          <w:rFonts w:hint="eastAsia" w:ascii="TimesNewRoman" w:hAnsi="TimesNewRoman" w:eastAsia="仿宋_GB2312" w:cs="TimesNewRoman"/>
          <w:sz w:val="32"/>
          <w:szCs w:val="32"/>
        </w:rPr>
        <w:t>指在除基本支出之外的支出，主要用于完成特定的工作任务和事业发展目标。</w:t>
      </w:r>
    </w:p>
    <w:p w14:paraId="6F3E8604">
      <w:pPr>
        <w:pStyle w:val="7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黑体" w:cs="TimesNewRoman"/>
          <w:sz w:val="36"/>
          <w:szCs w:val="36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 xml:space="preserve">五、机关运行经费: </w:t>
      </w:r>
      <w:r>
        <w:rPr>
          <w:rFonts w:hint="eastAsia" w:ascii="TimesNewRoman" w:hAnsi="TimesNewRoman" w:eastAsia="仿宋_GB2312" w:cs="TimesNewRoman"/>
          <w:sz w:val="32"/>
          <w:szCs w:val="32"/>
        </w:rPr>
        <w:t>为保障行政单位（包括参照公务员法管理的事业单位）运行用于购买货物和服务的各项资金，包括办公费、印刷费、差旅费、维修（护）费、培训费、委托业务费、工会经费、其他交通费用、其他商品服务支出、对其他个人和家庭的补助支出。</w:t>
      </w:r>
    </w:p>
    <w:p w14:paraId="7AD90BF3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29" w:usb3="00000000" w:csb0="6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秀体简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1NGE5MTYwNDMwYjI4OGVmNTcyYWU1Njg1NmM5YjcifQ=="/>
  </w:docVars>
  <w:rsids>
    <w:rsidRoot w:val="00E907C4"/>
    <w:rsid w:val="00007041"/>
    <w:rsid w:val="00062F55"/>
    <w:rsid w:val="00072B75"/>
    <w:rsid w:val="000768EF"/>
    <w:rsid w:val="00082460"/>
    <w:rsid w:val="000D0C4B"/>
    <w:rsid w:val="001549DB"/>
    <w:rsid w:val="0016155E"/>
    <w:rsid w:val="00207DCC"/>
    <w:rsid w:val="00263644"/>
    <w:rsid w:val="002A0D82"/>
    <w:rsid w:val="00357798"/>
    <w:rsid w:val="003A656C"/>
    <w:rsid w:val="003B7E73"/>
    <w:rsid w:val="003C356F"/>
    <w:rsid w:val="004032C7"/>
    <w:rsid w:val="0047109A"/>
    <w:rsid w:val="00471904"/>
    <w:rsid w:val="004A3067"/>
    <w:rsid w:val="004E11FC"/>
    <w:rsid w:val="005348A2"/>
    <w:rsid w:val="0054234E"/>
    <w:rsid w:val="005651FF"/>
    <w:rsid w:val="0057562B"/>
    <w:rsid w:val="00575958"/>
    <w:rsid w:val="005B3C7B"/>
    <w:rsid w:val="005B4379"/>
    <w:rsid w:val="005E4736"/>
    <w:rsid w:val="006546AF"/>
    <w:rsid w:val="00686D35"/>
    <w:rsid w:val="006A49F4"/>
    <w:rsid w:val="006C427C"/>
    <w:rsid w:val="007046F3"/>
    <w:rsid w:val="007155A1"/>
    <w:rsid w:val="00716550"/>
    <w:rsid w:val="007F6046"/>
    <w:rsid w:val="008856A1"/>
    <w:rsid w:val="008C1C86"/>
    <w:rsid w:val="008D7328"/>
    <w:rsid w:val="008F6D1A"/>
    <w:rsid w:val="009611AE"/>
    <w:rsid w:val="009A3CA3"/>
    <w:rsid w:val="009C2BAD"/>
    <w:rsid w:val="009D37B1"/>
    <w:rsid w:val="00A3038E"/>
    <w:rsid w:val="00A57D57"/>
    <w:rsid w:val="00A60895"/>
    <w:rsid w:val="00AD5E86"/>
    <w:rsid w:val="00AE3242"/>
    <w:rsid w:val="00AF2B0A"/>
    <w:rsid w:val="00BF7BD2"/>
    <w:rsid w:val="00CE462A"/>
    <w:rsid w:val="00D01A1D"/>
    <w:rsid w:val="00D160DF"/>
    <w:rsid w:val="00D26F0B"/>
    <w:rsid w:val="00D313F3"/>
    <w:rsid w:val="00D34FEA"/>
    <w:rsid w:val="00D94047"/>
    <w:rsid w:val="00DC316D"/>
    <w:rsid w:val="00E364FA"/>
    <w:rsid w:val="00E56DC2"/>
    <w:rsid w:val="00E907C4"/>
    <w:rsid w:val="00EC7755"/>
    <w:rsid w:val="00ED2BDD"/>
    <w:rsid w:val="00F14BE8"/>
    <w:rsid w:val="00F173A5"/>
    <w:rsid w:val="00F17CF1"/>
    <w:rsid w:val="00F73466"/>
    <w:rsid w:val="00FD42BC"/>
    <w:rsid w:val="00FF1A3A"/>
    <w:rsid w:val="010C663B"/>
    <w:rsid w:val="03FE7EAB"/>
    <w:rsid w:val="052A69C5"/>
    <w:rsid w:val="056D353A"/>
    <w:rsid w:val="06F463D3"/>
    <w:rsid w:val="08744BDF"/>
    <w:rsid w:val="0A256191"/>
    <w:rsid w:val="0A3E54A5"/>
    <w:rsid w:val="0AB85257"/>
    <w:rsid w:val="0AC842A9"/>
    <w:rsid w:val="0E883192"/>
    <w:rsid w:val="0EBB3568"/>
    <w:rsid w:val="0EF40828"/>
    <w:rsid w:val="0F2729AB"/>
    <w:rsid w:val="0F627C4F"/>
    <w:rsid w:val="12706417"/>
    <w:rsid w:val="13C6043C"/>
    <w:rsid w:val="155344FA"/>
    <w:rsid w:val="17F17907"/>
    <w:rsid w:val="19832564"/>
    <w:rsid w:val="1BA22798"/>
    <w:rsid w:val="1C4E5A1B"/>
    <w:rsid w:val="1D5232E9"/>
    <w:rsid w:val="210B5C89"/>
    <w:rsid w:val="21FA5CFD"/>
    <w:rsid w:val="22AB70C7"/>
    <w:rsid w:val="23E34C9B"/>
    <w:rsid w:val="245416F5"/>
    <w:rsid w:val="25227A45"/>
    <w:rsid w:val="26271281"/>
    <w:rsid w:val="27DA0163"/>
    <w:rsid w:val="28D56B7C"/>
    <w:rsid w:val="28F60FCD"/>
    <w:rsid w:val="2C18566D"/>
    <w:rsid w:val="2C3E1168"/>
    <w:rsid w:val="2DBD47AF"/>
    <w:rsid w:val="2EA80FBB"/>
    <w:rsid w:val="2F05630C"/>
    <w:rsid w:val="2F9C73E8"/>
    <w:rsid w:val="30656556"/>
    <w:rsid w:val="33BC1065"/>
    <w:rsid w:val="33C85A26"/>
    <w:rsid w:val="34FD5208"/>
    <w:rsid w:val="366C6D72"/>
    <w:rsid w:val="36CC5A63"/>
    <w:rsid w:val="3A020835"/>
    <w:rsid w:val="3D1E20C7"/>
    <w:rsid w:val="3D733273"/>
    <w:rsid w:val="3DF37D79"/>
    <w:rsid w:val="413C5593"/>
    <w:rsid w:val="4242307D"/>
    <w:rsid w:val="42B3259F"/>
    <w:rsid w:val="44106D91"/>
    <w:rsid w:val="45675BC4"/>
    <w:rsid w:val="47B6609F"/>
    <w:rsid w:val="47E04ECA"/>
    <w:rsid w:val="484805B3"/>
    <w:rsid w:val="4B842010"/>
    <w:rsid w:val="4BB328F5"/>
    <w:rsid w:val="4F2F1DA2"/>
    <w:rsid w:val="4FCD1346"/>
    <w:rsid w:val="5043693E"/>
    <w:rsid w:val="50F32112"/>
    <w:rsid w:val="53B8749A"/>
    <w:rsid w:val="54627BC6"/>
    <w:rsid w:val="57CC300C"/>
    <w:rsid w:val="58462B65"/>
    <w:rsid w:val="58E018E0"/>
    <w:rsid w:val="5A9D4E9D"/>
    <w:rsid w:val="5B7E53E1"/>
    <w:rsid w:val="5D382958"/>
    <w:rsid w:val="5D4D4958"/>
    <w:rsid w:val="612A5791"/>
    <w:rsid w:val="69A71894"/>
    <w:rsid w:val="69AF16C2"/>
    <w:rsid w:val="6DA305C4"/>
    <w:rsid w:val="6F534814"/>
    <w:rsid w:val="71883D59"/>
    <w:rsid w:val="722C6DDA"/>
    <w:rsid w:val="737A1DC7"/>
    <w:rsid w:val="7423420D"/>
    <w:rsid w:val="76C577FD"/>
    <w:rsid w:val="79894B12"/>
    <w:rsid w:val="7A5B3968"/>
    <w:rsid w:val="7A9B2D4F"/>
    <w:rsid w:val="7C923CDE"/>
    <w:rsid w:val="7DB61057"/>
    <w:rsid w:val="7FE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styleId="4">
    <w:name w:val="Body Text"/>
    <w:basedOn w:val="1"/>
    <w:qFormat/>
    <w:uiPriority w:val="0"/>
    <w:pPr>
      <w:jc w:val="center"/>
    </w:pPr>
    <w:rPr>
      <w:rFonts w:eastAsia="黑体"/>
      <w:sz w:val="36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5782</Words>
  <Characters>6474</Characters>
  <Lines>51</Lines>
  <Paragraphs>14</Paragraphs>
  <TotalTime>2</TotalTime>
  <ScaleCrop>false</ScaleCrop>
  <LinksUpToDate>false</LinksUpToDate>
  <CharactersWithSpaces>6592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2023-01-30T01:51:00Z</dcterms:created>
  <dc:creator>lenovo</dc:creator>
  <cp:lastModifiedBy></cp:lastModifiedBy>
  <cp:lastPrinted>2024-04-25T06:51:00Z</cp:lastPrinted>
  <dcterms:modified xsi:type="dcterms:W3CDTF">2025-09-12T08:12:41Z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027C2EE0F161477F978AA61CADA7DD17_13</vt:lpwstr>
  </property>
  <property fmtid="{D5CDD505-2E9C-101B-9397-08002B2CF9AE}" pid="4" name="KSOTemplateDocerSaveRecord">
    <vt:lpwstr>eyJoZGlkIjoiMzYyZmE3MzVjNWNjNjYwM2M5Mzc3NDU3ZjQyNDE3MjQiLCJ1c2VySWQiOiI0NjA5NDIwMzUifQ==</vt:lpwstr>
  </property>
</Properties>
</file>