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59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840" w:lineRule="atLeast"/>
        <w:ind w:left="0" w:right="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color w:val="333333"/>
          <w:sz w:val="44"/>
          <w:szCs w:val="44"/>
          <w:bdr w:val="none" w:color="auto" w:sz="0" w:space="0"/>
          <w:shd w:val="clear" w:fill="FFFFFF"/>
        </w:rPr>
        <w:t>相山区人社局2025年政务公开重点工作任务分工</w:t>
      </w:r>
    </w:p>
    <w:bookmarkEnd w:id="0"/>
    <w:p w14:paraId="6DE5BED9">
      <w:pPr>
        <w:pStyle w:val="3"/>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shd w:val="clear" w:fill="FFFFFF"/>
        </w:rPr>
      </w:pPr>
    </w:p>
    <w:tbl>
      <w:tblPr>
        <w:tblStyle w:val="4"/>
        <w:tblW w:w="14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91"/>
        <w:gridCol w:w="681"/>
        <w:gridCol w:w="6409"/>
        <w:gridCol w:w="2990"/>
        <w:gridCol w:w="1401"/>
      </w:tblGrid>
      <w:tr w14:paraId="5F07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4172"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14:paraId="079933CC">
            <w:pPr>
              <w:keepNext w:val="0"/>
              <w:keepLines w:val="0"/>
              <w:widowControl/>
              <w:suppressLineNumbers w:val="0"/>
              <w:spacing w:before="0" w:beforeAutospacing="0" w:after="0" w:afterAutospacing="0"/>
              <w:ind w:left="0" w:right="0"/>
              <w:jc w:val="center"/>
              <w:textAlignment w:val="center"/>
              <w:rPr>
                <w:rFonts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工作任务</w:t>
            </w:r>
          </w:p>
        </w:tc>
        <w:tc>
          <w:tcPr>
            <w:tcW w:w="6409" w:type="dxa"/>
            <w:vMerge w:val="restart"/>
            <w:tcBorders>
              <w:top w:val="single" w:color="auto" w:sz="6" w:space="0"/>
              <w:left w:val="nil"/>
              <w:bottom w:val="single" w:color="auto" w:sz="6" w:space="0"/>
              <w:right w:val="single" w:color="auto" w:sz="6" w:space="0"/>
            </w:tcBorders>
            <w:shd w:val="clear" w:color="auto" w:fill="auto"/>
            <w:tcMar>
              <w:bottom w:w="0" w:type="dxa"/>
            </w:tcMar>
            <w:vAlign w:val="center"/>
          </w:tcPr>
          <w:p w14:paraId="1D929CAB">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具体内容</w:t>
            </w:r>
          </w:p>
        </w:tc>
        <w:tc>
          <w:tcPr>
            <w:tcW w:w="2990" w:type="dxa"/>
            <w:vMerge w:val="restart"/>
            <w:tcBorders>
              <w:top w:val="single" w:color="auto" w:sz="6" w:space="0"/>
              <w:left w:val="nil"/>
              <w:bottom w:val="single" w:color="auto" w:sz="6" w:space="0"/>
              <w:right w:val="single" w:color="auto" w:sz="6" w:space="0"/>
            </w:tcBorders>
            <w:shd w:val="clear" w:color="auto" w:fill="auto"/>
            <w:tcMar>
              <w:bottom w:w="0" w:type="dxa"/>
            </w:tcMar>
            <w:vAlign w:val="center"/>
          </w:tcPr>
          <w:p w14:paraId="77C65404">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责任单位</w:t>
            </w:r>
          </w:p>
        </w:tc>
        <w:tc>
          <w:tcPr>
            <w:tcW w:w="1401" w:type="dxa"/>
            <w:vMerge w:val="restart"/>
            <w:tcBorders>
              <w:top w:val="single" w:color="auto" w:sz="6" w:space="0"/>
              <w:left w:val="nil"/>
              <w:bottom w:val="single" w:color="auto" w:sz="6" w:space="0"/>
              <w:right w:val="single" w:color="auto" w:sz="6" w:space="0"/>
            </w:tcBorders>
            <w:shd w:val="clear" w:color="auto" w:fill="auto"/>
            <w:tcMar>
              <w:bottom w:w="0" w:type="dxa"/>
            </w:tcMar>
            <w:vAlign w:val="center"/>
          </w:tcPr>
          <w:p w14:paraId="0C517360">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时限要求</w:t>
            </w:r>
          </w:p>
        </w:tc>
      </w:tr>
      <w:tr w14:paraId="1020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4172"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14:paraId="0E220B59">
            <w:pPr>
              <w:rPr>
                <w:rFonts w:hint="default" w:ascii="Times New Roman" w:hAnsi="Times New Roman" w:cs="Times New Roman"/>
                <w:sz w:val="20"/>
                <w:szCs w:val="20"/>
              </w:rPr>
            </w:pPr>
          </w:p>
        </w:tc>
        <w:tc>
          <w:tcPr>
            <w:tcW w:w="6409" w:type="dxa"/>
            <w:vMerge w:val="continue"/>
            <w:tcBorders>
              <w:top w:val="single" w:color="auto" w:sz="6" w:space="0"/>
              <w:left w:val="nil"/>
              <w:bottom w:val="single" w:color="auto" w:sz="6" w:space="0"/>
              <w:right w:val="single" w:color="auto" w:sz="6" w:space="0"/>
            </w:tcBorders>
            <w:shd w:val="clear" w:color="auto" w:fill="auto"/>
            <w:tcMar>
              <w:bottom w:w="0" w:type="dxa"/>
            </w:tcMar>
            <w:vAlign w:val="center"/>
          </w:tcPr>
          <w:p w14:paraId="2DC67A7B">
            <w:pPr>
              <w:rPr>
                <w:rFonts w:hint="default" w:ascii="Times New Roman" w:hAnsi="Times New Roman" w:cs="Times New Roman"/>
                <w:sz w:val="20"/>
                <w:szCs w:val="20"/>
              </w:rPr>
            </w:pPr>
          </w:p>
        </w:tc>
        <w:tc>
          <w:tcPr>
            <w:tcW w:w="2990" w:type="dxa"/>
            <w:vMerge w:val="continue"/>
            <w:tcBorders>
              <w:top w:val="single" w:color="auto" w:sz="6" w:space="0"/>
              <w:left w:val="nil"/>
              <w:bottom w:val="single" w:color="auto" w:sz="6" w:space="0"/>
              <w:right w:val="single" w:color="auto" w:sz="6" w:space="0"/>
            </w:tcBorders>
            <w:shd w:val="clear" w:color="auto" w:fill="auto"/>
            <w:tcMar>
              <w:bottom w:w="0" w:type="dxa"/>
            </w:tcMar>
            <w:vAlign w:val="center"/>
          </w:tcPr>
          <w:p w14:paraId="77F074A9">
            <w:pPr>
              <w:rPr>
                <w:rFonts w:hint="default" w:ascii="Times New Roman" w:hAnsi="Times New Roman" w:cs="Times New Roman"/>
                <w:sz w:val="20"/>
                <w:szCs w:val="20"/>
              </w:rPr>
            </w:pPr>
          </w:p>
        </w:tc>
        <w:tc>
          <w:tcPr>
            <w:tcW w:w="1401" w:type="dxa"/>
            <w:vMerge w:val="continue"/>
            <w:tcBorders>
              <w:top w:val="single" w:color="auto" w:sz="6" w:space="0"/>
              <w:left w:val="nil"/>
              <w:bottom w:val="single" w:color="auto" w:sz="6" w:space="0"/>
              <w:right w:val="single" w:color="auto" w:sz="6" w:space="0"/>
            </w:tcBorders>
            <w:shd w:val="clear" w:color="auto" w:fill="auto"/>
            <w:tcMar>
              <w:bottom w:w="0" w:type="dxa"/>
            </w:tcMar>
            <w:vAlign w:val="center"/>
          </w:tcPr>
          <w:p w14:paraId="2FE501E8">
            <w:pPr>
              <w:rPr>
                <w:rFonts w:hint="default" w:ascii="Times New Roman" w:hAnsi="Times New Roman" w:cs="Times New Roman"/>
                <w:sz w:val="20"/>
                <w:szCs w:val="20"/>
              </w:rPr>
            </w:pPr>
          </w:p>
        </w:tc>
      </w:tr>
      <w:tr w14:paraId="2266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2" w:hRule="atLeast"/>
          <w:jc w:val="center"/>
        </w:trPr>
        <w:tc>
          <w:tcPr>
            <w:tcW w:w="3491" w:type="dxa"/>
            <w:tcBorders>
              <w:top w:val="nil"/>
              <w:left w:val="single" w:color="auto" w:sz="6" w:space="0"/>
              <w:bottom w:val="single" w:color="auto" w:sz="6" w:space="0"/>
              <w:right w:val="single" w:color="auto" w:sz="6" w:space="0"/>
            </w:tcBorders>
            <w:shd w:val="clear" w:color="auto" w:fill="auto"/>
            <w:tcMar>
              <w:bottom w:w="0" w:type="dxa"/>
            </w:tcMar>
            <w:vAlign w:val="center"/>
          </w:tcPr>
          <w:p w14:paraId="06DF2584">
            <w:pPr>
              <w:keepNext w:val="0"/>
              <w:keepLines w:val="0"/>
              <w:widowControl/>
              <w:suppressLineNumbers w:val="0"/>
              <w:spacing w:before="0" w:beforeAutospacing="0" w:after="0" w:afterAutospacing="0"/>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一、围绕中心工作抓好主动公开</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62FA384B">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1</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2A3EFEF5">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紧扣民生领域，深化就业、社会保障等民生领域信息公开，及时回应群众关切，推动“民声呼应”提质增效。</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7D58CC83">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single" w:color="auto" w:sz="6" w:space="0"/>
              <w:left w:val="nil"/>
              <w:bottom w:val="single" w:color="auto" w:sz="6" w:space="0"/>
              <w:right w:val="single" w:color="auto" w:sz="6" w:space="0"/>
            </w:tcBorders>
            <w:shd w:val="clear" w:color="auto" w:fill="auto"/>
            <w:tcMar>
              <w:bottom w:w="0" w:type="dxa"/>
            </w:tcMar>
            <w:vAlign w:val="center"/>
          </w:tcPr>
          <w:p w14:paraId="780390E0">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4499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3491" w:type="dxa"/>
            <w:tcBorders>
              <w:top w:val="nil"/>
              <w:left w:val="single" w:color="auto" w:sz="6" w:space="0"/>
              <w:bottom w:val="single" w:color="auto" w:sz="6" w:space="0"/>
              <w:right w:val="single" w:color="auto" w:sz="6" w:space="0"/>
            </w:tcBorders>
            <w:shd w:val="clear" w:color="auto" w:fill="auto"/>
            <w:tcMar>
              <w:bottom w:w="0" w:type="dxa"/>
            </w:tcMar>
            <w:vAlign w:val="center"/>
          </w:tcPr>
          <w:p w14:paraId="43DBD9F4">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二、围绕中心工作抓好主动公开</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10E45543">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2</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59C72300">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助力优化政务服务，聚焦“高效办成一件事”，集成式、一站式发布政务服务事项目录、办事指南、办理进展等，最大限度利企便民。 </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5D2AA2E0">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20CBBE07">
            <w:pPr>
              <w:keepNext w:val="0"/>
              <w:keepLines w:val="0"/>
              <w:widowControl/>
              <w:suppressLineNumbers w:val="0"/>
              <w:spacing w:before="0" w:beforeAutospacing="0" w:after="0" w:afterAutospacing="0"/>
              <w:ind w:left="0" w:right="0"/>
              <w:jc w:val="center"/>
              <w:textAlignment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kern w:val="0"/>
                <w:sz w:val="22"/>
                <w:szCs w:val="22"/>
                <w:lang w:val="en-US" w:eastAsia="zh-CN" w:bidi="ar"/>
              </w:rPr>
              <w:t>持续推进</w:t>
            </w:r>
          </w:p>
        </w:tc>
      </w:tr>
      <w:tr w14:paraId="6FBC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3491" w:type="dxa"/>
            <w:vMerge w:val="restart"/>
            <w:tcBorders>
              <w:top w:val="nil"/>
              <w:left w:val="single" w:color="auto" w:sz="6" w:space="0"/>
              <w:bottom w:val="single" w:color="auto" w:sz="6" w:space="0"/>
              <w:right w:val="single" w:color="auto" w:sz="6" w:space="0"/>
            </w:tcBorders>
            <w:shd w:val="clear" w:color="auto" w:fill="auto"/>
            <w:tcMar>
              <w:bottom w:w="0" w:type="dxa"/>
            </w:tcMar>
            <w:vAlign w:val="center"/>
          </w:tcPr>
          <w:p w14:paraId="70E71699">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三、围绕提质增效抓好政策解读</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25EA796D">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3</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0D572E20">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将政策解读放在与政策制定同等重要位置，严格落实政策解读与政策文件同步起草、同步审签、同步发布的“三同步”要求，精心制作解读材料，精确传递信号，精准公开渠道，营造稳定透明可预期的政策环境。</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290EA8FE">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0FFC4E56">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3F58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jc w:val="center"/>
        </w:trPr>
        <w:tc>
          <w:tcPr>
            <w:tcW w:w="3491" w:type="dxa"/>
            <w:vMerge w:val="continue"/>
            <w:tcBorders>
              <w:top w:val="nil"/>
              <w:left w:val="single" w:color="auto" w:sz="6" w:space="0"/>
              <w:bottom w:val="single" w:color="auto" w:sz="6" w:space="0"/>
              <w:right w:val="single" w:color="auto" w:sz="6" w:space="0"/>
            </w:tcBorders>
            <w:shd w:val="clear" w:color="auto" w:fill="auto"/>
            <w:tcMar>
              <w:bottom w:w="0" w:type="dxa"/>
            </w:tcMar>
            <w:vAlign w:val="center"/>
          </w:tcPr>
          <w:p w14:paraId="697AA190">
            <w:pPr>
              <w:rPr>
                <w:rFonts w:hint="default" w:ascii="Times New Roman" w:hAnsi="Times New Roman" w:cs="Times New Roman"/>
                <w:sz w:val="20"/>
                <w:szCs w:val="20"/>
              </w:rPr>
            </w:pP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04EF26DE">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4</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3B05FCF0">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科学确定解读范围，行政规范性文件100%解读，涉及市场主体和人民群众切身利益的、需要社会公众广泛知晓的其他重大政策文件，要做到应解读尽解读。</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6EFCF97B">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04B1E5FF">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25F4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0" w:hRule="atLeast"/>
          <w:jc w:val="center"/>
        </w:trPr>
        <w:tc>
          <w:tcPr>
            <w:tcW w:w="3491" w:type="dxa"/>
            <w:vMerge w:val="restart"/>
            <w:tcBorders>
              <w:top w:val="nil"/>
              <w:left w:val="single" w:color="auto" w:sz="6" w:space="0"/>
              <w:bottom w:val="single" w:color="auto" w:sz="6" w:space="0"/>
              <w:right w:val="single" w:color="auto" w:sz="6" w:space="0"/>
            </w:tcBorders>
            <w:shd w:val="clear" w:color="auto" w:fill="auto"/>
            <w:tcMar>
              <w:bottom w:w="0" w:type="dxa"/>
            </w:tcMar>
            <w:vAlign w:val="center"/>
          </w:tcPr>
          <w:p w14:paraId="39E5FE88">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四、围绕提质增效抓好政策解读</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5F75C575">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5</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3209E942">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提升解读质量，灵活使用群众喜闻乐见的“语言体”，从社会关切的利益点、新旧政策的差异点、重要举措的创新点、政策制订过程中收集到的企业和群众普遍关注点和疑惑点等予以解读，涉及办事服务的政策性文件，应有针对性地解读相关事项的办理流程、要求。坚决杜绝简单摘抄文字、罗列文件小标题等形式化解读。</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04A84476">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62B9CD9F">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427B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jc w:val="center"/>
        </w:trPr>
        <w:tc>
          <w:tcPr>
            <w:tcW w:w="3491" w:type="dxa"/>
            <w:vMerge w:val="continue"/>
            <w:tcBorders>
              <w:top w:val="nil"/>
              <w:left w:val="single" w:color="auto" w:sz="6" w:space="0"/>
              <w:bottom w:val="single" w:color="auto" w:sz="6" w:space="0"/>
              <w:right w:val="single" w:color="auto" w:sz="6" w:space="0"/>
            </w:tcBorders>
            <w:shd w:val="clear" w:color="auto" w:fill="auto"/>
            <w:tcMar>
              <w:bottom w:w="0" w:type="dxa"/>
            </w:tcMar>
            <w:vAlign w:val="center"/>
          </w:tcPr>
          <w:p w14:paraId="5372EE87">
            <w:pPr>
              <w:rPr>
                <w:rFonts w:hint="default" w:ascii="Times New Roman" w:hAnsi="Times New Roman" w:cs="Times New Roman"/>
                <w:sz w:val="20"/>
                <w:szCs w:val="20"/>
              </w:rPr>
            </w:pP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50578A98">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6</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7F2ADBF2">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创新解读方式，在按要求做好文字解读材料的基础上，合理运用图片、视频、动漫等解读形式加强解读效果，力戒为解读而解读、盲目追求形式新颖。</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567F3547">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64C722C0">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4E9D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70" w:hRule="atLeast"/>
          <w:jc w:val="center"/>
        </w:trPr>
        <w:tc>
          <w:tcPr>
            <w:tcW w:w="3491" w:type="dxa"/>
            <w:vMerge w:val="restart"/>
            <w:tcBorders>
              <w:top w:val="nil"/>
              <w:left w:val="single" w:color="auto" w:sz="6" w:space="0"/>
              <w:bottom w:val="single" w:color="auto" w:sz="6" w:space="0"/>
              <w:right w:val="single" w:color="auto" w:sz="6" w:space="0"/>
            </w:tcBorders>
            <w:shd w:val="clear" w:color="auto" w:fill="auto"/>
            <w:tcMar>
              <w:bottom w:w="0" w:type="dxa"/>
            </w:tcMar>
            <w:vAlign w:val="center"/>
          </w:tcPr>
          <w:p w14:paraId="34789AFA">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五、围绕公众参与抓好决策公开</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69F56FA8">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7</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4E9DB150">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建立健全政策制定公众参与、执行情况评估及公众评价机制，涉及重大公共利益的政策文件，除依法依规应当保密的外，应通过征求意见、听证座谈等方式扩大公众参与，并及时公开执行情况评估结果，激发公众参与的积极性。深化公众代表列席政府决策会议机制，推动更多企业、群众、人民团体、行业协会代表列席政府决策会议。</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4A382036">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36DF5DF9">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3AFA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3491" w:type="dxa"/>
            <w:vMerge w:val="continue"/>
            <w:tcBorders>
              <w:top w:val="nil"/>
              <w:left w:val="single" w:color="auto" w:sz="6" w:space="0"/>
              <w:bottom w:val="single" w:color="auto" w:sz="6" w:space="0"/>
              <w:right w:val="single" w:color="auto" w:sz="6" w:space="0"/>
            </w:tcBorders>
            <w:shd w:val="clear" w:color="auto" w:fill="auto"/>
            <w:tcMar>
              <w:bottom w:w="0" w:type="dxa"/>
            </w:tcMar>
            <w:vAlign w:val="center"/>
          </w:tcPr>
          <w:p w14:paraId="2B0113DF">
            <w:pPr>
              <w:rPr>
                <w:rFonts w:hint="default" w:ascii="Times New Roman" w:hAnsi="Times New Roman" w:cs="Times New Roman"/>
                <w:sz w:val="20"/>
                <w:szCs w:val="20"/>
              </w:rPr>
            </w:pP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387DA71B">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8</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4BDA6490">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在开展重大建设项目、公共资源配置和社会公益事业等工作中，要将公众参与作为决策及执行的必经程序，通过线上公开平台、政务新媒体、政务公开专区、村居公告栏以及其他线下公开渠道征求意见，最大限度覆盖本地群众，提高决策科学性和执行有效性。</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571BBCB8">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2ADBE791">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45A0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jc w:val="center"/>
        </w:trPr>
        <w:tc>
          <w:tcPr>
            <w:tcW w:w="3491" w:type="dxa"/>
            <w:vMerge w:val="continue"/>
            <w:tcBorders>
              <w:top w:val="nil"/>
              <w:left w:val="single" w:color="auto" w:sz="6" w:space="0"/>
              <w:bottom w:val="single" w:color="auto" w:sz="6" w:space="0"/>
              <w:right w:val="single" w:color="auto" w:sz="6" w:space="0"/>
            </w:tcBorders>
            <w:shd w:val="clear" w:color="auto" w:fill="auto"/>
            <w:tcMar>
              <w:bottom w:w="0" w:type="dxa"/>
            </w:tcMar>
            <w:vAlign w:val="center"/>
          </w:tcPr>
          <w:p w14:paraId="2532AA55">
            <w:pPr>
              <w:rPr>
                <w:rFonts w:hint="default" w:ascii="Times New Roman" w:hAnsi="Times New Roman" w:cs="Times New Roman"/>
                <w:sz w:val="20"/>
                <w:szCs w:val="20"/>
              </w:rPr>
            </w:pP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71DA5802">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9</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40AB9662">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各县区、市政府各部门积极开展“政府开放日”等活动，展示为民、务实的形象。</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797A2609">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4259C26E">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01AE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3491" w:type="dxa"/>
            <w:tcBorders>
              <w:top w:val="nil"/>
              <w:left w:val="single" w:color="auto" w:sz="6" w:space="0"/>
              <w:bottom w:val="single" w:color="auto" w:sz="6" w:space="0"/>
              <w:right w:val="single" w:color="auto" w:sz="6" w:space="0"/>
            </w:tcBorders>
            <w:shd w:val="clear" w:color="auto" w:fill="auto"/>
            <w:tcMar>
              <w:bottom w:w="0" w:type="dxa"/>
            </w:tcMar>
            <w:vAlign w:val="center"/>
          </w:tcPr>
          <w:p w14:paraId="5D6C550E">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六、围绕监督管理抓好权责公开</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157CA001">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10</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5F1B532D">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加强行政机关权力配置和运行信息公开，持续做好动态更新，推动行政机关依法规范履职。</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69D2DBD7">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123892FE">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6C70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jc w:val="center"/>
        </w:trPr>
        <w:tc>
          <w:tcPr>
            <w:tcW w:w="3491" w:type="dxa"/>
            <w:tcBorders>
              <w:top w:val="nil"/>
              <w:left w:val="single" w:color="auto" w:sz="6" w:space="0"/>
              <w:bottom w:val="single" w:color="auto" w:sz="6" w:space="0"/>
              <w:right w:val="single" w:color="auto" w:sz="6" w:space="0"/>
            </w:tcBorders>
            <w:shd w:val="clear" w:color="auto" w:fill="auto"/>
            <w:tcMar>
              <w:bottom w:w="0" w:type="dxa"/>
            </w:tcMar>
            <w:vAlign w:val="center"/>
          </w:tcPr>
          <w:p w14:paraId="3C746929">
            <w:pPr>
              <w:keepNext w:val="0"/>
              <w:keepLines w:val="0"/>
              <w:widowControl/>
              <w:suppressLineNumbers w:val="0"/>
              <w:spacing w:before="0" w:beforeAutospacing="0" w:after="0" w:afterAutospacing="0"/>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七、围绕依法规范抓好依申请公开</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6EA8327F">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11</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15741A3F">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进一步规范办理程序，主动沟通了解申请人真实需求，及时会商研判复杂疑难申请，提升答复质效，防范法律风险。聚焦征地拆迁等重点领域开展交流，统一规范答复口径。强化依申请公开办理证据链管理，切实发挥行政复议、行政诉讼案例对行政行为的提示警示作用。</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08DB9665">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5EFF91D3">
            <w:pPr>
              <w:keepNext w:val="0"/>
              <w:keepLines w:val="0"/>
              <w:widowControl/>
              <w:suppressLineNumbers w:val="0"/>
              <w:spacing w:before="0" w:beforeAutospacing="0" w:after="0" w:afterAutospacing="0"/>
              <w:ind w:left="0" w:right="0"/>
              <w:jc w:val="center"/>
              <w:textAlignment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kern w:val="0"/>
                <w:sz w:val="22"/>
                <w:szCs w:val="22"/>
                <w:lang w:val="en-US" w:eastAsia="zh-CN" w:bidi="ar"/>
              </w:rPr>
              <w:t>持续推进</w:t>
            </w:r>
          </w:p>
        </w:tc>
      </w:tr>
      <w:tr w14:paraId="5C81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3491" w:type="dxa"/>
            <w:vMerge w:val="restart"/>
            <w:tcBorders>
              <w:top w:val="nil"/>
              <w:left w:val="single" w:color="auto" w:sz="6" w:space="0"/>
              <w:bottom w:val="nil"/>
              <w:right w:val="single" w:color="auto" w:sz="6" w:space="0"/>
            </w:tcBorders>
            <w:shd w:val="clear" w:color="auto" w:fill="auto"/>
            <w:tcMar>
              <w:bottom w:w="0" w:type="dxa"/>
            </w:tcMar>
            <w:vAlign w:val="center"/>
          </w:tcPr>
          <w:p w14:paraId="50FF8D96">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八、围绕防范风险抓好审查清理</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7696FE5E">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12</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1797BA49">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公开前严格审查。要完善机制、明确责任，坚持“先审后发”“一事一审”原则，依法对拟公开的信息进行保密审查，做到该公开的公开到位，该保密的保密到位。</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74B4D618">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23E82DAB">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6D1C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3491" w:type="dxa"/>
            <w:vMerge w:val="continue"/>
            <w:tcBorders>
              <w:top w:val="nil"/>
              <w:left w:val="single" w:color="auto" w:sz="6" w:space="0"/>
              <w:bottom w:val="nil"/>
              <w:right w:val="single" w:color="auto" w:sz="6" w:space="0"/>
            </w:tcBorders>
            <w:shd w:val="clear" w:color="auto" w:fill="auto"/>
            <w:tcMar>
              <w:bottom w:w="0" w:type="dxa"/>
            </w:tcMar>
            <w:vAlign w:val="center"/>
          </w:tcPr>
          <w:p w14:paraId="6C68D2E8">
            <w:pPr>
              <w:rPr>
                <w:rFonts w:hint="default" w:ascii="Times New Roman" w:hAnsi="Times New Roman" w:cs="Times New Roman"/>
                <w:sz w:val="20"/>
                <w:szCs w:val="20"/>
              </w:rPr>
            </w:pP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6E82F59A">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13</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243FB5CC">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科学确定公开方式、范围和时限，坚持分类施策，综合考虑信息性质、受众、影响等因素，需要广泛知晓的全面公开到位，一定范围内知晓的在特定范围内公开。</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15518DCB">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22C42547">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0EB8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3491" w:type="dxa"/>
            <w:vMerge w:val="continue"/>
            <w:tcBorders>
              <w:top w:val="nil"/>
              <w:left w:val="single" w:color="auto" w:sz="6" w:space="0"/>
              <w:bottom w:val="nil"/>
              <w:right w:val="single" w:color="auto" w:sz="6" w:space="0"/>
            </w:tcBorders>
            <w:shd w:val="clear" w:color="auto" w:fill="auto"/>
            <w:tcMar>
              <w:bottom w:w="0" w:type="dxa"/>
            </w:tcMar>
            <w:vAlign w:val="center"/>
          </w:tcPr>
          <w:p w14:paraId="6EF2BD95">
            <w:pPr>
              <w:rPr>
                <w:rFonts w:hint="default" w:ascii="Times New Roman" w:hAnsi="Times New Roman" w:cs="Times New Roman"/>
                <w:sz w:val="20"/>
                <w:szCs w:val="20"/>
              </w:rPr>
            </w:pP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6C8442B5">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14</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6E00E032">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公开后定期清理，按照“谁公开、谁清理”原则，加强对已公开的信息进行风险排查，清理无关、无效、不需长期保留以及涉及个人隐私等信息，防止信息汇聚引发风险。</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30A1AF99">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345C4CAD">
            <w:pPr>
              <w:keepNext w:val="0"/>
              <w:keepLines w:val="0"/>
              <w:widowControl/>
              <w:suppressLineNumbers w:val="0"/>
              <w:spacing w:before="0" w:beforeAutospacing="0" w:after="0" w:afterAutospacing="0"/>
              <w:ind w:left="0" w:right="0"/>
              <w:jc w:val="center"/>
              <w:textAlignment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kern w:val="0"/>
                <w:sz w:val="22"/>
                <w:szCs w:val="22"/>
                <w:lang w:val="en-US" w:eastAsia="zh-CN" w:bidi="ar"/>
              </w:rPr>
              <w:t>持续推进</w:t>
            </w:r>
          </w:p>
        </w:tc>
      </w:tr>
      <w:tr w14:paraId="7097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jc w:val="center"/>
        </w:trPr>
        <w:tc>
          <w:tcPr>
            <w:tcW w:w="3491"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14:paraId="13A39A2C">
            <w:pPr>
              <w:keepNext w:val="0"/>
              <w:keepLines w:val="0"/>
              <w:widowControl/>
              <w:suppressLineNumbers w:val="0"/>
              <w:spacing w:before="0" w:beforeAutospacing="0" w:after="0" w:afterAutospacing="0"/>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九、围绕基层减负抓好作风改进</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7F02D8A0">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15</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771CD7E2">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严格落实关于持续整治数字形式主义要求，公开内容应贴合栏目要求和工作实际，杜绝无效信息发布。</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37F03917">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12A2C6E3">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49B8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3491" w:type="dxa"/>
            <w:tcBorders>
              <w:top w:val="nil"/>
              <w:left w:val="single" w:color="auto" w:sz="6" w:space="0"/>
              <w:bottom w:val="single" w:color="auto" w:sz="6" w:space="0"/>
              <w:right w:val="single" w:color="auto" w:sz="6" w:space="0"/>
            </w:tcBorders>
            <w:shd w:val="clear" w:color="auto" w:fill="auto"/>
            <w:tcMar>
              <w:bottom w:w="0" w:type="dxa"/>
            </w:tcMar>
            <w:vAlign w:val="center"/>
          </w:tcPr>
          <w:p w14:paraId="78B04BBD">
            <w:pPr>
              <w:keepNext w:val="0"/>
              <w:keepLines w:val="0"/>
              <w:widowControl/>
              <w:suppressLineNumbers w:val="0"/>
              <w:spacing w:before="0" w:beforeAutospacing="0" w:after="0" w:afterAutospacing="0"/>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十、围绕能力提升抓好队伍建设</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6E29C414">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16</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56D69853">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各单位政务公开工作机构要充实人员力量，为推进政务公开高质量发展提供坚实保障。</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210A13E9">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51B0D2F0">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r w14:paraId="61A9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3491" w:type="dxa"/>
            <w:tcBorders>
              <w:top w:val="nil"/>
              <w:left w:val="single" w:color="auto" w:sz="6" w:space="0"/>
              <w:bottom w:val="single" w:color="auto" w:sz="6" w:space="0"/>
              <w:right w:val="single" w:color="auto" w:sz="6" w:space="0"/>
            </w:tcBorders>
            <w:shd w:val="clear" w:color="auto" w:fill="auto"/>
            <w:tcMar>
              <w:bottom w:w="0" w:type="dxa"/>
            </w:tcMar>
            <w:vAlign w:val="center"/>
          </w:tcPr>
          <w:p w14:paraId="58C69FBF">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十一、围绕机制完善抓好监督保障</w:t>
            </w:r>
          </w:p>
        </w:tc>
        <w:tc>
          <w:tcPr>
            <w:tcW w:w="681" w:type="dxa"/>
            <w:tcBorders>
              <w:top w:val="nil"/>
              <w:left w:val="nil"/>
              <w:bottom w:val="single" w:color="auto" w:sz="6" w:space="0"/>
              <w:right w:val="single" w:color="auto" w:sz="6" w:space="0"/>
            </w:tcBorders>
            <w:shd w:val="clear" w:color="auto" w:fill="auto"/>
            <w:tcMar>
              <w:bottom w:w="0" w:type="dxa"/>
            </w:tcMar>
            <w:vAlign w:val="center"/>
          </w:tcPr>
          <w:p w14:paraId="2A5BD73D">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b/>
                <w:bCs/>
                <w:i w:val="0"/>
                <w:iCs w:val="0"/>
                <w:color w:val="000000"/>
                <w:kern w:val="0"/>
                <w:sz w:val="22"/>
                <w:szCs w:val="22"/>
                <w:lang w:val="en-US" w:eastAsia="zh-CN" w:bidi="ar"/>
              </w:rPr>
              <w:t>17</w:t>
            </w:r>
          </w:p>
        </w:tc>
        <w:tc>
          <w:tcPr>
            <w:tcW w:w="6409" w:type="dxa"/>
            <w:tcBorders>
              <w:top w:val="nil"/>
              <w:left w:val="nil"/>
              <w:bottom w:val="single" w:color="auto" w:sz="6" w:space="0"/>
              <w:right w:val="single" w:color="auto" w:sz="6" w:space="0"/>
            </w:tcBorders>
            <w:shd w:val="clear" w:color="auto" w:fill="auto"/>
            <w:tcMar>
              <w:bottom w:w="0" w:type="dxa"/>
            </w:tcMar>
            <w:vAlign w:val="center"/>
          </w:tcPr>
          <w:p w14:paraId="04ADD2E8">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对照新时代政务公开要求，全面梳理现有工作机制，及时予以清理修订。待国家政府信息公开条例修订和政策发布条例出台后，认真做好宣传贯彻和工作衔接。</w:t>
            </w:r>
          </w:p>
        </w:tc>
        <w:tc>
          <w:tcPr>
            <w:tcW w:w="2990" w:type="dxa"/>
            <w:tcBorders>
              <w:top w:val="nil"/>
              <w:left w:val="nil"/>
              <w:bottom w:val="single" w:color="auto" w:sz="6" w:space="0"/>
              <w:right w:val="single" w:color="auto" w:sz="6" w:space="0"/>
            </w:tcBorders>
            <w:shd w:val="clear" w:color="auto" w:fill="auto"/>
            <w:tcMar>
              <w:bottom w:w="0" w:type="dxa"/>
            </w:tcMar>
            <w:vAlign w:val="center"/>
          </w:tcPr>
          <w:p w14:paraId="41B94994">
            <w:pPr>
              <w:keepNext w:val="0"/>
              <w:keepLines w:val="0"/>
              <w:widowControl/>
              <w:suppressLineNumbers w:val="0"/>
              <w:spacing w:before="0" w:beforeAutospacing="0" w:after="0" w:afterAutospacing="0"/>
              <w:ind w:left="0" w:right="0"/>
              <w:jc w:val="left"/>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区人社局（医保局）</w:t>
            </w:r>
          </w:p>
        </w:tc>
        <w:tc>
          <w:tcPr>
            <w:tcW w:w="1401" w:type="dxa"/>
            <w:tcBorders>
              <w:top w:val="nil"/>
              <w:left w:val="nil"/>
              <w:bottom w:val="single" w:color="auto" w:sz="6" w:space="0"/>
              <w:right w:val="single" w:color="auto" w:sz="6" w:space="0"/>
            </w:tcBorders>
            <w:shd w:val="clear" w:color="auto" w:fill="auto"/>
            <w:tcMar>
              <w:bottom w:w="0" w:type="dxa"/>
            </w:tcMar>
            <w:vAlign w:val="center"/>
          </w:tcPr>
          <w:p w14:paraId="2F7F6EDB">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kern w:val="0"/>
                <w:sz w:val="21"/>
                <w:szCs w:val="21"/>
                <w:lang w:val="en-US" w:eastAsia="zh-CN" w:bidi="ar"/>
              </w:rPr>
            </w:pPr>
            <w:r>
              <w:rPr>
                <w:rFonts w:hint="eastAsia" w:ascii="宋体" w:hAnsi="宋体" w:eastAsia="宋体" w:cs="宋体"/>
                <w:i w:val="0"/>
                <w:iCs w:val="0"/>
                <w:color w:val="000000"/>
                <w:kern w:val="0"/>
                <w:sz w:val="22"/>
                <w:szCs w:val="22"/>
                <w:lang w:val="en-US" w:eastAsia="zh-CN" w:bidi="ar"/>
              </w:rPr>
              <w:t>持续推进</w:t>
            </w:r>
          </w:p>
        </w:tc>
      </w:tr>
    </w:tbl>
    <w:p w14:paraId="56788598">
      <w:pPr>
        <w:pStyle w:val="3"/>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fill="FFFFFF"/>
        </w:rPr>
        <w:t> </w:t>
      </w:r>
    </w:p>
    <w:p w14:paraId="44952A9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B5B70"/>
    <w:rsid w:val="434B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rPr>
  </w:style>
  <w:style w:type="character" w:styleId="9">
    <w:name w:val="HTML Acronym"/>
    <w:basedOn w:val="5"/>
    <w:uiPriority w:val="0"/>
    <w:rPr>
      <w:bdr w:val="none" w:color="auto" w:sz="0" w:space="0"/>
    </w:rPr>
  </w:style>
  <w:style w:type="character" w:styleId="10">
    <w:name w:val="Hyperlink"/>
    <w:basedOn w:val="5"/>
    <w:uiPriority w:val="0"/>
    <w:rPr>
      <w:color w:val="333333"/>
      <w:u w:val="none"/>
    </w:rPr>
  </w:style>
  <w:style w:type="character" w:styleId="11">
    <w:name w:val="HTML Code"/>
    <w:basedOn w:val="5"/>
    <w:uiPriority w:val="0"/>
    <w:rPr>
      <w:rFonts w:hint="default" w:ascii="monospace" w:hAnsi="monospace" w:eastAsia="monospace" w:cs="monospace"/>
      <w:sz w:val="21"/>
      <w:szCs w:val="21"/>
    </w:rPr>
  </w:style>
  <w:style w:type="character" w:styleId="12">
    <w:name w:val="HTML Keyboard"/>
    <w:basedOn w:val="5"/>
    <w:uiPriority w:val="0"/>
    <w:rPr>
      <w:rFonts w:hint="default" w:ascii="monospace" w:hAnsi="monospace" w:eastAsia="monospace" w:cs="monospace"/>
      <w:sz w:val="21"/>
      <w:szCs w:val="21"/>
    </w:rPr>
  </w:style>
  <w:style w:type="character" w:styleId="13">
    <w:name w:val="HTML Sample"/>
    <w:basedOn w:val="5"/>
    <w:uiPriority w:val="0"/>
    <w:rPr>
      <w:rFonts w:ascii="monospace" w:hAnsi="monospace" w:eastAsia="monospace" w:cs="monospace"/>
      <w:sz w:val="21"/>
      <w:szCs w:val="21"/>
    </w:rPr>
  </w:style>
  <w:style w:type="character" w:customStyle="1" w:styleId="14">
    <w:name w:val="tmpztreemove_arrow"/>
    <w:basedOn w:val="5"/>
    <w:uiPriority w:val="0"/>
    <w:rPr>
      <w:bdr w:val="none" w:color="auto" w:sz="0" w:space="0"/>
    </w:rPr>
  </w:style>
  <w:style w:type="character" w:customStyle="1" w:styleId="15">
    <w:name w:val="button"/>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2025-09-24T09:18:00Z</dcterms:created>
  <dc:creator>Administrator</dc:creator>
  <cp:lastModifiedBy>Administrator</cp:lastModifiedBy>
  <dcterms:modified xsi:type="dcterms:W3CDTF">2025-09-24T09:21:34Z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0F1753BEB96349C687A7F1EFA1158514_11</vt:lpwstr>
  </property>
  <property fmtid="{D5CDD505-2E9C-101B-9397-08002B2CF9AE}" pid="4" name="KSOTemplateDocerSaveRecord">
    <vt:lpwstr>eyJoZGlkIjoiZmY5MTZiZGZmMzIzZDljMzcyMGRlN2EzZGE0M2M2OTEifQ==</vt:lpwstr>
  </property>
</Properties>
</file>