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ECFD1">
      <w:pPr>
        <w:spacing w:before="140" w:line="223" w:lineRule="auto"/>
        <w:ind w:left="0" w:leftChars="0" w:firstLine="0" w:firstLineChars="0"/>
        <w:jc w:val="center"/>
        <w:outlineLvl w:val="0"/>
        <w:rPr>
          <w:rFonts w:hint="eastAsia" w:ascii="方正小标宋简体" w:hAnsi="方正小标宋简体" w:eastAsia="方正小标宋简体" w:cs="方正小标宋简体"/>
          <w:snapToGrid/>
          <w:kern w:val="2"/>
          <w:sz w:val="44"/>
          <w:szCs w:val="44"/>
          <w:lang w:val="en-US" w:eastAsia="zh-CN" w:bidi="ar-SA"/>
        </w:rPr>
      </w:pPr>
    </w:p>
    <w:p w14:paraId="65A77D1C">
      <w:pPr>
        <w:spacing w:before="140" w:line="223" w:lineRule="auto"/>
        <w:ind w:left="0" w:leftChars="0" w:firstLine="0" w:firstLineChars="0"/>
        <w:jc w:val="center"/>
        <w:outlineLvl w:val="0"/>
        <w:rPr>
          <w:rFonts w:hint="eastAsia" w:ascii="方正小标宋简体" w:hAnsi="方正小标宋简体" w:eastAsia="方正小标宋简体" w:cs="方正小标宋简体"/>
          <w:snapToGrid/>
          <w:kern w:val="2"/>
          <w:sz w:val="44"/>
          <w:szCs w:val="44"/>
          <w:lang w:val="en-US" w:eastAsia="zh-CN" w:bidi="ar-SA"/>
        </w:rPr>
      </w:pPr>
    </w:p>
    <w:p w14:paraId="62F597E4">
      <w:pPr>
        <w:spacing w:before="140" w:line="223" w:lineRule="auto"/>
        <w:ind w:left="0" w:leftChars="0" w:firstLine="0" w:firstLineChars="0"/>
        <w:jc w:val="center"/>
        <w:outlineLvl w:val="0"/>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关于淮北市相山区2024年区级预算绩效管理工作开展情况及重大政策和重点项目绩效执行</w:t>
      </w:r>
    </w:p>
    <w:p w14:paraId="47170673">
      <w:pPr>
        <w:spacing w:before="140" w:line="223" w:lineRule="auto"/>
        <w:ind w:left="0" w:leftChars="0" w:firstLine="0" w:firstLineChars="0"/>
        <w:jc w:val="center"/>
        <w:outlineLvl w:val="0"/>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结果的说明</w:t>
      </w:r>
    </w:p>
    <w:p w14:paraId="1822732B">
      <w:pPr>
        <w:spacing w:line="475" w:lineRule="auto"/>
        <w:rPr>
          <w:rFonts w:ascii="Arial"/>
          <w:sz w:val="21"/>
        </w:rPr>
      </w:pPr>
    </w:p>
    <w:p w14:paraId="3CC646F7">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2024年，相山区预算绩效管理工作在区委、区政府的正确领导下，认真贯彻中央、省、市有关文件精神，紧紧围绕“绩效”主线，聚焦基础与理念，构建绩效指标标准体系及业务培训计划；聚焦管理方法，强化绩效目标编报和运行监控力度；聚焦提质增效，统筹事前绩效评估与事后绩效评价结果的反馈和运用，实现事前、事中、事后绩效闭环管理。在全区各预算部门（单位）配合下，较好地完成了各项工作任务。现将一年的工作总结如下。</w:t>
      </w:r>
    </w:p>
    <w:p w14:paraId="545C68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一、工作开展情况</w:t>
      </w:r>
    </w:p>
    <w:p w14:paraId="6012E403">
      <w:pPr>
        <w:pStyle w:val="2"/>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（一）开展绩效目标管理</w:t>
      </w:r>
    </w:p>
    <w:p w14:paraId="49805D2A">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在2024年预算编报工作中，充分利用预算一体化管理系统，加强预算绩效目标管理，强化项目绩效目标编报。对预算申报项目进行全面梳理，抓牢一体化系统中绩效目标完整性审核关，要求所有项目必须有绩效指标内容及相应指标值，对无具体绩效内容、无年度绩效指标的项目，或绩效指标填报不够细化的项目，退回项目实施单位修改完善，确保项目绩效相关内容应填尽填。</w:t>
      </w:r>
    </w:p>
    <w:p w14:paraId="42778A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（二）开展事前绩效评估</w:t>
      </w:r>
    </w:p>
    <w:p w14:paraId="4BF16F4C">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按照工作部署，从部门申报年初预算时新增、较上年度预算金额增加、上年度预算执行率较低的项目，以及社会关注度高、专业性强、技术复杂的重大项目中选取“城乡医疗救助资金项目”、“重大节点信访维稳经费”、“防汛抗旱专项资金”、“</w:t>
      </w:r>
      <w:r>
        <w:rPr>
          <w:rFonts w:hint="eastAsia" w:ascii="仿宋_GB2312" w:hAnsi="仿宋_GB2312" w:eastAsia="仿宋_GB2312" w:cs="仿宋_GB2312"/>
          <w:snapToGrid/>
          <w:kern w:val="2"/>
          <w:sz w:val="32"/>
          <w:szCs w:val="32"/>
          <w:lang w:val="en-US" w:eastAsia="en-US" w:bidi="ar-SA"/>
        </w:rPr>
        <w:t>工作经费项目</w:t>
      </w:r>
      <w:r>
        <w:rPr>
          <w:rFonts w:hint="eastAsia" w:ascii="仿宋_GB2312" w:hAnsi="仿宋_GB2312" w:eastAsia="仿宋_GB2312" w:cs="仿宋_GB2312"/>
          <w:snapToGrid/>
          <w:kern w:val="2"/>
          <w:sz w:val="32"/>
          <w:szCs w:val="32"/>
          <w:lang w:val="en-US" w:eastAsia="zh-CN" w:bidi="ar-SA"/>
        </w:rPr>
        <w:t>”、“服务群众专项及社区办公经费项目”、“公共卫生服务经费项目”等6个项目，实施区级重点事前绩效评估。主要从申报必要性、投入经济性、绩效目标合理性、实施方案可行性、筹资合规性等方面进行客观、公正的评估。通过评估，财政部门掌握了项目实施现状及存在的问题，并对存在的问题提出了合理化建议。同时对实施慢的项目明确时间节点，督促加快实施，切实提高了财政资金投入的精准性、科学性和有效性。</w:t>
      </w:r>
    </w:p>
    <w:p w14:paraId="7E898F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（三）开展预算绩效运行监控</w:t>
      </w:r>
    </w:p>
    <w:p w14:paraId="3FA803BE">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按照《区财政局关于开展2024年区级预算绩效监控工作的通知》要求，我区绩效目标监控工作采取普遍监控与重点监控相结合的方式开展，监控范围为2024年度1-7月份区各预算部门（单位）整体支出及财政批复项目支出使用绩效，监</w:t>
      </w:r>
      <w:bookmarkStart w:id="0" w:name="_GoBack"/>
      <w:bookmarkEnd w:id="0"/>
      <w:r>
        <w:rPr>
          <w:rFonts w:hint="eastAsia" w:ascii="仿宋_GB2312" w:hAnsi="仿宋_GB2312" w:eastAsia="仿宋_GB2312" w:cs="仿宋_GB2312"/>
          <w:snapToGrid/>
          <w:kern w:val="2"/>
          <w:sz w:val="32"/>
          <w:szCs w:val="32"/>
          <w:lang w:val="en-US" w:eastAsia="zh-CN" w:bidi="ar-SA"/>
        </w:rPr>
        <w:t>控内容主要包括绩效目标完成情况、预算执行情况、资金使用情况和存在问题及整改措施等，实现了绩效运行监控全覆盖。</w:t>
      </w:r>
    </w:p>
    <w:p w14:paraId="2C482F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（四）开展重点项目绩效评价</w:t>
      </w:r>
    </w:p>
    <w:p w14:paraId="58F966F2">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为做好年度重点项目绩效评价工作，根据《相山区区财政局关于开展2024年度财政预算支出绩效评价工作的通知》要求，采取重点评价和自我评价相结合的方式，对2024年度预算安排的各类项目支出开展绩效评价工作，其中涉及重点评价项目10个，采取组建评价工作组或委托第三方评价等方式开展，评价资金量1.52亿元。针对评价中发现的问题，及时汇总分析，作为安排预算、完善政策和改进管理的重要依据。</w:t>
      </w:r>
    </w:p>
    <w:p w14:paraId="1A4887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（五）开展标准体系建设</w:t>
      </w:r>
    </w:p>
    <w:p w14:paraId="4423730D">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为在全区范围内实现建成全方位、全过程、全覆盖的预算绩效管理体系的总体要求，年初，我们积极向局党组汇报指标和标准体系建设方案，取得了领导大力支持。安排布置落实指标体系建设的资料收集、指标设置等工作内容，同时对完成的初稿及时反馈至预算单位进行多轮次讨论、修改，最终在今年6月份建成了我区预算绩效指标和标准体系。本体系涵盖区直60家预算部门（单位）的部门整体支出及项目支出。通过绩效指标和标准体系建设，建立健全定量和定性相结合的共性绩效指标框架；各行业主管部门构建分行业、分领域、分层次的核心绩效指标和标准体系。指标体系与基本公共服务标准、部门预算项目支出标准、部门履职效能等衔接匹配，实现科学合理、细化量化、可比可测、动态调整、共建共享，突出结果导向，重点考核实绩，不断推进全区预算绩效管理工作标准化、系统化、规范化运行。</w:t>
      </w:r>
    </w:p>
    <w:p w14:paraId="4FC8F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（六）开展绩效业务培训</w:t>
      </w:r>
    </w:p>
    <w:p w14:paraId="4D640564">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为深入学习宣传贯彻《意见》精神，相山区财政局结合财政工作实际，把学习宣传贯彻《意见》精神作为落实习近平总书记重要论述精神和贯彻党中央重大决策部署的内在要求，以多种形式加强学习宣传，深刻理解《意见》精神实质，把握核心要义。先后围绕深化零基预算改革、预决算编制、预算绩效管理、政府采购管理、财政支农政策、会计基础知识等多个方面开展了多次培训。通过培训，有力提升了区本级各预算部门、单位财务人员的政策业务水平，为后续工作奠定了坚实基础。</w:t>
      </w:r>
    </w:p>
    <w:p w14:paraId="68207C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（七）开展政府投资项目绩效综合评价平台工作</w:t>
      </w:r>
    </w:p>
    <w:p w14:paraId="49285970">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为落实省、市关于大财政体系建设的工作部署以及省财政厅关于政府投资项目绩效综合评价工作会议精神，绩效科积极承担政府投资项目绩效综合评价平台推进工作。督促相关科室从财力支撑分析、财力论证、预算评审、竣工结算、财务决算等5个方面严格按照平台操作流程开展工作。通过平台推动政府投资项目前期提质、建设提速、“两算”提标、运营提效、管理提能，提高政府投资效率、效益、效能。</w:t>
      </w:r>
    </w:p>
    <w:p w14:paraId="0FADEC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（八）完成上级交办的评价任务</w:t>
      </w:r>
    </w:p>
    <w:p w14:paraId="0A1BD509">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根据工作安排，对区政府交办的“城乡医疗救助资金项目”、“重大节点信访维稳经费”、“防汛抗旱专项资金”、“工作经费项目”、“服务群众专项及社区办公经费项目”、“公共卫生服务经费项目”等项目开展评价工作，评价资金量1.52亿元，向被评单位提出绩效建议、整改措施等10余条，指出了单位在项目和资金管理上存在的漏洞和不足，为进一步加强资金和项目管理起到了极大的促进作用。</w:t>
      </w:r>
    </w:p>
    <w:p w14:paraId="721AE3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二、取得的成效</w:t>
      </w:r>
    </w:p>
    <w:p w14:paraId="432E02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（一）绩效理念进一步加强</w:t>
      </w:r>
    </w:p>
    <w:p w14:paraId="5EDC57DF">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通过预算绩效管理工作的开展，区直各预算单位绩效理念进一步加强，由重资金争取，重过程管理，向重支出责任，重产出和结果转变。以提高资金使用绩效为目标、以结果为导向的管理理念得到强化。</w:t>
      </w:r>
    </w:p>
    <w:p w14:paraId="603303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（二）强化了责任意识</w:t>
      </w:r>
    </w:p>
    <w:p w14:paraId="7906700B">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通过一系列制度的制定出台，预算单位和财政各业务科室更清楚地了解绩效管理的主体，其职能和目标得到进一步明确；通过评价工作的持续开展，考核各项目绩效目标实际完成情况和取得的成效，并与下年度预算安排挂钩，花钱要问效，无效要问责等绩效理念，在一定程度上强化了单位整体和各部门的自我约束意识和责任意识。</w:t>
      </w:r>
    </w:p>
    <w:p w14:paraId="135490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（三）增强了财政管理和决策的科学性</w:t>
      </w:r>
    </w:p>
    <w:p w14:paraId="40F3AFAC">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对财政支出的科学性、效益性和管理水平的评价，对绩效评价结果的应用，有利于促进部门不断完善内部管理，自觉加强资金的管理和监督，不断提高理财水平，增强财政资金分配、管理的科学性。</w:t>
      </w:r>
    </w:p>
    <w:p w14:paraId="44F3D8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三、下年度工作计划</w:t>
      </w:r>
    </w:p>
    <w:p w14:paraId="3F87DDE3">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一是指导督促区直单位按照预算绩效管理规章制度要求，开展项目事前、事中、事后绩效管理工作；二是加大绩效指标体系建设力度，不断完善项目支出及部门整体支出绩效指标体系；三是按照《相山区区委托第三方机构参与预算绩效管理实施办法》，督促第三方做好委托评价工作；四是采取请进来走出去的方式，做好全区预算绩效管理宣传及培训；五是持续抓好政府投资项目绩效综合评价平台推进工作；六是完成上级交办的其他事项。</w:t>
      </w:r>
    </w:p>
    <w:p w14:paraId="2C6A4A2F">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p>
    <w:p w14:paraId="3A788785">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p>
    <w:p w14:paraId="77EB674F">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p>
    <w:p w14:paraId="2C6C52D7">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p>
    <w:p w14:paraId="38697E8E">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附件：1.2024年度重点绩效评价结果</w:t>
      </w:r>
    </w:p>
    <w:p w14:paraId="0E644C7E">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1600" w:firstLineChars="500"/>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2.2024年度重点绩效评价报告</w:t>
      </w:r>
    </w:p>
    <w:p w14:paraId="3B4E6F60">
      <w:pPr>
        <w:pStyle w:val="3"/>
        <w:keepNext w:val="0"/>
        <w:keepLines w:val="0"/>
        <w:pageBreakBefore w:val="0"/>
        <w:widowControl w:val="0"/>
        <w:kinsoku/>
        <w:wordWrap/>
        <w:overflowPunct/>
        <w:topLinePunct w:val="0"/>
        <w:autoSpaceDE w:val="0"/>
        <w:autoSpaceDN w:val="0"/>
        <w:bidi w:val="0"/>
        <w:adjustRightInd w:val="0"/>
        <w:snapToGrid w:val="0"/>
        <w:spacing w:before="101" w:line="560" w:lineRule="exact"/>
        <w:ind w:firstLine="646"/>
        <w:textAlignment w:val="baseline"/>
        <w:rPr>
          <w:rFonts w:hint="eastAsia" w:ascii="仿宋_GB2312" w:hAnsi="仿宋_GB2312" w:eastAsia="仿宋_GB2312" w:cs="仿宋_GB2312"/>
          <w:snapToGrid/>
          <w:kern w:val="2"/>
          <w:sz w:val="32"/>
          <w:szCs w:val="32"/>
          <w:lang w:val="en-US" w:eastAsia="zh-CN" w:bidi="ar-SA"/>
        </w:rPr>
        <w:sectPr>
          <w:footerReference r:id="rId5" w:type="default"/>
          <w:pgSz w:w="11906" w:h="16839"/>
          <w:pgMar w:top="1431" w:right="1203" w:bottom="2804" w:left="1606" w:header="0" w:footer="2418" w:gutter="0"/>
          <w:cols w:space="720" w:num="1"/>
        </w:sectPr>
      </w:pPr>
    </w:p>
    <w:p w14:paraId="1448CCDD">
      <w:pPr>
        <w:spacing w:before="1" w:line="223" w:lineRule="auto"/>
        <w:ind w:left="9"/>
        <w:rPr>
          <w:rFonts w:ascii="Times New Roman" w:hAnsi="Times New Roman" w:eastAsia="Times New Roman" w:cs="Times New Roman"/>
          <w:sz w:val="31"/>
          <w:szCs w:val="31"/>
        </w:rPr>
      </w:pPr>
      <w:r>
        <w:rPr>
          <w:rFonts w:hint="eastAsia" w:eastAsia="宋体"/>
          <w:sz w:val="21"/>
          <w:lang w:eastAsia="zh-CN"/>
        </w:rPr>
        <w:tab/>
      </w:r>
      <w:r>
        <w:rPr>
          <w:rFonts w:ascii="黑体" w:hAnsi="黑体" w:eastAsia="黑体" w:cs="黑体"/>
          <w:spacing w:val="-4"/>
          <w:sz w:val="31"/>
          <w:szCs w:val="31"/>
        </w:rPr>
        <w:t>附件</w:t>
      </w:r>
      <w:r>
        <w:rPr>
          <w:rFonts w:ascii="Times New Roman" w:hAnsi="Times New Roman" w:eastAsia="Times New Roman" w:cs="Times New Roman"/>
          <w:spacing w:val="-4"/>
          <w:sz w:val="31"/>
          <w:szCs w:val="31"/>
        </w:rPr>
        <w:t>1</w:t>
      </w:r>
    </w:p>
    <w:p w14:paraId="358AA49E">
      <w:pPr>
        <w:tabs>
          <w:tab w:val="left" w:pos="783"/>
        </w:tabs>
        <w:spacing w:line="287" w:lineRule="auto"/>
        <w:rPr>
          <w:rFonts w:hint="eastAsia" w:ascii="Arial" w:eastAsia="宋体"/>
          <w:sz w:val="21"/>
          <w:lang w:eastAsia="zh-CN"/>
        </w:rPr>
      </w:pPr>
    </w:p>
    <w:p w14:paraId="5C8CBEAA">
      <w:pPr>
        <w:spacing w:line="287" w:lineRule="auto"/>
        <w:rPr>
          <w:rFonts w:ascii="Arial"/>
          <w:sz w:val="21"/>
        </w:rPr>
      </w:pPr>
    </w:p>
    <w:p w14:paraId="093CF127">
      <w:pPr>
        <w:spacing w:line="287" w:lineRule="auto"/>
        <w:rPr>
          <w:rFonts w:ascii="Arial"/>
          <w:sz w:val="21"/>
        </w:rPr>
      </w:pPr>
    </w:p>
    <w:p w14:paraId="0B07E1F4">
      <w:pPr>
        <w:spacing w:before="140" w:line="225" w:lineRule="auto"/>
        <w:ind w:left="2245"/>
        <w:rPr>
          <w:rFonts w:ascii="黑体" w:hAnsi="黑体" w:eastAsia="黑体" w:cs="黑体"/>
          <w:sz w:val="43"/>
          <w:szCs w:val="43"/>
        </w:rPr>
      </w:pPr>
      <w:r>
        <w:rPr>
          <w:rFonts w:ascii="Times New Roman" w:hAnsi="Times New Roman" w:eastAsia="Times New Roman" w:cs="Times New Roman"/>
          <w:spacing w:val="7"/>
          <w:sz w:val="43"/>
          <w:szCs w:val="43"/>
        </w:rPr>
        <w:t>2024</w:t>
      </w:r>
      <w:r>
        <w:rPr>
          <w:rFonts w:ascii="黑体" w:hAnsi="黑体" w:eastAsia="黑体" w:cs="黑体"/>
          <w:spacing w:val="7"/>
          <w:sz w:val="43"/>
          <w:szCs w:val="43"/>
        </w:rPr>
        <w:t>年度重点绩效评价结果</w:t>
      </w:r>
    </w:p>
    <w:p w14:paraId="0ACE0BF7">
      <w:pPr>
        <w:spacing w:before="22"/>
      </w:pPr>
    </w:p>
    <w:p w14:paraId="3712FBB9">
      <w:pPr>
        <w:spacing w:before="22"/>
      </w:pPr>
    </w:p>
    <w:tbl>
      <w:tblPr>
        <w:tblStyle w:val="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4"/>
        <w:gridCol w:w="1887"/>
        <w:gridCol w:w="4441"/>
        <w:gridCol w:w="1680"/>
        <w:gridCol w:w="1013"/>
      </w:tblGrid>
      <w:tr w14:paraId="4C6AB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428" w:type="pct"/>
            <w:vAlign w:val="top"/>
          </w:tcPr>
          <w:p w14:paraId="41866220">
            <w:pPr>
              <w:spacing w:before="315" w:line="223" w:lineRule="auto"/>
              <w:ind w:left="188"/>
              <w:rPr>
                <w:rFonts w:ascii="黑体" w:hAnsi="黑体" w:eastAsia="黑体" w:cs="黑体"/>
                <w:sz w:val="24"/>
                <w:szCs w:val="24"/>
              </w:rPr>
            </w:pPr>
            <w:r>
              <w:rPr>
                <w:rFonts w:ascii="黑体" w:hAnsi="黑体" w:eastAsia="黑体" w:cs="黑体"/>
                <w:spacing w:val="-5"/>
                <w:sz w:val="24"/>
                <w:szCs w:val="24"/>
              </w:rPr>
              <w:t>序号</w:t>
            </w:r>
          </w:p>
        </w:tc>
        <w:tc>
          <w:tcPr>
            <w:tcW w:w="956" w:type="pct"/>
            <w:vAlign w:val="top"/>
          </w:tcPr>
          <w:p w14:paraId="24717D56">
            <w:pPr>
              <w:spacing w:before="314" w:line="221" w:lineRule="auto"/>
              <w:ind w:left="228"/>
              <w:rPr>
                <w:rFonts w:ascii="黑体" w:hAnsi="黑体" w:eastAsia="黑体" w:cs="黑体"/>
                <w:sz w:val="24"/>
                <w:szCs w:val="24"/>
              </w:rPr>
            </w:pPr>
            <w:r>
              <w:rPr>
                <w:rFonts w:ascii="黑体" w:hAnsi="黑体" w:eastAsia="黑体" w:cs="黑体"/>
                <w:spacing w:val="-2"/>
                <w:sz w:val="24"/>
                <w:szCs w:val="24"/>
              </w:rPr>
              <w:t>评价对象类别</w:t>
            </w:r>
          </w:p>
        </w:tc>
        <w:tc>
          <w:tcPr>
            <w:tcW w:w="2250" w:type="pct"/>
            <w:vAlign w:val="top"/>
          </w:tcPr>
          <w:p w14:paraId="64BD6122">
            <w:pPr>
              <w:spacing w:before="314" w:line="222" w:lineRule="auto"/>
              <w:ind w:left="1450"/>
              <w:rPr>
                <w:rFonts w:ascii="黑体" w:hAnsi="黑体" w:eastAsia="黑体" w:cs="黑体"/>
                <w:sz w:val="24"/>
                <w:szCs w:val="24"/>
              </w:rPr>
            </w:pPr>
            <w:r>
              <w:rPr>
                <w:rFonts w:ascii="黑体" w:hAnsi="黑体" w:eastAsia="黑体" w:cs="黑体"/>
                <w:spacing w:val="-3"/>
                <w:sz w:val="24"/>
                <w:szCs w:val="24"/>
              </w:rPr>
              <w:t>单位/项目名称</w:t>
            </w:r>
          </w:p>
        </w:tc>
        <w:tc>
          <w:tcPr>
            <w:tcW w:w="851" w:type="pct"/>
            <w:vAlign w:val="top"/>
          </w:tcPr>
          <w:p w14:paraId="03FC885A">
            <w:pPr>
              <w:spacing w:before="158" w:line="222" w:lineRule="auto"/>
              <w:ind w:left="369"/>
              <w:rPr>
                <w:rFonts w:ascii="黑体" w:hAnsi="黑体" w:eastAsia="黑体" w:cs="黑体"/>
                <w:sz w:val="24"/>
                <w:szCs w:val="24"/>
              </w:rPr>
            </w:pPr>
            <w:r>
              <w:rPr>
                <w:rFonts w:ascii="黑体" w:hAnsi="黑体" w:eastAsia="黑体" w:cs="黑体"/>
                <w:spacing w:val="-3"/>
                <w:sz w:val="24"/>
                <w:szCs w:val="24"/>
              </w:rPr>
              <w:t>财政资金</w:t>
            </w:r>
          </w:p>
          <w:p w14:paraId="5F31614E">
            <w:pPr>
              <w:spacing w:before="24" w:line="222" w:lineRule="auto"/>
              <w:jc w:val="right"/>
              <w:rPr>
                <w:rFonts w:ascii="黑体" w:hAnsi="黑体" w:eastAsia="黑体" w:cs="黑体"/>
                <w:sz w:val="24"/>
                <w:szCs w:val="24"/>
              </w:rPr>
            </w:pPr>
            <w:r>
              <w:rPr>
                <w:rFonts w:ascii="黑体" w:hAnsi="黑体" w:eastAsia="黑体" w:cs="黑体"/>
                <w:spacing w:val="-23"/>
                <w:sz w:val="24"/>
                <w:szCs w:val="24"/>
              </w:rPr>
              <w:t>（单位：万元）</w:t>
            </w:r>
          </w:p>
        </w:tc>
        <w:tc>
          <w:tcPr>
            <w:tcW w:w="513" w:type="pct"/>
            <w:vAlign w:val="top"/>
          </w:tcPr>
          <w:p w14:paraId="7861193A">
            <w:pPr>
              <w:spacing w:before="159" w:line="241" w:lineRule="auto"/>
              <w:ind w:left="395" w:right="142" w:hanging="242"/>
              <w:rPr>
                <w:rFonts w:ascii="黑体" w:hAnsi="黑体" w:eastAsia="黑体" w:cs="黑体"/>
                <w:sz w:val="24"/>
                <w:szCs w:val="24"/>
              </w:rPr>
            </w:pPr>
            <w:r>
              <w:rPr>
                <w:rFonts w:ascii="黑体" w:hAnsi="黑体" w:eastAsia="黑体" w:cs="黑体"/>
                <w:spacing w:val="-3"/>
                <w:sz w:val="24"/>
                <w:szCs w:val="24"/>
              </w:rPr>
              <w:t>评价等</w:t>
            </w:r>
            <w:r>
              <w:rPr>
                <w:rFonts w:ascii="黑体" w:hAnsi="黑体" w:eastAsia="黑体" w:cs="黑体"/>
                <w:sz w:val="24"/>
                <w:szCs w:val="24"/>
              </w:rPr>
              <w:t>级</w:t>
            </w:r>
          </w:p>
        </w:tc>
      </w:tr>
      <w:tr w14:paraId="6390F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428" w:type="pct"/>
            <w:vAlign w:val="top"/>
          </w:tcPr>
          <w:p w14:paraId="4C331A3A">
            <w:pPr>
              <w:spacing w:before="263" w:line="189" w:lineRule="auto"/>
              <w:ind w:left="389"/>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956" w:type="pct"/>
            <w:vMerge w:val="restart"/>
            <w:tcBorders>
              <w:bottom w:val="nil"/>
            </w:tcBorders>
            <w:vAlign w:val="top"/>
          </w:tcPr>
          <w:p w14:paraId="28605AA0">
            <w:pPr>
              <w:spacing w:line="337" w:lineRule="auto"/>
              <w:rPr>
                <w:rFonts w:ascii="Arial"/>
                <w:sz w:val="21"/>
              </w:rPr>
            </w:pPr>
          </w:p>
          <w:p w14:paraId="11752B3F">
            <w:pPr>
              <w:pStyle w:val="10"/>
              <w:spacing w:before="71" w:line="264" w:lineRule="auto"/>
              <w:ind w:left="507" w:right="296" w:hanging="216"/>
            </w:pPr>
            <w:r>
              <w:rPr>
                <w:spacing w:val="-5"/>
              </w:rPr>
              <w:t>部门（单位）</w:t>
            </w:r>
            <w:r>
              <w:rPr>
                <w:spacing w:val="-3"/>
              </w:rPr>
              <w:t>整体支出</w:t>
            </w:r>
          </w:p>
        </w:tc>
        <w:tc>
          <w:tcPr>
            <w:tcW w:w="2250" w:type="pct"/>
            <w:vAlign w:val="center"/>
          </w:tcPr>
          <w:p w14:paraId="29E20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both"/>
            </w:pPr>
            <w:r>
              <w:rPr>
                <w:rFonts w:hint="eastAsia"/>
                <w:spacing w:val="1"/>
                <w:sz w:val="23"/>
                <w:szCs w:val="23"/>
                <w:lang w:val="en-US" w:eastAsia="zh-CN"/>
              </w:rPr>
              <w:t>相山区南黎街道办事处</w:t>
            </w:r>
            <w:r>
              <w:rPr>
                <w:spacing w:val="1"/>
                <w:sz w:val="23"/>
                <w:szCs w:val="23"/>
              </w:rPr>
              <w:t>整体支出</w:t>
            </w:r>
          </w:p>
        </w:tc>
        <w:tc>
          <w:tcPr>
            <w:tcW w:w="851" w:type="pct"/>
            <w:vAlign w:val="top"/>
          </w:tcPr>
          <w:p w14:paraId="0F05A3C7">
            <w:pPr>
              <w:spacing w:before="263" w:line="189" w:lineRule="auto"/>
              <w:ind w:left="429"/>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lang w:val="en-US" w:eastAsia="zh-CN"/>
              </w:rPr>
              <w:t>3086.68</w:t>
            </w:r>
          </w:p>
        </w:tc>
        <w:tc>
          <w:tcPr>
            <w:tcW w:w="513" w:type="pct"/>
            <w:vAlign w:val="center"/>
          </w:tcPr>
          <w:p w14:paraId="5C69D15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center"/>
              <w:rPr>
                <w:sz w:val="21"/>
                <w:szCs w:val="18"/>
              </w:rPr>
            </w:pPr>
            <w:r>
              <w:rPr>
                <w:rFonts w:hint="eastAsia" w:ascii="微软雅黑" w:hAnsi="微软雅黑" w:eastAsia="微软雅黑" w:cs="微软雅黑"/>
                <w:sz w:val="22"/>
                <w:szCs w:val="22"/>
              </w:rPr>
              <w:t>良</w:t>
            </w:r>
          </w:p>
        </w:tc>
      </w:tr>
      <w:tr w14:paraId="4DF20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428" w:type="pct"/>
            <w:vAlign w:val="top"/>
          </w:tcPr>
          <w:p w14:paraId="560A9548">
            <w:pPr>
              <w:spacing w:before="263" w:line="189" w:lineRule="auto"/>
              <w:ind w:left="368"/>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956" w:type="pct"/>
            <w:vMerge w:val="continue"/>
            <w:tcBorders>
              <w:top w:val="nil"/>
            </w:tcBorders>
            <w:vAlign w:val="top"/>
          </w:tcPr>
          <w:p w14:paraId="692407F7">
            <w:pPr>
              <w:rPr>
                <w:rFonts w:ascii="Arial"/>
                <w:sz w:val="21"/>
              </w:rPr>
            </w:pPr>
          </w:p>
        </w:tc>
        <w:tc>
          <w:tcPr>
            <w:tcW w:w="2250" w:type="pct"/>
            <w:vAlign w:val="center"/>
          </w:tcPr>
          <w:p w14:paraId="56F55E3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both"/>
            </w:pPr>
            <w:r>
              <w:rPr>
                <w:rFonts w:hint="eastAsia"/>
                <w:spacing w:val="1"/>
                <w:sz w:val="23"/>
                <w:szCs w:val="23"/>
                <w:lang w:eastAsia="zh-CN"/>
              </w:rPr>
              <w:t>淮北市相山区文化体育旅游局</w:t>
            </w:r>
            <w:r>
              <w:rPr>
                <w:spacing w:val="1"/>
                <w:sz w:val="23"/>
                <w:szCs w:val="23"/>
              </w:rPr>
              <w:t>整体支出</w:t>
            </w:r>
          </w:p>
        </w:tc>
        <w:tc>
          <w:tcPr>
            <w:tcW w:w="851" w:type="pct"/>
            <w:vAlign w:val="center"/>
          </w:tcPr>
          <w:p w14:paraId="77653354">
            <w:pPr>
              <w:spacing w:before="263" w:line="189" w:lineRule="auto"/>
              <w:ind w:left="429"/>
              <w:rPr>
                <w:rFonts w:ascii="Times New Roman" w:hAnsi="Times New Roman" w:eastAsia="Times New Roman" w:cs="Times New Roman"/>
                <w:spacing w:val="-1"/>
                <w:sz w:val="22"/>
                <w:szCs w:val="22"/>
              </w:rPr>
            </w:pPr>
            <w:r>
              <w:rPr>
                <w:rFonts w:hint="eastAsia" w:ascii="Times New Roman" w:hAnsi="Times New Roman" w:eastAsia="Times New Roman" w:cs="Times New Roman"/>
                <w:spacing w:val="-1"/>
                <w:sz w:val="22"/>
                <w:szCs w:val="22"/>
                <w:lang w:val="en-US" w:eastAsia="zh-CN"/>
              </w:rPr>
              <w:t>4667.04</w:t>
            </w:r>
          </w:p>
        </w:tc>
        <w:tc>
          <w:tcPr>
            <w:tcW w:w="513" w:type="pct"/>
            <w:vAlign w:val="center"/>
          </w:tcPr>
          <w:p w14:paraId="27B484F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center"/>
              <w:rPr>
                <w:sz w:val="21"/>
                <w:szCs w:val="18"/>
              </w:rPr>
            </w:pPr>
            <w:r>
              <w:rPr>
                <w:rFonts w:hint="eastAsia" w:ascii="微软雅黑" w:hAnsi="微软雅黑" w:eastAsia="微软雅黑" w:cs="微软雅黑"/>
                <w:sz w:val="22"/>
                <w:szCs w:val="22"/>
                <w:lang w:val="en-US" w:eastAsia="zh-CN"/>
              </w:rPr>
              <w:t>中</w:t>
            </w:r>
          </w:p>
        </w:tc>
      </w:tr>
      <w:tr w14:paraId="5CCE2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428" w:type="pct"/>
            <w:vAlign w:val="top"/>
          </w:tcPr>
          <w:p w14:paraId="70B6F06A">
            <w:pPr>
              <w:spacing w:before="266" w:line="189" w:lineRule="auto"/>
              <w:ind w:left="373"/>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956" w:type="pct"/>
            <w:vAlign w:val="top"/>
          </w:tcPr>
          <w:p w14:paraId="7AE6648D">
            <w:pPr>
              <w:pStyle w:val="10"/>
              <w:spacing w:before="228" w:line="221" w:lineRule="auto"/>
              <w:ind w:left="507"/>
            </w:pPr>
            <w:r>
              <w:rPr>
                <w:spacing w:val="-3"/>
              </w:rPr>
              <w:t>财政政策</w:t>
            </w:r>
          </w:p>
        </w:tc>
        <w:tc>
          <w:tcPr>
            <w:tcW w:w="2250" w:type="pct"/>
            <w:vAlign w:val="center"/>
          </w:tcPr>
          <w:p w14:paraId="128B7F2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both"/>
            </w:pPr>
            <w:r>
              <w:rPr>
                <w:spacing w:val="1"/>
                <w:sz w:val="23"/>
                <w:szCs w:val="23"/>
              </w:rPr>
              <w:t>徽动消费促销费活动</w:t>
            </w:r>
            <w:r>
              <w:rPr>
                <w:rFonts w:hint="eastAsia"/>
                <w:spacing w:val="1"/>
                <w:sz w:val="23"/>
                <w:szCs w:val="23"/>
                <w:lang w:val="en-US" w:eastAsia="zh-CN"/>
              </w:rPr>
              <w:t>经费</w:t>
            </w:r>
          </w:p>
        </w:tc>
        <w:tc>
          <w:tcPr>
            <w:tcW w:w="851" w:type="pct"/>
            <w:vAlign w:val="center"/>
          </w:tcPr>
          <w:p w14:paraId="3B8C17AC">
            <w:pPr>
              <w:spacing w:before="263" w:line="189" w:lineRule="auto"/>
              <w:ind w:left="429"/>
              <w:rPr>
                <w:rFonts w:ascii="Times New Roman" w:hAnsi="Times New Roman" w:eastAsia="Times New Roman" w:cs="Times New Roman"/>
                <w:spacing w:val="-1"/>
                <w:sz w:val="22"/>
                <w:szCs w:val="22"/>
              </w:rPr>
            </w:pPr>
            <w:r>
              <w:rPr>
                <w:rFonts w:hint="eastAsia" w:ascii="Times New Roman" w:hAnsi="Times New Roman" w:eastAsia="Times New Roman" w:cs="Times New Roman"/>
                <w:spacing w:val="-1"/>
                <w:sz w:val="22"/>
                <w:szCs w:val="22"/>
                <w:lang w:val="en-US" w:eastAsia="zh-CN"/>
              </w:rPr>
              <w:t>50.00</w:t>
            </w:r>
          </w:p>
        </w:tc>
        <w:tc>
          <w:tcPr>
            <w:tcW w:w="513" w:type="pct"/>
            <w:vAlign w:val="center"/>
          </w:tcPr>
          <w:p w14:paraId="674BB8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center"/>
              <w:rPr>
                <w:sz w:val="21"/>
                <w:szCs w:val="18"/>
              </w:rPr>
            </w:pPr>
            <w:r>
              <w:rPr>
                <w:rFonts w:hint="eastAsia" w:ascii="微软雅黑" w:hAnsi="微软雅黑" w:eastAsia="微软雅黑" w:cs="微软雅黑"/>
                <w:sz w:val="22"/>
                <w:szCs w:val="22"/>
                <w:lang w:val="en-US" w:eastAsia="zh-CN"/>
              </w:rPr>
              <w:t>中</w:t>
            </w:r>
          </w:p>
        </w:tc>
      </w:tr>
      <w:tr w14:paraId="626E1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28" w:type="pct"/>
            <w:vAlign w:val="top"/>
          </w:tcPr>
          <w:p w14:paraId="04AD486F">
            <w:pPr>
              <w:spacing w:before="266" w:line="189" w:lineRule="auto"/>
              <w:ind w:left="367"/>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956" w:type="pct"/>
            <w:vMerge w:val="restart"/>
            <w:tcBorders>
              <w:bottom w:val="nil"/>
            </w:tcBorders>
            <w:vAlign w:val="top"/>
          </w:tcPr>
          <w:p w14:paraId="7894A503">
            <w:pPr>
              <w:spacing w:line="241" w:lineRule="auto"/>
              <w:rPr>
                <w:rFonts w:ascii="Arial"/>
                <w:sz w:val="21"/>
              </w:rPr>
            </w:pPr>
          </w:p>
          <w:p w14:paraId="5EEF9ABB">
            <w:pPr>
              <w:spacing w:line="241" w:lineRule="auto"/>
              <w:rPr>
                <w:rFonts w:ascii="Arial"/>
                <w:sz w:val="21"/>
              </w:rPr>
            </w:pPr>
          </w:p>
          <w:p w14:paraId="61C8AC9F">
            <w:pPr>
              <w:spacing w:line="241" w:lineRule="auto"/>
              <w:rPr>
                <w:rFonts w:ascii="Arial"/>
                <w:sz w:val="21"/>
              </w:rPr>
            </w:pPr>
          </w:p>
          <w:p w14:paraId="692D1958">
            <w:pPr>
              <w:spacing w:line="242" w:lineRule="auto"/>
              <w:rPr>
                <w:rFonts w:ascii="Arial"/>
                <w:sz w:val="21"/>
              </w:rPr>
            </w:pPr>
          </w:p>
          <w:p w14:paraId="01B9D161">
            <w:pPr>
              <w:spacing w:line="242" w:lineRule="auto"/>
              <w:rPr>
                <w:rFonts w:ascii="Arial"/>
                <w:sz w:val="21"/>
              </w:rPr>
            </w:pPr>
          </w:p>
          <w:p w14:paraId="69F3A343">
            <w:pPr>
              <w:spacing w:line="242" w:lineRule="auto"/>
              <w:rPr>
                <w:rFonts w:ascii="Arial"/>
                <w:sz w:val="21"/>
              </w:rPr>
            </w:pPr>
          </w:p>
          <w:p w14:paraId="59E9CA29">
            <w:pPr>
              <w:spacing w:line="242" w:lineRule="auto"/>
              <w:rPr>
                <w:rFonts w:ascii="Arial"/>
                <w:sz w:val="21"/>
              </w:rPr>
            </w:pPr>
          </w:p>
          <w:p w14:paraId="7AA8E94A">
            <w:pPr>
              <w:pStyle w:val="10"/>
              <w:spacing w:before="72" w:line="221" w:lineRule="auto"/>
              <w:ind w:left="507"/>
            </w:pPr>
            <w:r>
              <w:rPr>
                <w:spacing w:val="-3"/>
              </w:rPr>
              <w:t>重点领域</w:t>
            </w:r>
          </w:p>
          <w:p w14:paraId="617CCD3E">
            <w:pPr>
              <w:pStyle w:val="10"/>
              <w:spacing w:before="48" w:line="221" w:lineRule="auto"/>
              <w:ind w:left="731"/>
            </w:pPr>
            <w:r>
              <w:rPr>
                <w:spacing w:val="-6"/>
              </w:rPr>
              <w:t>项目</w:t>
            </w:r>
          </w:p>
        </w:tc>
        <w:tc>
          <w:tcPr>
            <w:tcW w:w="2250" w:type="pct"/>
            <w:vAlign w:val="center"/>
          </w:tcPr>
          <w:p w14:paraId="774F6A4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both"/>
            </w:pPr>
            <w:r>
              <w:rPr>
                <w:spacing w:val="1"/>
                <w:sz w:val="23"/>
                <w:szCs w:val="23"/>
              </w:rPr>
              <w:t>重大节点信访维稳</w:t>
            </w:r>
            <w:r>
              <w:rPr>
                <w:rFonts w:hint="eastAsia"/>
                <w:spacing w:val="1"/>
                <w:sz w:val="23"/>
                <w:szCs w:val="23"/>
                <w:lang w:val="en-US" w:eastAsia="zh-CN"/>
              </w:rPr>
              <w:t>经费</w:t>
            </w:r>
          </w:p>
        </w:tc>
        <w:tc>
          <w:tcPr>
            <w:tcW w:w="851" w:type="pct"/>
            <w:vAlign w:val="center"/>
          </w:tcPr>
          <w:p w14:paraId="6F191395">
            <w:pPr>
              <w:spacing w:before="263" w:line="189" w:lineRule="auto"/>
              <w:ind w:left="429"/>
              <w:rPr>
                <w:rFonts w:ascii="Times New Roman" w:hAnsi="Times New Roman" w:eastAsia="Times New Roman" w:cs="Times New Roman"/>
                <w:spacing w:val="-1"/>
                <w:sz w:val="22"/>
                <w:szCs w:val="22"/>
              </w:rPr>
            </w:pPr>
            <w:r>
              <w:rPr>
                <w:rFonts w:hint="eastAsia" w:ascii="Times New Roman" w:hAnsi="Times New Roman" w:eastAsia="Times New Roman" w:cs="Times New Roman"/>
                <w:spacing w:val="-1"/>
                <w:sz w:val="22"/>
                <w:szCs w:val="22"/>
                <w:lang w:val="en-US" w:eastAsia="zh-CN"/>
              </w:rPr>
              <w:t>300.00</w:t>
            </w:r>
          </w:p>
        </w:tc>
        <w:tc>
          <w:tcPr>
            <w:tcW w:w="513" w:type="pct"/>
            <w:vAlign w:val="center"/>
          </w:tcPr>
          <w:p w14:paraId="6F2B5BE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center"/>
              <w:rPr>
                <w:sz w:val="21"/>
                <w:szCs w:val="18"/>
              </w:rPr>
            </w:pPr>
            <w:r>
              <w:rPr>
                <w:rFonts w:hint="eastAsia" w:ascii="微软雅黑" w:hAnsi="微软雅黑" w:eastAsia="微软雅黑" w:cs="微软雅黑"/>
                <w:sz w:val="22"/>
                <w:szCs w:val="22"/>
                <w:lang w:val="en-US" w:eastAsia="zh-CN"/>
              </w:rPr>
              <w:t>中</w:t>
            </w:r>
          </w:p>
        </w:tc>
      </w:tr>
      <w:tr w14:paraId="489B7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28" w:type="pct"/>
            <w:vAlign w:val="top"/>
          </w:tcPr>
          <w:p w14:paraId="2C178746">
            <w:pPr>
              <w:spacing w:before="268" w:line="186" w:lineRule="auto"/>
              <w:ind w:left="374"/>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956" w:type="pct"/>
            <w:vMerge w:val="continue"/>
            <w:tcBorders>
              <w:top w:val="nil"/>
              <w:bottom w:val="nil"/>
            </w:tcBorders>
            <w:vAlign w:val="top"/>
          </w:tcPr>
          <w:p w14:paraId="4FD82120">
            <w:pPr>
              <w:rPr>
                <w:rFonts w:ascii="Arial"/>
                <w:sz w:val="21"/>
              </w:rPr>
            </w:pPr>
          </w:p>
        </w:tc>
        <w:tc>
          <w:tcPr>
            <w:tcW w:w="2250" w:type="pct"/>
            <w:vAlign w:val="center"/>
          </w:tcPr>
          <w:p w14:paraId="0E909D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both"/>
            </w:pPr>
            <w:r>
              <w:rPr>
                <w:rFonts w:hint="eastAsia" w:eastAsia="宋体"/>
                <w:spacing w:val="1"/>
                <w:sz w:val="23"/>
                <w:szCs w:val="23"/>
                <w:lang w:val="en-US" w:eastAsia="zh-CN"/>
              </w:rPr>
              <w:t>工作</w:t>
            </w:r>
            <w:r>
              <w:rPr>
                <w:rFonts w:hint="eastAsia"/>
                <w:spacing w:val="1"/>
                <w:sz w:val="23"/>
                <w:szCs w:val="23"/>
              </w:rPr>
              <w:t>经费</w:t>
            </w:r>
          </w:p>
        </w:tc>
        <w:tc>
          <w:tcPr>
            <w:tcW w:w="851" w:type="pct"/>
            <w:vAlign w:val="center"/>
          </w:tcPr>
          <w:p w14:paraId="00E975E4">
            <w:pPr>
              <w:spacing w:before="263" w:line="189" w:lineRule="auto"/>
              <w:ind w:left="429"/>
              <w:rPr>
                <w:rFonts w:ascii="Times New Roman" w:hAnsi="Times New Roman" w:eastAsia="Times New Roman" w:cs="Times New Roman"/>
                <w:spacing w:val="-1"/>
                <w:sz w:val="22"/>
                <w:szCs w:val="22"/>
              </w:rPr>
            </w:pPr>
            <w:r>
              <w:rPr>
                <w:rFonts w:hint="eastAsia" w:ascii="Times New Roman" w:hAnsi="Times New Roman" w:eastAsia="Times New Roman" w:cs="Times New Roman"/>
                <w:spacing w:val="-1"/>
                <w:sz w:val="22"/>
                <w:szCs w:val="22"/>
                <w:lang w:val="en-US" w:eastAsia="zh-CN"/>
              </w:rPr>
              <w:t>460</w:t>
            </w:r>
            <w:r>
              <w:rPr>
                <w:rFonts w:hint="eastAsia" w:ascii="Times New Roman" w:hAnsi="Times New Roman" w:eastAsia="Times New Roman" w:cs="Times New Roman"/>
                <w:spacing w:val="-1"/>
                <w:sz w:val="22"/>
                <w:szCs w:val="22"/>
              </w:rPr>
              <w:t>.00</w:t>
            </w:r>
          </w:p>
        </w:tc>
        <w:tc>
          <w:tcPr>
            <w:tcW w:w="513" w:type="pct"/>
            <w:vAlign w:val="center"/>
          </w:tcPr>
          <w:p w14:paraId="74344B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center"/>
              <w:rPr>
                <w:sz w:val="21"/>
                <w:szCs w:val="18"/>
              </w:rPr>
            </w:pPr>
            <w:r>
              <w:rPr>
                <w:rFonts w:hint="eastAsia" w:ascii="微软雅黑" w:hAnsi="微软雅黑" w:eastAsia="微软雅黑" w:cs="微软雅黑"/>
                <w:sz w:val="22"/>
                <w:szCs w:val="22"/>
                <w:lang w:val="en-US" w:eastAsia="zh-CN"/>
              </w:rPr>
              <w:t>中</w:t>
            </w:r>
          </w:p>
        </w:tc>
      </w:tr>
      <w:tr w14:paraId="2908F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28" w:type="pct"/>
            <w:vAlign w:val="top"/>
          </w:tcPr>
          <w:p w14:paraId="099669DF">
            <w:pPr>
              <w:spacing w:before="267" w:line="189" w:lineRule="auto"/>
              <w:ind w:left="373"/>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956" w:type="pct"/>
            <w:vMerge w:val="continue"/>
            <w:tcBorders>
              <w:top w:val="nil"/>
              <w:bottom w:val="nil"/>
            </w:tcBorders>
            <w:vAlign w:val="top"/>
          </w:tcPr>
          <w:p w14:paraId="554BBF17">
            <w:pPr>
              <w:rPr>
                <w:rFonts w:ascii="Arial"/>
                <w:sz w:val="21"/>
              </w:rPr>
            </w:pPr>
          </w:p>
        </w:tc>
        <w:tc>
          <w:tcPr>
            <w:tcW w:w="2250" w:type="pct"/>
            <w:vAlign w:val="center"/>
          </w:tcPr>
          <w:p w14:paraId="42B740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both"/>
            </w:pPr>
            <w:r>
              <w:rPr>
                <w:rFonts w:hint="eastAsia"/>
                <w:spacing w:val="1"/>
                <w:sz w:val="23"/>
                <w:szCs w:val="23"/>
                <w:lang w:val="en-US" w:eastAsia="zh-CN"/>
              </w:rPr>
              <w:t>防汛抗旱专项</w:t>
            </w:r>
            <w:r>
              <w:rPr>
                <w:rFonts w:hint="eastAsia" w:eastAsia="宋体"/>
                <w:spacing w:val="1"/>
                <w:sz w:val="23"/>
                <w:szCs w:val="23"/>
                <w:lang w:val="en-US" w:eastAsia="zh-CN"/>
              </w:rPr>
              <w:t>经费</w:t>
            </w:r>
          </w:p>
        </w:tc>
        <w:tc>
          <w:tcPr>
            <w:tcW w:w="851" w:type="pct"/>
            <w:vAlign w:val="center"/>
          </w:tcPr>
          <w:p w14:paraId="21BBC9FB">
            <w:pPr>
              <w:spacing w:before="263" w:line="189" w:lineRule="auto"/>
              <w:ind w:left="429"/>
              <w:rPr>
                <w:rFonts w:ascii="Times New Roman" w:hAnsi="Times New Roman" w:eastAsia="Times New Roman" w:cs="Times New Roman"/>
                <w:spacing w:val="-1"/>
                <w:sz w:val="22"/>
                <w:szCs w:val="22"/>
              </w:rPr>
            </w:pPr>
            <w:r>
              <w:rPr>
                <w:rFonts w:hint="eastAsia" w:ascii="Times New Roman" w:hAnsi="Times New Roman" w:eastAsia="Times New Roman" w:cs="Times New Roman"/>
                <w:spacing w:val="-1"/>
                <w:sz w:val="22"/>
                <w:szCs w:val="22"/>
                <w:lang w:val="en-US" w:eastAsia="zh-CN"/>
              </w:rPr>
              <w:t>60.00</w:t>
            </w:r>
          </w:p>
        </w:tc>
        <w:tc>
          <w:tcPr>
            <w:tcW w:w="513" w:type="pct"/>
            <w:vAlign w:val="center"/>
          </w:tcPr>
          <w:p w14:paraId="14A25C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center"/>
              <w:rPr>
                <w:sz w:val="21"/>
                <w:szCs w:val="18"/>
              </w:rPr>
            </w:pPr>
            <w:r>
              <w:rPr>
                <w:rFonts w:hint="eastAsia" w:ascii="微软雅黑" w:hAnsi="微软雅黑" w:eastAsia="微软雅黑" w:cs="微软雅黑"/>
                <w:sz w:val="22"/>
                <w:szCs w:val="22"/>
              </w:rPr>
              <w:t>良</w:t>
            </w:r>
          </w:p>
        </w:tc>
      </w:tr>
      <w:tr w14:paraId="7E879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28" w:type="pct"/>
            <w:vAlign w:val="top"/>
          </w:tcPr>
          <w:p w14:paraId="09EF6C9A">
            <w:pPr>
              <w:spacing w:before="269" w:line="186" w:lineRule="auto"/>
              <w:ind w:left="372"/>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956" w:type="pct"/>
            <w:vMerge w:val="continue"/>
            <w:tcBorders>
              <w:top w:val="nil"/>
              <w:bottom w:val="nil"/>
            </w:tcBorders>
            <w:vAlign w:val="top"/>
          </w:tcPr>
          <w:p w14:paraId="5CD44B34">
            <w:pPr>
              <w:rPr>
                <w:rFonts w:ascii="Arial"/>
                <w:sz w:val="21"/>
              </w:rPr>
            </w:pPr>
          </w:p>
        </w:tc>
        <w:tc>
          <w:tcPr>
            <w:tcW w:w="2250" w:type="pct"/>
            <w:vAlign w:val="center"/>
          </w:tcPr>
          <w:p w14:paraId="5C4585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both"/>
            </w:pPr>
            <w:r>
              <w:rPr>
                <w:spacing w:val="1"/>
                <w:sz w:val="23"/>
                <w:szCs w:val="23"/>
              </w:rPr>
              <w:t>社区服务群众专项及</w:t>
            </w:r>
            <w:r>
              <w:rPr>
                <w:spacing w:val="2"/>
                <w:sz w:val="23"/>
                <w:szCs w:val="23"/>
              </w:rPr>
              <w:t>社区办公经费</w:t>
            </w:r>
          </w:p>
        </w:tc>
        <w:tc>
          <w:tcPr>
            <w:tcW w:w="851" w:type="pct"/>
            <w:vAlign w:val="center"/>
          </w:tcPr>
          <w:p w14:paraId="52F6484F">
            <w:pPr>
              <w:spacing w:before="263" w:line="189" w:lineRule="auto"/>
              <w:ind w:left="429"/>
              <w:rPr>
                <w:rFonts w:ascii="Times New Roman" w:hAnsi="Times New Roman" w:eastAsia="Times New Roman" w:cs="Times New Roman"/>
                <w:spacing w:val="-1"/>
                <w:sz w:val="22"/>
                <w:szCs w:val="22"/>
              </w:rPr>
            </w:pPr>
            <w:r>
              <w:rPr>
                <w:rFonts w:hint="eastAsia" w:ascii="Times New Roman" w:hAnsi="Times New Roman" w:eastAsia="Times New Roman" w:cs="Times New Roman"/>
                <w:spacing w:val="-1"/>
                <w:sz w:val="22"/>
                <w:szCs w:val="22"/>
                <w:lang w:val="en-US" w:eastAsia="zh-CN"/>
              </w:rPr>
              <w:t>160.00</w:t>
            </w:r>
          </w:p>
        </w:tc>
        <w:tc>
          <w:tcPr>
            <w:tcW w:w="513" w:type="pct"/>
            <w:vAlign w:val="center"/>
          </w:tcPr>
          <w:p w14:paraId="25697F7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center"/>
              <w:rPr>
                <w:sz w:val="21"/>
                <w:szCs w:val="18"/>
              </w:rPr>
            </w:pPr>
            <w:r>
              <w:rPr>
                <w:rFonts w:hint="eastAsia" w:ascii="微软雅黑" w:hAnsi="微软雅黑" w:eastAsia="微软雅黑" w:cs="微软雅黑"/>
                <w:sz w:val="22"/>
                <w:szCs w:val="22"/>
              </w:rPr>
              <w:t>良</w:t>
            </w:r>
          </w:p>
        </w:tc>
      </w:tr>
      <w:tr w14:paraId="16249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28" w:type="pct"/>
            <w:vAlign w:val="top"/>
          </w:tcPr>
          <w:p w14:paraId="36364570">
            <w:pPr>
              <w:spacing w:before="265" w:line="189" w:lineRule="auto"/>
              <w:ind w:left="377"/>
              <w:rPr>
                <w:rFonts w:ascii="Times New Roman" w:hAnsi="Times New Roman" w:eastAsia="Times New Roman" w:cs="Times New Roman"/>
                <w:sz w:val="22"/>
                <w:szCs w:val="22"/>
              </w:rPr>
            </w:pPr>
            <w:r>
              <w:rPr>
                <w:rFonts w:ascii="Times New Roman" w:hAnsi="Times New Roman" w:eastAsia="Times New Roman" w:cs="Times New Roman"/>
                <w:sz w:val="22"/>
                <w:szCs w:val="22"/>
              </w:rPr>
              <w:t>8</w:t>
            </w:r>
          </w:p>
        </w:tc>
        <w:tc>
          <w:tcPr>
            <w:tcW w:w="956" w:type="pct"/>
            <w:vMerge w:val="continue"/>
            <w:tcBorders>
              <w:top w:val="nil"/>
              <w:bottom w:val="nil"/>
            </w:tcBorders>
            <w:vAlign w:val="top"/>
          </w:tcPr>
          <w:p w14:paraId="59EA51D4">
            <w:pPr>
              <w:rPr>
                <w:rFonts w:ascii="Arial"/>
                <w:sz w:val="21"/>
              </w:rPr>
            </w:pPr>
          </w:p>
        </w:tc>
        <w:tc>
          <w:tcPr>
            <w:tcW w:w="2250" w:type="pct"/>
            <w:vAlign w:val="center"/>
          </w:tcPr>
          <w:p w14:paraId="10B029E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both"/>
            </w:pPr>
            <w:r>
              <w:rPr>
                <w:spacing w:val="2"/>
                <w:sz w:val="23"/>
                <w:szCs w:val="23"/>
              </w:rPr>
              <w:t>城乡医疗救助</w:t>
            </w:r>
            <w:r>
              <w:rPr>
                <w:rFonts w:hint="eastAsia" w:eastAsia="宋体"/>
                <w:spacing w:val="2"/>
                <w:sz w:val="23"/>
                <w:szCs w:val="23"/>
                <w:lang w:val="en-US" w:eastAsia="zh-CN"/>
              </w:rPr>
              <w:t>资金</w:t>
            </w:r>
          </w:p>
        </w:tc>
        <w:tc>
          <w:tcPr>
            <w:tcW w:w="851" w:type="pct"/>
            <w:vAlign w:val="center"/>
          </w:tcPr>
          <w:p w14:paraId="7EE2F6D1">
            <w:pPr>
              <w:spacing w:before="263" w:line="189" w:lineRule="auto"/>
              <w:ind w:left="429"/>
              <w:rPr>
                <w:rFonts w:ascii="Times New Roman" w:hAnsi="Times New Roman" w:eastAsia="Times New Roman" w:cs="Times New Roman"/>
                <w:spacing w:val="-1"/>
                <w:sz w:val="22"/>
                <w:szCs w:val="22"/>
              </w:rPr>
            </w:pPr>
            <w:r>
              <w:rPr>
                <w:rFonts w:hint="eastAsia" w:ascii="Times New Roman" w:hAnsi="Times New Roman" w:eastAsia="Times New Roman" w:cs="Times New Roman"/>
                <w:spacing w:val="-1"/>
                <w:sz w:val="22"/>
                <w:szCs w:val="22"/>
                <w:lang w:val="en-US" w:eastAsia="zh-CN"/>
              </w:rPr>
              <w:t>1301.98</w:t>
            </w:r>
          </w:p>
        </w:tc>
        <w:tc>
          <w:tcPr>
            <w:tcW w:w="513" w:type="pct"/>
            <w:vAlign w:val="center"/>
          </w:tcPr>
          <w:p w14:paraId="599085E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center"/>
              <w:rPr>
                <w:sz w:val="21"/>
                <w:szCs w:val="18"/>
              </w:rPr>
            </w:pPr>
            <w:r>
              <w:rPr>
                <w:rFonts w:hint="eastAsia" w:ascii="微软雅黑" w:hAnsi="微软雅黑" w:eastAsia="微软雅黑" w:cs="微软雅黑"/>
                <w:sz w:val="22"/>
                <w:szCs w:val="22"/>
              </w:rPr>
              <w:t>优</w:t>
            </w:r>
          </w:p>
        </w:tc>
      </w:tr>
      <w:tr w14:paraId="7983D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428" w:type="pct"/>
            <w:vAlign w:val="top"/>
          </w:tcPr>
          <w:p w14:paraId="36E9DF10">
            <w:pPr>
              <w:spacing w:before="267" w:line="189" w:lineRule="auto"/>
              <w:ind w:left="372"/>
              <w:rPr>
                <w:rFonts w:ascii="Times New Roman" w:hAnsi="Times New Roman" w:eastAsia="Times New Roman" w:cs="Times New Roman"/>
                <w:sz w:val="22"/>
                <w:szCs w:val="22"/>
              </w:rPr>
            </w:pPr>
            <w:r>
              <w:rPr>
                <w:rFonts w:ascii="Times New Roman" w:hAnsi="Times New Roman" w:eastAsia="Times New Roman" w:cs="Times New Roman"/>
                <w:sz w:val="22"/>
                <w:szCs w:val="22"/>
              </w:rPr>
              <w:t>9</w:t>
            </w:r>
          </w:p>
        </w:tc>
        <w:tc>
          <w:tcPr>
            <w:tcW w:w="956" w:type="pct"/>
            <w:vMerge w:val="continue"/>
            <w:tcBorders>
              <w:top w:val="nil"/>
            </w:tcBorders>
            <w:vAlign w:val="top"/>
          </w:tcPr>
          <w:p w14:paraId="1B0DF07F">
            <w:pPr>
              <w:rPr>
                <w:rFonts w:ascii="Arial"/>
                <w:sz w:val="21"/>
              </w:rPr>
            </w:pPr>
          </w:p>
        </w:tc>
        <w:tc>
          <w:tcPr>
            <w:tcW w:w="2250" w:type="pct"/>
            <w:vAlign w:val="center"/>
          </w:tcPr>
          <w:p w14:paraId="7634483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both"/>
            </w:pPr>
            <w:r>
              <w:rPr>
                <w:spacing w:val="1"/>
                <w:sz w:val="23"/>
                <w:szCs w:val="23"/>
              </w:rPr>
              <w:t>基本公共卫生服务项目</w:t>
            </w:r>
            <w:r>
              <w:rPr>
                <w:rFonts w:hint="eastAsia"/>
                <w:spacing w:val="1"/>
                <w:sz w:val="23"/>
                <w:szCs w:val="23"/>
              </w:rPr>
              <w:t>经费</w:t>
            </w:r>
          </w:p>
        </w:tc>
        <w:tc>
          <w:tcPr>
            <w:tcW w:w="851" w:type="pct"/>
            <w:vAlign w:val="center"/>
          </w:tcPr>
          <w:p w14:paraId="08A81C91">
            <w:pPr>
              <w:spacing w:before="263" w:line="189" w:lineRule="auto"/>
              <w:ind w:left="429"/>
              <w:rPr>
                <w:rFonts w:ascii="Times New Roman" w:hAnsi="Times New Roman" w:eastAsia="Times New Roman" w:cs="Times New Roman"/>
                <w:spacing w:val="-1"/>
                <w:sz w:val="22"/>
                <w:szCs w:val="22"/>
              </w:rPr>
            </w:pPr>
            <w:r>
              <w:rPr>
                <w:rFonts w:hint="eastAsia" w:ascii="Times New Roman" w:hAnsi="Times New Roman" w:eastAsia="Times New Roman" w:cs="Times New Roman"/>
                <w:spacing w:val="-1"/>
                <w:sz w:val="22"/>
                <w:szCs w:val="22"/>
                <w:lang w:val="en-US" w:eastAsia="zh-CN"/>
              </w:rPr>
              <w:t>953.7</w:t>
            </w:r>
          </w:p>
        </w:tc>
        <w:tc>
          <w:tcPr>
            <w:tcW w:w="513" w:type="pct"/>
            <w:vAlign w:val="center"/>
          </w:tcPr>
          <w:p w14:paraId="6B3DCB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center"/>
              <w:rPr>
                <w:sz w:val="21"/>
                <w:szCs w:val="18"/>
              </w:rPr>
            </w:pPr>
            <w:r>
              <w:rPr>
                <w:rFonts w:hint="eastAsia" w:ascii="微软雅黑" w:hAnsi="微软雅黑" w:eastAsia="微软雅黑" w:cs="微软雅黑"/>
                <w:sz w:val="22"/>
                <w:szCs w:val="22"/>
              </w:rPr>
              <w:t>良</w:t>
            </w:r>
          </w:p>
        </w:tc>
      </w:tr>
      <w:tr w14:paraId="6FCE0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428" w:type="pct"/>
            <w:vAlign w:val="top"/>
          </w:tcPr>
          <w:p w14:paraId="1758A980">
            <w:pPr>
              <w:spacing w:before="267" w:line="189" w:lineRule="auto"/>
              <w:ind w:left="334"/>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10</w:t>
            </w:r>
          </w:p>
        </w:tc>
        <w:tc>
          <w:tcPr>
            <w:tcW w:w="956" w:type="pct"/>
            <w:vAlign w:val="top"/>
          </w:tcPr>
          <w:p w14:paraId="474FBD53">
            <w:pPr>
              <w:pStyle w:val="10"/>
              <w:spacing w:before="73" w:line="250" w:lineRule="auto"/>
              <w:ind w:left="617" w:right="170" w:hanging="433"/>
            </w:pPr>
            <w:r>
              <w:rPr>
                <w:spacing w:val="-3"/>
              </w:rPr>
              <w:t>下级政府财政综合运行</w:t>
            </w:r>
          </w:p>
        </w:tc>
        <w:tc>
          <w:tcPr>
            <w:tcW w:w="2250" w:type="pct"/>
            <w:vAlign w:val="top"/>
          </w:tcPr>
          <w:p w14:paraId="505CDBD9">
            <w:pPr>
              <w:pStyle w:val="10"/>
              <w:spacing w:before="229" w:line="219" w:lineRule="auto"/>
              <w:jc w:val="left"/>
            </w:pPr>
            <w:r>
              <w:rPr>
                <w:rFonts w:hint="eastAsia"/>
                <w:spacing w:val="1"/>
                <w:sz w:val="23"/>
                <w:szCs w:val="23"/>
                <w:lang w:val="en-US" w:eastAsia="zh-CN"/>
              </w:rPr>
              <w:t>渠沟镇人民政府</w:t>
            </w:r>
          </w:p>
        </w:tc>
        <w:tc>
          <w:tcPr>
            <w:tcW w:w="851" w:type="pct"/>
            <w:vAlign w:val="center"/>
          </w:tcPr>
          <w:p w14:paraId="48547C64">
            <w:pPr>
              <w:spacing w:before="263" w:line="189" w:lineRule="auto"/>
              <w:ind w:left="429"/>
              <w:rPr>
                <w:rFonts w:hint="default" w:ascii="Times New Roman" w:hAnsi="Times New Roman" w:eastAsia="Times New Roman" w:cs="Times New Roman"/>
                <w:spacing w:val="-1"/>
                <w:sz w:val="22"/>
                <w:szCs w:val="22"/>
                <w:lang w:val="en-US"/>
              </w:rPr>
            </w:pPr>
            <w:r>
              <w:rPr>
                <w:rFonts w:hint="eastAsia" w:ascii="Times New Roman" w:hAnsi="Times New Roman" w:eastAsia="Times New Roman" w:cs="Times New Roman"/>
                <w:spacing w:val="-1"/>
                <w:sz w:val="22"/>
                <w:szCs w:val="22"/>
                <w:lang w:val="en-US" w:eastAsia="zh-CN"/>
              </w:rPr>
              <w:t>4129.55</w:t>
            </w:r>
          </w:p>
        </w:tc>
        <w:tc>
          <w:tcPr>
            <w:tcW w:w="513" w:type="pct"/>
            <w:vAlign w:val="center"/>
          </w:tcPr>
          <w:p w14:paraId="76A4E86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5" w:afterAutospacing="0" w:line="23" w:lineRule="atLeast"/>
              <w:ind w:left="0" w:leftChars="0" w:right="0" w:rightChars="0"/>
              <w:jc w:val="center"/>
              <w:rPr>
                <w:sz w:val="21"/>
                <w:szCs w:val="18"/>
              </w:rPr>
            </w:pPr>
            <w:r>
              <w:rPr>
                <w:rFonts w:hint="eastAsia" w:ascii="微软雅黑" w:hAnsi="微软雅黑" w:eastAsia="微软雅黑" w:cs="微软雅黑"/>
                <w:sz w:val="22"/>
                <w:szCs w:val="22"/>
              </w:rPr>
              <w:t>良</w:t>
            </w:r>
          </w:p>
        </w:tc>
      </w:tr>
    </w:tbl>
    <w:p w14:paraId="242EE206">
      <w:pPr>
        <w:rPr>
          <w:rFonts w:ascii="Arial"/>
          <w:sz w:val="21"/>
        </w:rPr>
      </w:pPr>
    </w:p>
    <w:sectPr>
      <w:footerReference r:id="rId6" w:type="default"/>
      <w:pgSz w:w="11906" w:h="16839"/>
      <w:pgMar w:top="1431" w:right="965" w:bottom="400" w:left="107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52E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6AE26">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c2Y2EzNGQ3ZTU5ZWVkYjZhZWE0MjMzOTJlMDI0NTMifQ=="/>
  </w:docVars>
  <w:rsids>
    <w:rsidRoot w:val="00000000"/>
    <w:rsid w:val="0E5D6192"/>
    <w:rsid w:val="0E6C3E4B"/>
    <w:rsid w:val="0F874B2C"/>
    <w:rsid w:val="0FCC6DFA"/>
    <w:rsid w:val="338527B7"/>
    <w:rsid w:val="33A917D3"/>
    <w:rsid w:val="49B67CA4"/>
    <w:rsid w:val="4B6D2ED3"/>
    <w:rsid w:val="5D3C0A1B"/>
    <w:rsid w:val="6F607C57"/>
    <w:rsid w:val="7CC25D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ind w:left="2272" w:hanging="1988"/>
      <w:outlineLvl w:val="3"/>
    </w:pPr>
    <w:rPr>
      <w:rFonts w:ascii="Arial" w:hAnsi="Arial"/>
      <w:b/>
      <w:bCs/>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2888</Words>
  <Characters>2985</Characters>
  <TotalTime>2</TotalTime>
  <ScaleCrop>false</ScaleCrop>
  <LinksUpToDate>false</LinksUpToDate>
  <CharactersWithSpaces>2986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2025-09-15T16:01:00Z</dcterms:created>
  <dc:creator>Administrator</dc:creator>
  <cp:lastModifiedBy>小风</cp:lastModifiedBy>
  <dcterms:modified xsi:type="dcterms:W3CDTF">2025-10-10T01:46:08Z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2025-09-24T18:18:14Z</vt:filetime>
  </property>
  <property fmtid="{D5CDD505-2E9C-101B-9397-08002B2CF9AE}" pid="4" name="KSOProductBuildVer">
    <vt:lpwstr>2052-12.1.0.22529</vt:lpwstr>
  </property>
  <property fmtid="{D5CDD505-2E9C-101B-9397-08002B2CF9AE}" pid="5" name="ICV">
    <vt:lpwstr>C10928CD5950415F902D206C4B767F14_13</vt:lpwstr>
  </property>
  <property fmtid="{D5CDD505-2E9C-101B-9397-08002B2CF9AE}" pid="6" name="KSOTemplateDocerSaveRecord">
    <vt:lpwstr>eyJoZGlkIjoiZTFiYThhNDg1YjM0ZjM3ZDJmZWFkOWE1YTFiZmI4MmEiLCJ1c2VySWQiOiIzNzUyODE1NDEifQ==</vt:lpwstr>
  </property>
</Properties>
</file>