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2B175">
      <w:pPr>
        <w:keepNext w:val="0"/>
        <w:keepLines w:val="0"/>
        <w:pageBreakBefore w:val="0"/>
        <w:kinsoku/>
        <w:overflowPunct/>
        <w:topLinePunct w:val="0"/>
        <w:autoSpaceDE/>
        <w:autoSpaceDN/>
        <w:bidi w:val="0"/>
        <w:spacing w:line="560" w:lineRule="exact"/>
        <w:rPr>
          <w:rFonts w:hint="eastAsia" w:ascii="TimesNewRoman" w:hAnsi="TimesNewRoman" w:eastAsia="黑体" w:cs="TimesNewRoman"/>
          <w:szCs w:val="32"/>
          <w:lang w:val="en-US" w:eastAsia="zh-CN"/>
        </w:rPr>
      </w:pPr>
    </w:p>
    <w:p w14:paraId="6853A11C">
      <w:pPr>
        <w:keepNext w:val="0"/>
        <w:keepLines w:val="0"/>
        <w:pageBreakBefore w:val="0"/>
        <w:kinsoku/>
        <w:overflowPunct/>
        <w:topLinePunct w:val="0"/>
        <w:autoSpaceDE/>
        <w:autoSpaceDN/>
        <w:bidi w:val="0"/>
        <w:spacing w:line="560" w:lineRule="exact"/>
        <w:rPr>
          <w:rFonts w:hint="eastAsia" w:ascii="TimesNewRoman" w:hAnsi="TimesNewRoman" w:eastAsia="黑体" w:cs="TimesNewRoman"/>
          <w:szCs w:val="32"/>
          <w:lang w:val="en-US" w:eastAsia="zh-CN"/>
        </w:rPr>
      </w:pPr>
    </w:p>
    <w:p w14:paraId="241D3E37">
      <w:pPr>
        <w:keepNext w:val="0"/>
        <w:keepLines w:val="0"/>
        <w:pageBreakBefore w:val="0"/>
        <w:kinsoku/>
        <w:overflowPunct/>
        <w:topLinePunct w:val="0"/>
        <w:autoSpaceDE/>
        <w:autoSpaceDN/>
        <w:bidi w:val="0"/>
        <w:spacing w:line="560" w:lineRule="exact"/>
        <w:rPr>
          <w:rFonts w:hint="eastAsia" w:ascii="TimesNewRoman" w:hAnsi="TimesNewRoman" w:eastAsia="黑体" w:cs="TimesNewRoman"/>
          <w:szCs w:val="32"/>
          <w:lang w:val="en-US" w:eastAsia="zh-CN"/>
        </w:rPr>
      </w:pPr>
    </w:p>
    <w:p w14:paraId="63B2EFF3">
      <w:pPr>
        <w:keepNext w:val="0"/>
        <w:keepLines w:val="0"/>
        <w:pageBreakBefore w:val="0"/>
        <w:kinsoku/>
        <w:overflowPunct/>
        <w:topLinePunct w:val="0"/>
        <w:autoSpaceDE/>
        <w:autoSpaceDN/>
        <w:bidi w:val="0"/>
        <w:spacing w:line="560" w:lineRule="exact"/>
        <w:jc w:val="center"/>
        <w:rPr>
          <w:rFonts w:hint="default" w:ascii="TimesNewRoman" w:hAnsi="TimesNewRoman" w:eastAsia="华文中宋" w:cs="TimesNewRoman"/>
          <w:b/>
          <w:sz w:val="44"/>
          <w:szCs w:val="44"/>
        </w:rPr>
      </w:pPr>
      <w:r>
        <w:rPr>
          <w:rFonts w:hint="eastAsia" w:ascii="TimesNewRoman" w:hAnsi="TimesNewRoman" w:eastAsia="华文中宋" w:cs="TimesNewRoman"/>
          <w:b/>
          <w:sz w:val="44"/>
          <w:szCs w:val="44"/>
          <w:lang w:eastAsia="zh-CN"/>
        </w:rPr>
        <w:t>淮北市相山区数据资源管理局</w:t>
      </w:r>
      <w:r>
        <w:rPr>
          <w:rFonts w:hint="eastAsia" w:ascii="Times New Roman" w:hAnsi="Times New Roman" w:eastAsia="华文中宋" w:cs="Times New Roman"/>
          <w:b/>
          <w:sz w:val="44"/>
          <w:szCs w:val="44"/>
          <w:lang w:eastAsia="zh-CN"/>
        </w:rPr>
        <w:t>2026</w:t>
      </w:r>
      <w:r>
        <w:rPr>
          <w:rFonts w:hint="default" w:ascii="TimesNewRoman" w:hAnsi="TimesNewRoman" w:eastAsia="华文中宋" w:cs="TimesNewRoman"/>
          <w:b/>
          <w:sz w:val="44"/>
          <w:szCs w:val="44"/>
        </w:rPr>
        <w:t>年</w:t>
      </w:r>
    </w:p>
    <w:p w14:paraId="658A1480">
      <w:pPr>
        <w:keepNext w:val="0"/>
        <w:keepLines w:val="0"/>
        <w:pageBreakBefore w:val="0"/>
        <w:kinsoku/>
        <w:overflowPunct/>
        <w:topLinePunct w:val="0"/>
        <w:autoSpaceDE/>
        <w:autoSpaceDN/>
        <w:bidi w:val="0"/>
        <w:spacing w:line="560" w:lineRule="exact"/>
        <w:jc w:val="center"/>
        <w:rPr>
          <w:rFonts w:hint="default" w:ascii="TimesNewRoman" w:hAnsi="TimesNewRoman" w:eastAsia="华文中宋" w:cs="TimesNewRoman"/>
          <w:b/>
          <w:sz w:val="44"/>
          <w:szCs w:val="44"/>
        </w:rPr>
      </w:pPr>
      <w:r>
        <w:rPr>
          <w:rFonts w:hint="default" w:ascii="TimesNewRoman" w:hAnsi="TimesNewRoman" w:eastAsia="华文中宋" w:cs="TimesNewRoman"/>
          <w:b/>
          <w:sz w:val="44"/>
          <w:szCs w:val="44"/>
        </w:rPr>
        <w:t>部门预算</w:t>
      </w:r>
    </w:p>
    <w:p w14:paraId="15AF6E3E">
      <w:pPr>
        <w:pStyle w:val="3"/>
        <w:keepNext w:val="0"/>
        <w:keepLines w:val="0"/>
        <w:pageBreakBefore w:val="0"/>
        <w:kinsoku/>
        <w:overflowPunct/>
        <w:topLinePunct w:val="0"/>
        <w:autoSpaceDE/>
        <w:autoSpaceDN/>
        <w:bidi w:val="0"/>
        <w:adjustRightInd w:val="0"/>
        <w:snapToGrid w:val="0"/>
        <w:spacing w:line="560" w:lineRule="exact"/>
        <w:jc w:val="center"/>
        <w:outlineLvl w:val="0"/>
        <w:rPr>
          <w:rFonts w:hint="default" w:ascii="TimesNewRoman" w:hAnsi="TimesNewRoman" w:eastAsia="楷体_GB2312" w:cs="TimesNewRoman"/>
          <w:sz w:val="32"/>
          <w:szCs w:val="32"/>
        </w:rPr>
      </w:pPr>
    </w:p>
    <w:p w14:paraId="06C26F55">
      <w:pPr>
        <w:pStyle w:val="3"/>
        <w:keepNext w:val="0"/>
        <w:keepLines w:val="0"/>
        <w:pageBreakBefore w:val="0"/>
        <w:kinsoku/>
        <w:overflowPunct/>
        <w:topLinePunct w:val="0"/>
        <w:autoSpaceDE/>
        <w:autoSpaceDN/>
        <w:bidi w:val="0"/>
        <w:adjustRightInd w:val="0"/>
        <w:snapToGrid w:val="0"/>
        <w:spacing w:line="560" w:lineRule="exact"/>
        <w:jc w:val="center"/>
        <w:outlineLvl w:val="0"/>
        <w:rPr>
          <w:rFonts w:hint="default" w:ascii="TimesNewRoman" w:hAnsi="TimesNewRoman" w:eastAsia="黑体" w:cs="TimesNewRoman"/>
          <w:bCs/>
          <w:sz w:val="36"/>
          <w:szCs w:val="36"/>
        </w:rPr>
      </w:pPr>
    </w:p>
    <w:p w14:paraId="6D792301">
      <w:pPr>
        <w:pStyle w:val="3"/>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bCs/>
          <w:sz w:val="36"/>
          <w:szCs w:val="36"/>
        </w:rPr>
      </w:pPr>
    </w:p>
    <w:p w14:paraId="3E17B4BC">
      <w:pPr>
        <w:pStyle w:val="3"/>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bCs/>
          <w:sz w:val="36"/>
          <w:szCs w:val="36"/>
        </w:rPr>
      </w:pPr>
    </w:p>
    <w:p w14:paraId="286AB26E">
      <w:pPr>
        <w:pStyle w:val="3"/>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bCs/>
          <w:sz w:val="36"/>
          <w:szCs w:val="36"/>
        </w:rPr>
      </w:pPr>
    </w:p>
    <w:p w14:paraId="5A940118">
      <w:pPr>
        <w:pStyle w:val="3"/>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bCs/>
          <w:sz w:val="36"/>
          <w:szCs w:val="36"/>
        </w:rPr>
      </w:pPr>
    </w:p>
    <w:p w14:paraId="46B0482F">
      <w:pPr>
        <w:pStyle w:val="3"/>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bCs/>
          <w:sz w:val="36"/>
          <w:szCs w:val="36"/>
        </w:rPr>
      </w:pPr>
    </w:p>
    <w:p w14:paraId="268B59B3">
      <w:pPr>
        <w:pStyle w:val="3"/>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bCs/>
          <w:sz w:val="36"/>
          <w:szCs w:val="36"/>
        </w:rPr>
      </w:pPr>
    </w:p>
    <w:p w14:paraId="2F9D0908">
      <w:pPr>
        <w:pStyle w:val="3"/>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bCs/>
          <w:sz w:val="36"/>
          <w:szCs w:val="36"/>
        </w:rPr>
      </w:pPr>
    </w:p>
    <w:p w14:paraId="4B14BA82">
      <w:pPr>
        <w:pStyle w:val="3"/>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bCs/>
          <w:sz w:val="36"/>
          <w:szCs w:val="36"/>
        </w:rPr>
      </w:pPr>
    </w:p>
    <w:p w14:paraId="49472E66">
      <w:pPr>
        <w:pStyle w:val="3"/>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bCs/>
          <w:sz w:val="36"/>
          <w:szCs w:val="36"/>
        </w:rPr>
      </w:pPr>
    </w:p>
    <w:p w14:paraId="7372C0C2">
      <w:pPr>
        <w:pStyle w:val="3"/>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bCs/>
          <w:sz w:val="36"/>
          <w:szCs w:val="36"/>
        </w:rPr>
      </w:pPr>
    </w:p>
    <w:p w14:paraId="5824B1D9">
      <w:pPr>
        <w:pStyle w:val="3"/>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bCs/>
          <w:sz w:val="36"/>
          <w:szCs w:val="36"/>
        </w:rPr>
      </w:pPr>
    </w:p>
    <w:p w14:paraId="4E9492AA">
      <w:pPr>
        <w:pStyle w:val="3"/>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bCs/>
          <w:sz w:val="36"/>
          <w:szCs w:val="36"/>
        </w:rPr>
      </w:pPr>
    </w:p>
    <w:p w14:paraId="66802FBD">
      <w:pPr>
        <w:pStyle w:val="3"/>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方正楷体_GBK" w:cs="TimesNewRoman"/>
          <w:bCs/>
          <w:sz w:val="44"/>
          <w:szCs w:val="44"/>
        </w:rPr>
      </w:pPr>
      <w:r>
        <w:rPr>
          <w:rFonts w:hint="eastAsia" w:ascii="TimesNewRoman" w:hAnsi="TimesNewRoman" w:eastAsia="方正楷体_GBK" w:cs="TimesNewRoman"/>
          <w:bCs/>
          <w:sz w:val="44"/>
          <w:szCs w:val="44"/>
          <w:lang w:eastAsia="zh-CN"/>
        </w:rPr>
        <w:t>2026</w:t>
      </w:r>
      <w:r>
        <w:rPr>
          <w:rFonts w:hint="default" w:ascii="TimesNewRoman" w:hAnsi="TimesNewRoman" w:eastAsia="方正楷体_GBK" w:cs="TimesNewRoman"/>
          <w:bCs/>
          <w:sz w:val="44"/>
          <w:szCs w:val="44"/>
        </w:rPr>
        <w:t>年</w:t>
      </w:r>
      <w:r>
        <w:rPr>
          <w:rFonts w:hint="eastAsia" w:ascii="TimesNewRoman" w:hAnsi="TimesNewRoman" w:eastAsia="方正楷体_GBK" w:cs="TimesNewRoman"/>
          <w:bCs/>
          <w:sz w:val="44"/>
          <w:szCs w:val="44"/>
          <w:lang w:val="en-US" w:eastAsia="zh-CN"/>
        </w:rPr>
        <w:t>2</w:t>
      </w:r>
      <w:r>
        <w:rPr>
          <w:rFonts w:hint="default" w:ascii="TimesNewRoman" w:hAnsi="TimesNewRoman" w:eastAsia="方正楷体_GBK" w:cs="TimesNewRoman"/>
          <w:bCs/>
          <w:sz w:val="44"/>
          <w:szCs w:val="44"/>
        </w:rPr>
        <w:t>月</w:t>
      </w:r>
    </w:p>
    <w:p w14:paraId="595B6A11">
      <w:pPr>
        <w:pStyle w:val="3"/>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bCs/>
          <w:sz w:val="36"/>
          <w:szCs w:val="36"/>
        </w:rPr>
      </w:pPr>
    </w:p>
    <w:p w14:paraId="6771D4F5">
      <w:pPr>
        <w:pStyle w:val="3"/>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bCs/>
          <w:sz w:val="36"/>
          <w:szCs w:val="36"/>
        </w:rPr>
      </w:pPr>
    </w:p>
    <w:p w14:paraId="22C1D7DE">
      <w:pPr>
        <w:pStyle w:val="3"/>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bCs/>
          <w:sz w:val="36"/>
          <w:szCs w:val="36"/>
        </w:rPr>
      </w:pPr>
    </w:p>
    <w:p w14:paraId="24B90197">
      <w:pPr>
        <w:pStyle w:val="3"/>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bCs/>
          <w:sz w:val="44"/>
          <w:szCs w:val="44"/>
        </w:rPr>
      </w:pPr>
    </w:p>
    <w:p w14:paraId="070E93D6">
      <w:pPr>
        <w:pStyle w:val="3"/>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bCs/>
          <w:sz w:val="44"/>
          <w:szCs w:val="44"/>
        </w:rPr>
      </w:pPr>
      <w:r>
        <w:rPr>
          <w:rFonts w:hint="default" w:ascii="TimesNewRoman" w:hAnsi="TimesNewRoman" w:eastAsia="黑体" w:cs="TimesNewRoman"/>
          <w:bCs/>
          <w:sz w:val="44"/>
          <w:szCs w:val="44"/>
        </w:rPr>
        <w:t xml:space="preserve">目 </w:t>
      </w:r>
      <w:r>
        <w:rPr>
          <w:rFonts w:hint="eastAsia" w:ascii="TimesNewRoman" w:hAnsi="TimesNewRoman" w:eastAsia="黑体" w:cs="TimesNewRoman"/>
          <w:bCs/>
          <w:sz w:val="44"/>
          <w:szCs w:val="44"/>
          <w:lang w:val="en-US" w:eastAsia="zh-CN"/>
        </w:rPr>
        <w:t xml:space="preserve"> </w:t>
      </w:r>
      <w:r>
        <w:rPr>
          <w:rFonts w:hint="default" w:ascii="TimesNewRoman" w:hAnsi="TimesNewRoman" w:eastAsia="黑体" w:cs="TimesNewRoman"/>
          <w:bCs/>
          <w:sz w:val="44"/>
          <w:szCs w:val="44"/>
        </w:rPr>
        <w:t>录</w:t>
      </w:r>
    </w:p>
    <w:p w14:paraId="46233CB7">
      <w:pPr>
        <w:pStyle w:val="3"/>
        <w:keepNext w:val="0"/>
        <w:keepLines w:val="0"/>
        <w:pageBreakBefore w:val="0"/>
        <w:kinsoku/>
        <w:overflowPunct/>
        <w:topLinePunct w:val="0"/>
        <w:autoSpaceDE/>
        <w:autoSpaceDN/>
        <w:bidi w:val="0"/>
        <w:adjustRightInd w:val="0"/>
        <w:snapToGrid w:val="0"/>
        <w:spacing w:line="560" w:lineRule="exact"/>
        <w:ind w:firstLine="643" w:firstLineChars="200"/>
        <w:rPr>
          <w:rFonts w:hint="default" w:ascii="TimesNewRoman" w:hAnsi="TimesNewRoman" w:eastAsia="仿宋_GB2312" w:cs="TimesNewRoman"/>
          <w:b/>
          <w:sz w:val="32"/>
          <w:szCs w:val="32"/>
        </w:rPr>
      </w:pPr>
    </w:p>
    <w:p w14:paraId="3E84BE49">
      <w:pPr>
        <w:pStyle w:val="3"/>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第一部分 部门概况</w:t>
      </w:r>
    </w:p>
    <w:p w14:paraId="50429316">
      <w:pPr>
        <w:pStyle w:val="3"/>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eastAsia="仿宋_GB2312" w:cs="TimesNewRoman"/>
          <w:bCs/>
          <w:sz w:val="32"/>
          <w:szCs w:val="32"/>
        </w:rPr>
      </w:pPr>
      <w:r>
        <w:rPr>
          <w:rFonts w:hint="default" w:ascii="TimesNewRoman" w:hAnsi="TimesNewRoman" w:eastAsia="仿宋_GB2312" w:cs="TimesNewRoman"/>
          <w:bCs/>
          <w:sz w:val="32"/>
          <w:szCs w:val="32"/>
        </w:rPr>
        <w:t>1.主要职责</w:t>
      </w:r>
    </w:p>
    <w:p w14:paraId="28468FA2">
      <w:pPr>
        <w:pStyle w:val="3"/>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eastAsia="仿宋_GB2312" w:cs="TimesNewRoman"/>
          <w:bCs/>
          <w:sz w:val="32"/>
          <w:szCs w:val="32"/>
        </w:rPr>
      </w:pPr>
      <w:r>
        <w:rPr>
          <w:rFonts w:hint="default" w:ascii="TimesNewRoman" w:hAnsi="TimesNewRoman" w:eastAsia="仿宋_GB2312" w:cs="TimesNewRoman"/>
          <w:bCs/>
          <w:sz w:val="32"/>
          <w:szCs w:val="32"/>
        </w:rPr>
        <w:t>2.部门预算构成</w:t>
      </w:r>
    </w:p>
    <w:p w14:paraId="0380D6D1">
      <w:pPr>
        <w:pStyle w:val="3"/>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eastAsia="仿宋_GB2312" w:cs="TimesNewRoman"/>
          <w:bCs/>
          <w:sz w:val="32"/>
          <w:szCs w:val="32"/>
        </w:rPr>
      </w:pPr>
      <w:r>
        <w:rPr>
          <w:rFonts w:hint="default" w:ascii="TimesNewRoman" w:hAnsi="TimesNewRoman" w:eastAsia="仿宋_GB2312" w:cs="TimesNewRoman"/>
          <w:bCs/>
          <w:sz w:val="32"/>
          <w:szCs w:val="32"/>
        </w:rPr>
        <w:t>3.</w:t>
      </w:r>
      <w:r>
        <w:rPr>
          <w:rFonts w:hint="eastAsia" w:ascii="TimesNewRoman" w:hAnsi="TimesNewRoman" w:eastAsia="仿宋_GB2312" w:cs="TimesNewRoman"/>
          <w:bCs/>
          <w:sz w:val="32"/>
          <w:szCs w:val="32"/>
          <w:lang w:eastAsia="zh-CN"/>
        </w:rPr>
        <w:t>2026</w:t>
      </w:r>
      <w:r>
        <w:rPr>
          <w:rFonts w:hint="default" w:ascii="TimesNewRoman" w:hAnsi="TimesNewRoman" w:eastAsia="仿宋_GB2312" w:cs="TimesNewRoman"/>
          <w:bCs/>
          <w:sz w:val="32"/>
          <w:szCs w:val="32"/>
        </w:rPr>
        <w:t>年度主要工作任务</w:t>
      </w:r>
    </w:p>
    <w:p w14:paraId="33BDCC7F">
      <w:pPr>
        <w:pStyle w:val="3"/>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eastAsia="方正黑体_GBK" w:cs="TimesNewRoman"/>
          <w:b w:val="0"/>
          <w:bCs/>
          <w:sz w:val="32"/>
          <w:szCs w:val="32"/>
        </w:rPr>
      </w:pPr>
      <w:r>
        <w:rPr>
          <w:rFonts w:hint="default" w:ascii="TimesNewRoman" w:hAnsi="TimesNewRoman" w:eastAsia="方正黑体_GBK" w:cs="TimesNewRoman"/>
          <w:b w:val="0"/>
          <w:bCs/>
          <w:sz w:val="32"/>
          <w:szCs w:val="32"/>
        </w:rPr>
        <w:t xml:space="preserve">第二部分 </w:t>
      </w:r>
      <w:r>
        <w:rPr>
          <w:rFonts w:hint="eastAsia" w:ascii="TimesNewRoman" w:hAnsi="TimesNewRoman" w:eastAsia="方正黑体_GBK" w:cs="TimesNewRoman"/>
          <w:b w:val="0"/>
          <w:bCs/>
          <w:sz w:val="32"/>
          <w:szCs w:val="32"/>
          <w:lang w:eastAsia="zh-CN"/>
        </w:rPr>
        <w:t>2026</w:t>
      </w:r>
      <w:r>
        <w:rPr>
          <w:rFonts w:hint="default" w:ascii="TimesNewRoman" w:hAnsi="TimesNewRoman" w:eastAsia="方正黑体_GBK" w:cs="TimesNewRoman"/>
          <w:b w:val="0"/>
          <w:bCs/>
          <w:sz w:val="32"/>
          <w:szCs w:val="32"/>
        </w:rPr>
        <w:t>年部门预算表</w:t>
      </w:r>
    </w:p>
    <w:p w14:paraId="7C92EB50">
      <w:pPr>
        <w:pStyle w:val="3"/>
        <w:keepNext w:val="0"/>
        <w:keepLines w:val="0"/>
        <w:pageBreakBefore w:val="0"/>
        <w:kinsoku/>
        <w:overflowPunct/>
        <w:topLinePunct w:val="0"/>
        <w:autoSpaceDE/>
        <w:autoSpaceDN/>
        <w:bidi w:val="0"/>
        <w:adjustRightInd w:val="0"/>
        <w:snapToGrid w:val="0"/>
        <w:spacing w:line="560" w:lineRule="exact"/>
        <w:ind w:firstLine="640" w:firstLineChars="200"/>
        <w:outlineLvl w:val="0"/>
        <w:rPr>
          <w:rFonts w:hint="default" w:ascii="TimesNewRoman" w:hAnsi="TimesNewRoman" w:eastAsia="仿宋_GB2312" w:cs="TimesNewRoman"/>
          <w:bCs/>
          <w:sz w:val="32"/>
          <w:szCs w:val="32"/>
        </w:rPr>
      </w:pPr>
      <w:r>
        <w:rPr>
          <w:rFonts w:hint="default" w:ascii="TimesNewRoman" w:hAnsi="TimesNewRoman" w:eastAsia="仿宋_GB2312" w:cs="TimesNewRoman"/>
          <w:bCs/>
          <w:sz w:val="32"/>
          <w:szCs w:val="32"/>
        </w:rPr>
        <w:t>1.</w:t>
      </w:r>
      <w:r>
        <w:rPr>
          <w:rFonts w:hint="eastAsia" w:ascii="TimesNewRoman" w:hAnsi="TimesNewRoman" w:eastAsia="仿宋_GB2312" w:cs="TimesNewRoman"/>
          <w:bCs/>
          <w:sz w:val="32"/>
          <w:szCs w:val="32"/>
          <w:lang w:eastAsia="zh-CN"/>
        </w:rPr>
        <w:t>淮北市相山区数据资源管理局2026</w:t>
      </w:r>
      <w:r>
        <w:rPr>
          <w:rFonts w:hint="default" w:ascii="TimesNewRoman" w:hAnsi="TimesNewRoman" w:eastAsia="仿宋_GB2312" w:cs="TimesNewRoman"/>
          <w:bCs/>
          <w:sz w:val="32"/>
          <w:szCs w:val="32"/>
        </w:rPr>
        <w:t>年收支总表</w:t>
      </w:r>
    </w:p>
    <w:p w14:paraId="0A1AB119">
      <w:pPr>
        <w:pStyle w:val="3"/>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eastAsia="仿宋_GB2312" w:cs="TimesNewRoman"/>
          <w:bCs/>
          <w:sz w:val="32"/>
          <w:szCs w:val="32"/>
        </w:rPr>
      </w:pPr>
      <w:r>
        <w:rPr>
          <w:rFonts w:hint="default" w:ascii="TimesNewRoman" w:hAnsi="TimesNewRoman" w:eastAsia="仿宋_GB2312" w:cs="TimesNewRoman"/>
          <w:bCs/>
          <w:sz w:val="32"/>
          <w:szCs w:val="32"/>
        </w:rPr>
        <w:t>2.</w:t>
      </w:r>
      <w:r>
        <w:rPr>
          <w:rFonts w:hint="eastAsia" w:ascii="TimesNewRoman" w:hAnsi="TimesNewRoman" w:eastAsia="仿宋_GB2312" w:cs="TimesNewRoman"/>
          <w:bCs/>
          <w:sz w:val="32"/>
          <w:szCs w:val="32"/>
          <w:lang w:eastAsia="zh-CN"/>
        </w:rPr>
        <w:t>淮北市相山区数据资源管理局</w:t>
      </w:r>
      <w:r>
        <w:rPr>
          <w:rFonts w:hint="eastAsia" w:ascii="TimesNewRoman" w:hAnsi="TimesNewRoman" w:eastAsia="仿宋_GB2312" w:cs="TimesNewRoman"/>
          <w:bCs/>
          <w:sz w:val="32"/>
          <w:szCs w:val="32"/>
          <w:lang w:val="en" w:eastAsia="zh-CN"/>
        </w:rPr>
        <w:t>2026</w:t>
      </w:r>
      <w:r>
        <w:rPr>
          <w:rFonts w:hint="default" w:ascii="TimesNewRoman" w:hAnsi="TimesNewRoman" w:eastAsia="仿宋_GB2312" w:cs="TimesNewRoman"/>
          <w:bCs/>
          <w:sz w:val="32"/>
          <w:szCs w:val="32"/>
        </w:rPr>
        <w:t>年收入总表</w:t>
      </w:r>
    </w:p>
    <w:p w14:paraId="3F1D07B8">
      <w:pPr>
        <w:pStyle w:val="3"/>
        <w:keepNext w:val="0"/>
        <w:keepLines w:val="0"/>
        <w:pageBreakBefore w:val="0"/>
        <w:kinsoku/>
        <w:overflowPunct/>
        <w:topLinePunct w:val="0"/>
        <w:autoSpaceDE/>
        <w:autoSpaceDN/>
        <w:bidi w:val="0"/>
        <w:adjustRightInd w:val="0"/>
        <w:snapToGrid w:val="0"/>
        <w:spacing w:line="560" w:lineRule="exact"/>
        <w:ind w:firstLine="640" w:firstLineChars="200"/>
        <w:outlineLvl w:val="0"/>
        <w:rPr>
          <w:rFonts w:hint="default" w:ascii="TimesNewRoman" w:hAnsi="TimesNewRoman" w:eastAsia="仿宋_GB2312" w:cs="TimesNewRoman"/>
          <w:bCs/>
          <w:sz w:val="32"/>
          <w:szCs w:val="32"/>
        </w:rPr>
      </w:pPr>
      <w:r>
        <w:rPr>
          <w:rFonts w:hint="default" w:ascii="TimesNewRoman" w:hAnsi="TimesNewRoman" w:eastAsia="仿宋_GB2312" w:cs="TimesNewRoman"/>
          <w:bCs/>
          <w:sz w:val="32"/>
          <w:szCs w:val="32"/>
        </w:rPr>
        <w:t>3.</w:t>
      </w:r>
      <w:r>
        <w:rPr>
          <w:rFonts w:hint="eastAsia" w:ascii="TimesNewRoman" w:hAnsi="TimesNewRoman" w:eastAsia="仿宋_GB2312" w:cs="TimesNewRoman"/>
          <w:bCs/>
          <w:sz w:val="32"/>
          <w:szCs w:val="32"/>
          <w:lang w:eastAsia="zh-CN"/>
        </w:rPr>
        <w:t>淮北市相山区数据资源管理局</w:t>
      </w:r>
      <w:r>
        <w:rPr>
          <w:rFonts w:hint="eastAsia" w:ascii="TimesNewRoman" w:hAnsi="TimesNewRoman" w:eastAsia="仿宋_GB2312" w:cs="TimesNewRoman"/>
          <w:bCs/>
          <w:sz w:val="32"/>
          <w:szCs w:val="32"/>
          <w:lang w:val="en" w:eastAsia="zh-CN"/>
        </w:rPr>
        <w:t>2026</w:t>
      </w:r>
      <w:r>
        <w:rPr>
          <w:rFonts w:hint="default" w:ascii="TimesNewRoman" w:hAnsi="TimesNewRoman" w:eastAsia="仿宋_GB2312" w:cs="TimesNewRoman"/>
          <w:bCs/>
          <w:sz w:val="32"/>
          <w:szCs w:val="32"/>
        </w:rPr>
        <w:t>年支出总表</w:t>
      </w:r>
    </w:p>
    <w:p w14:paraId="5A97D560">
      <w:pPr>
        <w:pStyle w:val="3"/>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eastAsia="仿宋_GB2312" w:cs="TimesNewRoman"/>
          <w:bCs/>
          <w:sz w:val="32"/>
          <w:szCs w:val="32"/>
        </w:rPr>
      </w:pPr>
      <w:r>
        <w:rPr>
          <w:rFonts w:hint="default" w:ascii="TimesNewRoman" w:hAnsi="TimesNewRoman" w:eastAsia="仿宋_GB2312" w:cs="TimesNewRoman"/>
          <w:bCs/>
          <w:sz w:val="32"/>
          <w:szCs w:val="32"/>
        </w:rPr>
        <w:t>4.</w:t>
      </w:r>
      <w:r>
        <w:rPr>
          <w:rFonts w:hint="eastAsia" w:ascii="TimesNewRoman" w:hAnsi="TimesNewRoman" w:eastAsia="仿宋_GB2312" w:cs="TimesNewRoman"/>
          <w:bCs/>
          <w:sz w:val="32"/>
          <w:szCs w:val="32"/>
          <w:lang w:eastAsia="zh-CN"/>
        </w:rPr>
        <w:t>淮北市相山区数据资源管理局</w:t>
      </w:r>
      <w:r>
        <w:rPr>
          <w:rFonts w:hint="eastAsia" w:ascii="TimesNewRoman" w:hAnsi="TimesNewRoman" w:eastAsia="仿宋_GB2312" w:cs="TimesNewRoman"/>
          <w:bCs/>
          <w:sz w:val="32"/>
          <w:szCs w:val="32"/>
          <w:lang w:val="en" w:eastAsia="zh-CN"/>
        </w:rPr>
        <w:t>2026</w:t>
      </w:r>
      <w:r>
        <w:rPr>
          <w:rFonts w:hint="default" w:ascii="TimesNewRoman" w:hAnsi="TimesNewRoman" w:eastAsia="仿宋_GB2312" w:cs="TimesNewRoman"/>
          <w:bCs/>
          <w:sz w:val="32"/>
          <w:szCs w:val="32"/>
        </w:rPr>
        <w:t>年财政拨款收支总表</w:t>
      </w:r>
    </w:p>
    <w:p w14:paraId="72842202">
      <w:pPr>
        <w:pStyle w:val="3"/>
        <w:keepNext w:val="0"/>
        <w:keepLines w:val="0"/>
        <w:pageBreakBefore w:val="0"/>
        <w:kinsoku/>
        <w:overflowPunct/>
        <w:topLinePunct w:val="0"/>
        <w:autoSpaceDE/>
        <w:autoSpaceDN/>
        <w:bidi w:val="0"/>
        <w:adjustRightInd w:val="0"/>
        <w:snapToGrid w:val="0"/>
        <w:spacing w:line="560" w:lineRule="exact"/>
        <w:ind w:firstLine="640" w:firstLineChars="200"/>
        <w:outlineLvl w:val="0"/>
        <w:rPr>
          <w:rFonts w:hint="default" w:ascii="TimesNewRoman" w:hAnsi="TimesNewRoman" w:eastAsia="仿宋_GB2312" w:cs="TimesNewRoman"/>
          <w:bCs/>
          <w:sz w:val="32"/>
          <w:szCs w:val="32"/>
        </w:rPr>
      </w:pPr>
      <w:r>
        <w:rPr>
          <w:rFonts w:hint="default" w:ascii="TimesNewRoman" w:hAnsi="TimesNewRoman" w:eastAsia="仿宋_GB2312" w:cs="TimesNewRoman"/>
          <w:bCs/>
          <w:sz w:val="32"/>
          <w:szCs w:val="32"/>
        </w:rPr>
        <w:t>5.</w:t>
      </w:r>
      <w:r>
        <w:rPr>
          <w:rFonts w:hint="eastAsia" w:ascii="TimesNewRoman" w:hAnsi="TimesNewRoman" w:eastAsia="仿宋_GB2312" w:cs="TimesNewRoman"/>
          <w:bCs/>
          <w:sz w:val="32"/>
          <w:szCs w:val="32"/>
          <w:lang w:eastAsia="zh-CN"/>
        </w:rPr>
        <w:t>淮北市相山区数据资源管理局</w:t>
      </w:r>
      <w:r>
        <w:rPr>
          <w:rFonts w:hint="eastAsia" w:ascii="TimesNewRoman" w:hAnsi="TimesNewRoman" w:eastAsia="仿宋_GB2312" w:cs="TimesNewRoman"/>
          <w:bCs/>
          <w:sz w:val="32"/>
          <w:szCs w:val="32"/>
          <w:lang w:val="en" w:eastAsia="zh-CN"/>
        </w:rPr>
        <w:t>2026</w:t>
      </w:r>
      <w:r>
        <w:rPr>
          <w:rFonts w:hint="default" w:ascii="TimesNewRoman" w:hAnsi="TimesNewRoman" w:eastAsia="仿宋_GB2312" w:cs="TimesNewRoman"/>
          <w:bCs/>
          <w:sz w:val="32"/>
          <w:szCs w:val="32"/>
        </w:rPr>
        <w:t>年一般公共预算支出表</w:t>
      </w:r>
    </w:p>
    <w:p w14:paraId="6DD7402B">
      <w:pPr>
        <w:pStyle w:val="3"/>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eastAsia="仿宋_GB2312" w:cs="TimesNewRoman"/>
          <w:bCs/>
          <w:sz w:val="32"/>
          <w:szCs w:val="32"/>
        </w:rPr>
      </w:pPr>
      <w:r>
        <w:rPr>
          <w:rFonts w:hint="default" w:ascii="TimesNewRoman" w:hAnsi="TimesNewRoman" w:eastAsia="仿宋_GB2312" w:cs="TimesNewRoman"/>
          <w:bCs/>
          <w:sz w:val="32"/>
          <w:szCs w:val="32"/>
        </w:rPr>
        <w:t>6.</w:t>
      </w:r>
      <w:r>
        <w:rPr>
          <w:rFonts w:hint="eastAsia" w:ascii="TimesNewRoman" w:hAnsi="TimesNewRoman" w:eastAsia="仿宋_GB2312" w:cs="TimesNewRoman"/>
          <w:bCs/>
          <w:sz w:val="32"/>
          <w:szCs w:val="32"/>
          <w:lang w:eastAsia="zh-CN"/>
        </w:rPr>
        <w:t>淮北市相山区数据资源管理局</w:t>
      </w:r>
      <w:r>
        <w:rPr>
          <w:rFonts w:hint="eastAsia" w:ascii="TimesNewRoman" w:hAnsi="TimesNewRoman" w:eastAsia="仿宋_GB2312" w:cs="TimesNewRoman"/>
          <w:bCs/>
          <w:sz w:val="32"/>
          <w:szCs w:val="32"/>
          <w:lang w:val="en" w:eastAsia="zh-CN"/>
        </w:rPr>
        <w:t>2026</w:t>
      </w:r>
      <w:r>
        <w:rPr>
          <w:rFonts w:hint="default" w:ascii="TimesNewRoman" w:hAnsi="TimesNewRoman" w:eastAsia="仿宋_GB2312" w:cs="TimesNewRoman"/>
          <w:bCs/>
          <w:sz w:val="32"/>
          <w:szCs w:val="32"/>
        </w:rPr>
        <w:t>年一般公共预算基本支出表</w:t>
      </w:r>
    </w:p>
    <w:p w14:paraId="53897893">
      <w:pPr>
        <w:pStyle w:val="3"/>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eastAsia="仿宋_GB2312" w:cs="TimesNewRoman"/>
          <w:bCs/>
          <w:sz w:val="32"/>
          <w:szCs w:val="32"/>
        </w:rPr>
      </w:pPr>
      <w:r>
        <w:rPr>
          <w:rFonts w:hint="default" w:ascii="TimesNewRoman" w:hAnsi="TimesNewRoman" w:eastAsia="仿宋_GB2312" w:cs="TimesNewRoman"/>
          <w:bCs/>
          <w:sz w:val="32"/>
          <w:szCs w:val="32"/>
        </w:rPr>
        <w:t>7.</w:t>
      </w:r>
      <w:r>
        <w:rPr>
          <w:rFonts w:hint="eastAsia" w:ascii="TimesNewRoman" w:hAnsi="TimesNewRoman" w:eastAsia="仿宋_GB2312" w:cs="TimesNewRoman"/>
          <w:bCs/>
          <w:sz w:val="32"/>
          <w:szCs w:val="32"/>
          <w:lang w:eastAsia="zh-CN"/>
        </w:rPr>
        <w:t>淮北市相山区数据资源管理局</w:t>
      </w:r>
      <w:r>
        <w:rPr>
          <w:rFonts w:hint="eastAsia" w:ascii="TimesNewRoman" w:hAnsi="TimesNewRoman" w:eastAsia="仿宋_GB2312" w:cs="TimesNewRoman"/>
          <w:bCs/>
          <w:sz w:val="32"/>
          <w:szCs w:val="32"/>
          <w:lang w:val="en" w:eastAsia="zh-CN"/>
        </w:rPr>
        <w:t>2026</w:t>
      </w:r>
      <w:r>
        <w:rPr>
          <w:rFonts w:hint="default" w:ascii="TimesNewRoman" w:hAnsi="TimesNewRoman" w:eastAsia="仿宋_GB2312" w:cs="TimesNewRoman"/>
          <w:bCs/>
          <w:sz w:val="32"/>
          <w:szCs w:val="32"/>
        </w:rPr>
        <w:t>年政府性基金预算支出表</w:t>
      </w:r>
    </w:p>
    <w:p w14:paraId="64BB253F">
      <w:pPr>
        <w:pStyle w:val="3"/>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eastAsia="仿宋_GB2312" w:cs="TimesNewRoman"/>
          <w:bCs/>
          <w:sz w:val="32"/>
          <w:szCs w:val="32"/>
        </w:rPr>
      </w:pPr>
      <w:r>
        <w:rPr>
          <w:rFonts w:hint="default" w:ascii="TimesNewRoman" w:hAnsi="TimesNewRoman" w:eastAsia="仿宋_GB2312" w:cs="TimesNewRoman"/>
          <w:bCs/>
          <w:sz w:val="32"/>
          <w:szCs w:val="32"/>
        </w:rPr>
        <w:t>8.</w:t>
      </w:r>
      <w:r>
        <w:rPr>
          <w:rFonts w:hint="eastAsia" w:ascii="TimesNewRoman" w:hAnsi="TimesNewRoman" w:eastAsia="仿宋_GB2312" w:cs="TimesNewRoman"/>
          <w:bCs/>
          <w:sz w:val="32"/>
          <w:szCs w:val="32"/>
          <w:lang w:eastAsia="zh-CN"/>
        </w:rPr>
        <w:t>淮北市相山区数据资源管理局</w:t>
      </w:r>
      <w:r>
        <w:rPr>
          <w:rFonts w:hint="eastAsia" w:ascii="TimesNewRoman" w:hAnsi="TimesNewRoman" w:eastAsia="仿宋_GB2312" w:cs="TimesNewRoman"/>
          <w:bCs/>
          <w:sz w:val="32"/>
          <w:szCs w:val="32"/>
          <w:lang w:val="en" w:eastAsia="zh-CN"/>
        </w:rPr>
        <w:t>2026</w:t>
      </w:r>
      <w:r>
        <w:rPr>
          <w:rFonts w:hint="default" w:ascii="TimesNewRoman" w:hAnsi="TimesNewRoman" w:eastAsia="仿宋_GB2312" w:cs="TimesNewRoman"/>
          <w:bCs/>
          <w:sz w:val="32"/>
          <w:szCs w:val="32"/>
        </w:rPr>
        <w:t>年国有资本经营预算支出表</w:t>
      </w:r>
    </w:p>
    <w:p w14:paraId="64E88AC9">
      <w:pPr>
        <w:pStyle w:val="3"/>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eastAsia="仿宋_GB2312" w:cs="TimesNewRoman"/>
          <w:bCs/>
          <w:sz w:val="32"/>
          <w:szCs w:val="32"/>
        </w:rPr>
      </w:pPr>
      <w:r>
        <w:rPr>
          <w:rFonts w:hint="default" w:ascii="TimesNewRoman" w:hAnsi="TimesNewRoman" w:eastAsia="仿宋_GB2312" w:cs="TimesNewRoman"/>
          <w:bCs/>
          <w:sz w:val="32"/>
          <w:szCs w:val="32"/>
        </w:rPr>
        <w:t>9.</w:t>
      </w:r>
      <w:r>
        <w:rPr>
          <w:rFonts w:hint="eastAsia" w:ascii="TimesNewRoman" w:hAnsi="TimesNewRoman" w:eastAsia="仿宋_GB2312" w:cs="TimesNewRoman"/>
          <w:bCs/>
          <w:sz w:val="32"/>
          <w:szCs w:val="32"/>
          <w:lang w:eastAsia="zh-CN"/>
        </w:rPr>
        <w:t>淮北市相山区数据资源管理局</w:t>
      </w:r>
      <w:r>
        <w:rPr>
          <w:rFonts w:hint="eastAsia" w:ascii="TimesNewRoman" w:hAnsi="TimesNewRoman" w:eastAsia="仿宋_GB2312" w:cs="TimesNewRoman"/>
          <w:bCs/>
          <w:sz w:val="32"/>
          <w:szCs w:val="32"/>
          <w:lang w:val="en" w:eastAsia="zh-CN"/>
        </w:rPr>
        <w:t>2026</w:t>
      </w:r>
      <w:r>
        <w:rPr>
          <w:rFonts w:hint="default" w:ascii="TimesNewRoman" w:hAnsi="TimesNewRoman" w:eastAsia="仿宋_GB2312" w:cs="TimesNewRoman"/>
          <w:bCs/>
          <w:sz w:val="32"/>
          <w:szCs w:val="32"/>
        </w:rPr>
        <w:t>年项目支出表</w:t>
      </w:r>
    </w:p>
    <w:p w14:paraId="1BEC58E2">
      <w:pPr>
        <w:pStyle w:val="3"/>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eastAsia="仿宋_GB2312" w:cs="TimesNewRoman"/>
          <w:bCs/>
          <w:sz w:val="32"/>
          <w:szCs w:val="32"/>
        </w:rPr>
      </w:pPr>
      <w:r>
        <w:rPr>
          <w:rFonts w:hint="default" w:ascii="TimesNewRoman" w:hAnsi="TimesNewRoman" w:eastAsia="仿宋_GB2312" w:cs="TimesNewRoman"/>
          <w:bCs/>
          <w:sz w:val="32"/>
          <w:szCs w:val="32"/>
        </w:rPr>
        <w:t>10.</w:t>
      </w:r>
      <w:r>
        <w:rPr>
          <w:rFonts w:hint="eastAsia" w:ascii="TimesNewRoman" w:hAnsi="TimesNewRoman" w:eastAsia="仿宋_GB2312" w:cs="TimesNewRoman"/>
          <w:bCs/>
          <w:sz w:val="32"/>
          <w:szCs w:val="32"/>
          <w:lang w:eastAsia="zh-CN"/>
        </w:rPr>
        <w:t>淮北市相山区数据资源管理局</w:t>
      </w:r>
      <w:r>
        <w:rPr>
          <w:rFonts w:hint="eastAsia" w:ascii="TimesNewRoman" w:hAnsi="TimesNewRoman" w:eastAsia="仿宋_GB2312" w:cs="TimesNewRoman"/>
          <w:bCs/>
          <w:sz w:val="32"/>
          <w:szCs w:val="32"/>
          <w:lang w:val="en" w:eastAsia="zh-CN"/>
        </w:rPr>
        <w:t>2026</w:t>
      </w:r>
      <w:r>
        <w:rPr>
          <w:rFonts w:hint="default" w:ascii="TimesNewRoman" w:hAnsi="TimesNewRoman" w:eastAsia="仿宋_GB2312" w:cs="TimesNewRoman"/>
          <w:bCs/>
          <w:sz w:val="32"/>
          <w:szCs w:val="32"/>
        </w:rPr>
        <w:t>年政府采购支出表</w:t>
      </w:r>
    </w:p>
    <w:p w14:paraId="1FD0F398">
      <w:pPr>
        <w:pStyle w:val="3"/>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eastAsia="仿宋_GB2312" w:cs="TimesNewRoman"/>
          <w:bCs/>
          <w:sz w:val="32"/>
          <w:szCs w:val="32"/>
        </w:rPr>
      </w:pPr>
      <w:r>
        <w:rPr>
          <w:rFonts w:hint="default" w:ascii="TimesNewRoman" w:hAnsi="TimesNewRoman" w:eastAsia="仿宋_GB2312" w:cs="TimesNewRoman"/>
          <w:bCs/>
          <w:sz w:val="32"/>
          <w:szCs w:val="32"/>
        </w:rPr>
        <w:t>11.</w:t>
      </w:r>
      <w:r>
        <w:rPr>
          <w:rFonts w:hint="eastAsia" w:ascii="TimesNewRoman" w:hAnsi="TimesNewRoman" w:eastAsia="仿宋_GB2312" w:cs="TimesNewRoman"/>
          <w:bCs/>
          <w:sz w:val="32"/>
          <w:szCs w:val="32"/>
          <w:lang w:eastAsia="zh-CN"/>
        </w:rPr>
        <w:t>淮北市相山区数据资源管理局</w:t>
      </w:r>
      <w:r>
        <w:rPr>
          <w:rFonts w:hint="eastAsia" w:ascii="TimesNewRoman" w:hAnsi="TimesNewRoman" w:eastAsia="仿宋_GB2312" w:cs="TimesNewRoman"/>
          <w:bCs/>
          <w:sz w:val="32"/>
          <w:szCs w:val="32"/>
          <w:lang w:val="en" w:eastAsia="zh-CN"/>
        </w:rPr>
        <w:t>2026</w:t>
      </w:r>
      <w:r>
        <w:rPr>
          <w:rFonts w:hint="default" w:ascii="TimesNewRoman" w:hAnsi="TimesNewRoman" w:eastAsia="仿宋_GB2312" w:cs="TimesNewRoman"/>
          <w:bCs/>
          <w:sz w:val="32"/>
          <w:szCs w:val="32"/>
        </w:rPr>
        <w:t>年政府购买服务支出表</w:t>
      </w:r>
    </w:p>
    <w:p w14:paraId="4C31BFA9">
      <w:pPr>
        <w:pStyle w:val="3"/>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eastAsia="仿宋_GB2312" w:cs="TimesNewRoman"/>
          <w:bCs/>
          <w:sz w:val="32"/>
          <w:szCs w:val="32"/>
          <w:lang w:val="en"/>
        </w:rPr>
      </w:pPr>
      <w:r>
        <w:rPr>
          <w:rFonts w:hint="default" w:ascii="TimesNewRoman" w:hAnsi="TimesNewRoman" w:eastAsia="仿宋_GB2312" w:cs="TimesNewRoman"/>
          <w:bCs/>
          <w:sz w:val="32"/>
          <w:szCs w:val="32"/>
          <w:lang w:val="en"/>
        </w:rPr>
        <w:t>12.</w:t>
      </w:r>
      <w:r>
        <w:rPr>
          <w:rFonts w:hint="eastAsia" w:ascii="TimesNewRoman" w:hAnsi="TimesNewRoman" w:eastAsia="仿宋_GB2312" w:cs="TimesNewRoman"/>
          <w:bCs/>
          <w:sz w:val="32"/>
          <w:szCs w:val="32"/>
          <w:lang w:val="en" w:eastAsia="zh-CN"/>
        </w:rPr>
        <w:t>淮北市相山区数据资源管理局2026</w:t>
      </w:r>
      <w:r>
        <w:rPr>
          <w:rFonts w:hint="default" w:ascii="TimesNewRoman" w:hAnsi="TimesNewRoman" w:eastAsia="仿宋_GB2312" w:cs="TimesNewRoman"/>
          <w:bCs/>
          <w:sz w:val="32"/>
          <w:szCs w:val="32"/>
          <w:lang w:val="en"/>
        </w:rPr>
        <w:t>年通用资产配置支出表</w:t>
      </w:r>
    </w:p>
    <w:p w14:paraId="7D7094C9">
      <w:pPr>
        <w:pStyle w:val="3"/>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eastAsia="方正黑体_GBK" w:cs="TimesNewRoman"/>
          <w:b w:val="0"/>
          <w:bCs/>
          <w:sz w:val="32"/>
          <w:szCs w:val="32"/>
        </w:rPr>
      </w:pPr>
      <w:r>
        <w:rPr>
          <w:rFonts w:hint="default" w:ascii="TimesNewRoman" w:hAnsi="TimesNewRoman" w:eastAsia="方正黑体_GBK" w:cs="TimesNewRoman"/>
          <w:b w:val="0"/>
          <w:bCs/>
          <w:sz w:val="32"/>
          <w:szCs w:val="32"/>
        </w:rPr>
        <w:t xml:space="preserve">第三部分 </w:t>
      </w:r>
      <w:r>
        <w:rPr>
          <w:rFonts w:hint="eastAsia" w:ascii="TimesNewRoman" w:hAnsi="TimesNewRoman" w:eastAsia="方正黑体_GBK" w:cs="TimesNewRoman"/>
          <w:b w:val="0"/>
          <w:bCs/>
          <w:sz w:val="32"/>
          <w:szCs w:val="32"/>
          <w:lang w:val="en" w:eastAsia="zh-CN"/>
        </w:rPr>
        <w:t>2026</w:t>
      </w:r>
      <w:r>
        <w:rPr>
          <w:rFonts w:hint="default" w:ascii="TimesNewRoman" w:hAnsi="TimesNewRoman" w:eastAsia="方正黑体_GBK" w:cs="TimesNewRoman"/>
          <w:b w:val="0"/>
          <w:bCs/>
          <w:sz w:val="32"/>
          <w:szCs w:val="32"/>
        </w:rPr>
        <w:t>年部门预算情况说明</w:t>
      </w:r>
    </w:p>
    <w:p w14:paraId="50DAEF30">
      <w:pPr>
        <w:pStyle w:val="3"/>
        <w:keepNext w:val="0"/>
        <w:keepLines w:val="0"/>
        <w:pageBreakBefore w:val="0"/>
        <w:kinsoku/>
        <w:overflowPunct/>
        <w:topLinePunct w:val="0"/>
        <w:autoSpaceDE/>
        <w:autoSpaceDN/>
        <w:bidi w:val="0"/>
        <w:adjustRightInd w:val="0"/>
        <w:snapToGrid w:val="0"/>
        <w:spacing w:line="560" w:lineRule="exact"/>
        <w:ind w:firstLine="640" w:firstLineChars="200"/>
        <w:outlineLvl w:val="0"/>
        <w:rPr>
          <w:rFonts w:hint="default" w:ascii="TimesNewRoman" w:hAnsi="TimesNewRoman" w:eastAsia="仿宋_GB2312" w:cs="TimesNewRoman"/>
          <w:bCs/>
          <w:sz w:val="32"/>
          <w:szCs w:val="32"/>
        </w:rPr>
      </w:pPr>
      <w:r>
        <w:rPr>
          <w:rFonts w:hint="default" w:ascii="TimesNewRoman" w:hAnsi="TimesNewRoman" w:eastAsia="仿宋_GB2312" w:cs="TimesNewRoman"/>
          <w:bCs/>
          <w:sz w:val="32"/>
          <w:szCs w:val="32"/>
        </w:rPr>
        <w:t>1.关于</w:t>
      </w:r>
      <w:r>
        <w:rPr>
          <w:rFonts w:hint="eastAsia" w:ascii="TimesNewRoman" w:hAnsi="TimesNewRoman" w:eastAsia="仿宋_GB2312" w:cs="TimesNewRoman"/>
          <w:bCs/>
          <w:sz w:val="32"/>
          <w:szCs w:val="32"/>
          <w:lang w:val="en" w:eastAsia="zh-CN"/>
        </w:rPr>
        <w:t>2026</w:t>
      </w:r>
      <w:r>
        <w:rPr>
          <w:rFonts w:hint="default" w:ascii="TimesNewRoman" w:hAnsi="TimesNewRoman" w:eastAsia="仿宋_GB2312" w:cs="TimesNewRoman"/>
          <w:bCs/>
          <w:sz w:val="32"/>
          <w:szCs w:val="32"/>
        </w:rPr>
        <w:t>年收支总表的说明</w:t>
      </w:r>
    </w:p>
    <w:p w14:paraId="75C46349">
      <w:pPr>
        <w:pStyle w:val="3"/>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eastAsia="仿宋_GB2312" w:cs="TimesNewRoman"/>
          <w:bCs/>
          <w:sz w:val="32"/>
          <w:szCs w:val="32"/>
        </w:rPr>
      </w:pPr>
      <w:r>
        <w:rPr>
          <w:rFonts w:hint="default" w:ascii="TimesNewRoman" w:hAnsi="TimesNewRoman" w:eastAsia="仿宋_GB2312" w:cs="TimesNewRoman"/>
          <w:bCs/>
          <w:sz w:val="32"/>
          <w:szCs w:val="32"/>
        </w:rPr>
        <w:t>2.关于</w:t>
      </w:r>
      <w:r>
        <w:rPr>
          <w:rFonts w:hint="eastAsia" w:ascii="TimesNewRoman" w:hAnsi="TimesNewRoman" w:eastAsia="仿宋_GB2312" w:cs="TimesNewRoman"/>
          <w:bCs/>
          <w:sz w:val="32"/>
          <w:szCs w:val="32"/>
          <w:lang w:val="en" w:eastAsia="zh-CN"/>
        </w:rPr>
        <w:t>2026</w:t>
      </w:r>
      <w:r>
        <w:rPr>
          <w:rFonts w:hint="default" w:ascii="TimesNewRoman" w:hAnsi="TimesNewRoman" w:eastAsia="仿宋_GB2312" w:cs="TimesNewRoman"/>
          <w:bCs/>
          <w:sz w:val="32"/>
          <w:szCs w:val="32"/>
        </w:rPr>
        <w:t>年收入总表的说明</w:t>
      </w:r>
    </w:p>
    <w:p w14:paraId="7BDDD186">
      <w:pPr>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cs="TimesNewRoman"/>
          <w:bCs/>
          <w:kern w:val="0"/>
          <w:szCs w:val="32"/>
        </w:rPr>
      </w:pPr>
      <w:r>
        <w:rPr>
          <w:rFonts w:hint="default" w:ascii="TimesNewRoman" w:hAnsi="TimesNewRoman" w:cs="TimesNewRoman"/>
          <w:bCs/>
          <w:kern w:val="0"/>
          <w:szCs w:val="32"/>
        </w:rPr>
        <w:t>3.关于</w:t>
      </w:r>
      <w:r>
        <w:rPr>
          <w:rFonts w:hint="eastAsia" w:ascii="TimesNewRoman" w:hAnsi="TimesNewRoman" w:cs="TimesNewRoman"/>
          <w:bCs/>
          <w:kern w:val="0"/>
          <w:szCs w:val="32"/>
          <w:lang w:val="en" w:eastAsia="zh-CN"/>
        </w:rPr>
        <w:t>2026</w:t>
      </w:r>
      <w:r>
        <w:rPr>
          <w:rFonts w:hint="default" w:ascii="TimesNewRoman" w:hAnsi="TimesNewRoman" w:cs="TimesNewRoman"/>
          <w:bCs/>
          <w:kern w:val="0"/>
          <w:szCs w:val="32"/>
        </w:rPr>
        <w:t>年支出总表的说明</w:t>
      </w:r>
    </w:p>
    <w:p w14:paraId="02D05A23">
      <w:pPr>
        <w:pStyle w:val="3"/>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eastAsia="仿宋_GB2312" w:cs="TimesNewRoman"/>
          <w:bCs/>
          <w:sz w:val="32"/>
          <w:szCs w:val="32"/>
        </w:rPr>
      </w:pPr>
      <w:r>
        <w:rPr>
          <w:rFonts w:hint="default" w:ascii="TimesNewRoman" w:hAnsi="TimesNewRoman" w:eastAsia="仿宋_GB2312" w:cs="TimesNewRoman"/>
          <w:bCs/>
          <w:sz w:val="32"/>
          <w:szCs w:val="32"/>
        </w:rPr>
        <w:t>4.关于</w:t>
      </w:r>
      <w:r>
        <w:rPr>
          <w:rFonts w:hint="eastAsia" w:ascii="TimesNewRoman" w:hAnsi="TimesNewRoman" w:eastAsia="仿宋_GB2312" w:cs="TimesNewRoman"/>
          <w:bCs/>
          <w:sz w:val="32"/>
          <w:szCs w:val="32"/>
          <w:lang w:val="en" w:eastAsia="zh-CN"/>
        </w:rPr>
        <w:t>2026</w:t>
      </w:r>
      <w:r>
        <w:rPr>
          <w:rFonts w:hint="default" w:ascii="TimesNewRoman" w:hAnsi="TimesNewRoman" w:eastAsia="仿宋_GB2312" w:cs="TimesNewRoman"/>
          <w:bCs/>
          <w:sz w:val="32"/>
          <w:szCs w:val="32"/>
        </w:rPr>
        <w:t>年财政拨款收支总表的说明</w:t>
      </w:r>
    </w:p>
    <w:p w14:paraId="2666995D">
      <w:pPr>
        <w:pStyle w:val="3"/>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eastAsia="仿宋_GB2312" w:cs="TimesNewRoman"/>
          <w:bCs/>
          <w:sz w:val="32"/>
          <w:szCs w:val="32"/>
        </w:rPr>
      </w:pPr>
      <w:r>
        <w:rPr>
          <w:rFonts w:hint="default" w:ascii="TimesNewRoman" w:hAnsi="TimesNewRoman" w:eastAsia="仿宋_GB2312" w:cs="TimesNewRoman"/>
          <w:bCs/>
          <w:sz w:val="32"/>
          <w:szCs w:val="32"/>
        </w:rPr>
        <w:t>5.关于</w:t>
      </w:r>
      <w:r>
        <w:rPr>
          <w:rFonts w:hint="eastAsia" w:ascii="TimesNewRoman" w:hAnsi="TimesNewRoman" w:eastAsia="仿宋_GB2312" w:cs="TimesNewRoman"/>
          <w:bCs/>
          <w:sz w:val="32"/>
          <w:szCs w:val="32"/>
          <w:lang w:val="en" w:eastAsia="zh-CN"/>
        </w:rPr>
        <w:t>2026</w:t>
      </w:r>
      <w:r>
        <w:rPr>
          <w:rFonts w:hint="default" w:ascii="TimesNewRoman" w:hAnsi="TimesNewRoman" w:eastAsia="仿宋_GB2312" w:cs="TimesNewRoman"/>
          <w:bCs/>
          <w:sz w:val="32"/>
          <w:szCs w:val="32"/>
        </w:rPr>
        <w:t>年一般公共预算支出表的说明</w:t>
      </w:r>
    </w:p>
    <w:p w14:paraId="3489A044">
      <w:pPr>
        <w:pStyle w:val="3"/>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eastAsia="仿宋_GB2312" w:cs="TimesNewRoman"/>
          <w:bCs/>
          <w:sz w:val="32"/>
          <w:szCs w:val="32"/>
        </w:rPr>
      </w:pPr>
      <w:r>
        <w:rPr>
          <w:rFonts w:hint="default" w:ascii="TimesNewRoman" w:hAnsi="TimesNewRoman" w:eastAsia="仿宋_GB2312" w:cs="TimesNewRoman"/>
          <w:bCs/>
          <w:sz w:val="32"/>
          <w:szCs w:val="32"/>
        </w:rPr>
        <w:t>6.关于</w:t>
      </w:r>
      <w:r>
        <w:rPr>
          <w:rFonts w:hint="eastAsia" w:ascii="TimesNewRoman" w:hAnsi="TimesNewRoman" w:eastAsia="仿宋_GB2312" w:cs="TimesNewRoman"/>
          <w:bCs/>
          <w:sz w:val="32"/>
          <w:szCs w:val="32"/>
          <w:lang w:val="en" w:eastAsia="zh-CN"/>
        </w:rPr>
        <w:t>2026</w:t>
      </w:r>
      <w:r>
        <w:rPr>
          <w:rFonts w:hint="default" w:ascii="TimesNewRoman" w:hAnsi="TimesNewRoman" w:eastAsia="仿宋_GB2312" w:cs="TimesNewRoman"/>
          <w:bCs/>
          <w:sz w:val="32"/>
          <w:szCs w:val="32"/>
        </w:rPr>
        <w:t>年一般公共预算基本支出表的说明</w:t>
      </w:r>
    </w:p>
    <w:p w14:paraId="47058806">
      <w:pPr>
        <w:pStyle w:val="3"/>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eastAsia="仿宋_GB2312" w:cs="TimesNewRoman"/>
          <w:bCs/>
          <w:sz w:val="32"/>
          <w:szCs w:val="32"/>
        </w:rPr>
      </w:pPr>
      <w:r>
        <w:rPr>
          <w:rFonts w:hint="default" w:ascii="TimesNewRoman" w:hAnsi="TimesNewRoman" w:eastAsia="仿宋_GB2312" w:cs="TimesNewRoman"/>
          <w:bCs/>
          <w:sz w:val="32"/>
          <w:szCs w:val="32"/>
        </w:rPr>
        <w:t>7.关于</w:t>
      </w:r>
      <w:r>
        <w:rPr>
          <w:rFonts w:hint="eastAsia" w:ascii="TimesNewRoman" w:hAnsi="TimesNewRoman" w:eastAsia="仿宋_GB2312" w:cs="TimesNewRoman"/>
          <w:bCs/>
          <w:sz w:val="32"/>
          <w:szCs w:val="32"/>
          <w:lang w:val="en" w:eastAsia="zh-CN"/>
        </w:rPr>
        <w:t>2026</w:t>
      </w:r>
      <w:r>
        <w:rPr>
          <w:rFonts w:hint="default" w:ascii="TimesNewRoman" w:hAnsi="TimesNewRoman" w:eastAsia="仿宋_GB2312" w:cs="TimesNewRoman"/>
          <w:bCs/>
          <w:sz w:val="32"/>
          <w:szCs w:val="32"/>
        </w:rPr>
        <w:t>年政府性基金预算支出表的说明</w:t>
      </w:r>
    </w:p>
    <w:p w14:paraId="099A10B4">
      <w:pPr>
        <w:pStyle w:val="3"/>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eastAsia="仿宋_GB2312" w:cs="TimesNewRoman"/>
          <w:bCs/>
          <w:sz w:val="32"/>
          <w:szCs w:val="32"/>
        </w:rPr>
      </w:pPr>
      <w:r>
        <w:rPr>
          <w:rFonts w:hint="default" w:ascii="TimesNewRoman" w:hAnsi="TimesNewRoman" w:eastAsia="仿宋_GB2312" w:cs="TimesNewRoman"/>
          <w:bCs/>
          <w:sz w:val="32"/>
          <w:szCs w:val="32"/>
        </w:rPr>
        <w:t>8.关于</w:t>
      </w:r>
      <w:r>
        <w:rPr>
          <w:rFonts w:hint="eastAsia" w:ascii="TimesNewRoman" w:hAnsi="TimesNewRoman" w:eastAsia="仿宋_GB2312" w:cs="TimesNewRoman"/>
          <w:bCs/>
          <w:sz w:val="32"/>
          <w:szCs w:val="32"/>
          <w:lang w:val="en" w:eastAsia="zh-CN"/>
        </w:rPr>
        <w:t>2026</w:t>
      </w:r>
      <w:r>
        <w:rPr>
          <w:rFonts w:hint="default" w:ascii="TimesNewRoman" w:hAnsi="TimesNewRoman" w:eastAsia="仿宋_GB2312" w:cs="TimesNewRoman"/>
          <w:bCs/>
          <w:sz w:val="32"/>
          <w:szCs w:val="32"/>
        </w:rPr>
        <w:t>年国有资本经营预算支出表的说明</w:t>
      </w:r>
    </w:p>
    <w:p w14:paraId="2B7EE335">
      <w:pPr>
        <w:pStyle w:val="3"/>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eastAsia="仿宋_GB2312" w:cs="TimesNewRoman"/>
          <w:bCs/>
          <w:sz w:val="32"/>
          <w:szCs w:val="32"/>
        </w:rPr>
      </w:pPr>
      <w:r>
        <w:rPr>
          <w:rFonts w:hint="default" w:ascii="TimesNewRoman" w:hAnsi="TimesNewRoman" w:eastAsia="仿宋_GB2312" w:cs="TimesNewRoman"/>
          <w:bCs/>
          <w:sz w:val="32"/>
          <w:szCs w:val="32"/>
        </w:rPr>
        <w:t>9.关于</w:t>
      </w:r>
      <w:r>
        <w:rPr>
          <w:rFonts w:hint="eastAsia" w:ascii="TimesNewRoman" w:hAnsi="TimesNewRoman" w:eastAsia="仿宋_GB2312" w:cs="TimesNewRoman"/>
          <w:bCs/>
          <w:sz w:val="32"/>
          <w:szCs w:val="32"/>
          <w:lang w:val="en" w:eastAsia="zh-CN"/>
        </w:rPr>
        <w:t>2026</w:t>
      </w:r>
      <w:r>
        <w:rPr>
          <w:rFonts w:hint="default" w:ascii="TimesNewRoman" w:hAnsi="TimesNewRoman" w:eastAsia="仿宋_GB2312" w:cs="TimesNewRoman"/>
          <w:bCs/>
          <w:sz w:val="32"/>
          <w:szCs w:val="32"/>
        </w:rPr>
        <w:t>年项目支出表的说明</w:t>
      </w:r>
    </w:p>
    <w:p w14:paraId="7E1250D4">
      <w:pPr>
        <w:pStyle w:val="3"/>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eastAsia="仿宋_GB2312" w:cs="TimesNewRoman"/>
          <w:bCs/>
          <w:sz w:val="32"/>
          <w:szCs w:val="32"/>
        </w:rPr>
      </w:pPr>
      <w:r>
        <w:rPr>
          <w:rFonts w:hint="default" w:ascii="TimesNewRoman" w:hAnsi="TimesNewRoman" w:eastAsia="仿宋_GB2312" w:cs="TimesNewRoman"/>
          <w:bCs/>
          <w:sz w:val="32"/>
          <w:szCs w:val="32"/>
        </w:rPr>
        <w:t>10.关于</w:t>
      </w:r>
      <w:r>
        <w:rPr>
          <w:rFonts w:hint="eastAsia" w:ascii="TimesNewRoman" w:hAnsi="TimesNewRoman" w:eastAsia="仿宋_GB2312" w:cs="TimesNewRoman"/>
          <w:bCs/>
          <w:sz w:val="32"/>
          <w:szCs w:val="32"/>
          <w:lang w:val="en" w:eastAsia="zh-CN"/>
        </w:rPr>
        <w:t>2026</w:t>
      </w:r>
      <w:r>
        <w:rPr>
          <w:rFonts w:hint="default" w:ascii="TimesNewRoman" w:hAnsi="TimesNewRoman" w:eastAsia="仿宋_GB2312" w:cs="TimesNewRoman"/>
          <w:bCs/>
          <w:sz w:val="32"/>
          <w:szCs w:val="32"/>
        </w:rPr>
        <w:t>年政府采购支出表的说明</w:t>
      </w:r>
    </w:p>
    <w:p w14:paraId="22031BF5">
      <w:pPr>
        <w:pStyle w:val="3"/>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eastAsia="仿宋_GB2312" w:cs="TimesNewRoman"/>
          <w:bCs/>
          <w:sz w:val="32"/>
          <w:szCs w:val="32"/>
        </w:rPr>
      </w:pPr>
      <w:r>
        <w:rPr>
          <w:rFonts w:hint="default" w:ascii="TimesNewRoman" w:hAnsi="TimesNewRoman" w:eastAsia="仿宋_GB2312" w:cs="TimesNewRoman"/>
          <w:bCs/>
          <w:sz w:val="32"/>
          <w:szCs w:val="32"/>
        </w:rPr>
        <w:t>11.关于</w:t>
      </w:r>
      <w:r>
        <w:rPr>
          <w:rFonts w:hint="eastAsia" w:ascii="TimesNewRoman" w:hAnsi="TimesNewRoman" w:eastAsia="仿宋_GB2312" w:cs="TimesNewRoman"/>
          <w:bCs/>
          <w:sz w:val="32"/>
          <w:szCs w:val="32"/>
          <w:lang w:val="en" w:eastAsia="zh-CN"/>
        </w:rPr>
        <w:t>2026</w:t>
      </w:r>
      <w:r>
        <w:rPr>
          <w:rFonts w:hint="default" w:ascii="TimesNewRoman" w:hAnsi="TimesNewRoman" w:eastAsia="仿宋_GB2312" w:cs="TimesNewRoman"/>
          <w:bCs/>
          <w:sz w:val="32"/>
          <w:szCs w:val="32"/>
        </w:rPr>
        <w:t>年政府购买服务支出表的说明</w:t>
      </w:r>
    </w:p>
    <w:p w14:paraId="3E551691">
      <w:pPr>
        <w:pStyle w:val="3"/>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eastAsia="仿宋_GB2312" w:cs="TimesNewRoman"/>
          <w:bCs/>
          <w:sz w:val="32"/>
          <w:szCs w:val="32"/>
        </w:rPr>
      </w:pPr>
      <w:r>
        <w:rPr>
          <w:rFonts w:hint="default" w:ascii="TimesNewRoman" w:hAnsi="TimesNewRoman" w:eastAsia="仿宋_GB2312" w:cs="TimesNewRoman"/>
          <w:bCs/>
          <w:sz w:val="32"/>
          <w:szCs w:val="32"/>
        </w:rPr>
        <w:t>12.关于</w:t>
      </w:r>
      <w:r>
        <w:rPr>
          <w:rFonts w:hint="eastAsia" w:ascii="TimesNewRoman" w:hAnsi="TimesNewRoman" w:eastAsia="仿宋_GB2312" w:cs="TimesNewRoman"/>
          <w:bCs/>
          <w:sz w:val="32"/>
          <w:szCs w:val="32"/>
          <w:lang w:eastAsia="zh-CN"/>
        </w:rPr>
        <w:t>2026</w:t>
      </w:r>
      <w:r>
        <w:rPr>
          <w:rFonts w:hint="default" w:ascii="TimesNewRoman" w:hAnsi="TimesNewRoman" w:eastAsia="仿宋_GB2312" w:cs="TimesNewRoman"/>
          <w:bCs/>
          <w:sz w:val="32"/>
          <w:szCs w:val="32"/>
        </w:rPr>
        <w:t>年通用资产配置支出表的说明</w:t>
      </w:r>
    </w:p>
    <w:p w14:paraId="371B7EB3">
      <w:pPr>
        <w:pStyle w:val="3"/>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eastAsia="仿宋_GB2312" w:cs="TimesNewRoman"/>
          <w:bCs/>
          <w:sz w:val="32"/>
          <w:szCs w:val="32"/>
        </w:rPr>
      </w:pPr>
      <w:r>
        <w:rPr>
          <w:rFonts w:hint="default" w:ascii="TimesNewRoman" w:hAnsi="TimesNewRoman" w:eastAsia="仿宋_GB2312" w:cs="TimesNewRoman"/>
          <w:bCs/>
          <w:sz w:val="32"/>
          <w:szCs w:val="32"/>
          <w:lang w:val="en"/>
        </w:rPr>
        <w:t>13.</w:t>
      </w:r>
      <w:r>
        <w:rPr>
          <w:rFonts w:hint="default" w:ascii="TimesNewRoman" w:hAnsi="TimesNewRoman" w:eastAsia="仿宋_GB2312" w:cs="TimesNewRoman"/>
          <w:bCs/>
          <w:sz w:val="32"/>
          <w:szCs w:val="32"/>
        </w:rPr>
        <w:t>其他重要事项情况说明</w:t>
      </w:r>
    </w:p>
    <w:p w14:paraId="172411EC">
      <w:pPr>
        <w:pStyle w:val="3"/>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eastAsia="方正黑体_GBK" w:cs="TimesNewRoman"/>
          <w:b w:val="0"/>
          <w:bCs/>
          <w:sz w:val="32"/>
          <w:szCs w:val="32"/>
        </w:rPr>
      </w:pPr>
      <w:r>
        <w:rPr>
          <w:rFonts w:hint="default" w:ascii="TimesNewRoman" w:hAnsi="TimesNewRoman" w:eastAsia="方正黑体_GBK" w:cs="TimesNewRoman"/>
          <w:b w:val="0"/>
          <w:bCs/>
          <w:sz w:val="32"/>
          <w:szCs w:val="32"/>
        </w:rPr>
        <w:t>第四部分 名词解释</w:t>
      </w:r>
    </w:p>
    <w:p w14:paraId="7CD3BBEE">
      <w:pPr>
        <w:pStyle w:val="3"/>
        <w:keepNext w:val="0"/>
        <w:keepLines w:val="0"/>
        <w:pageBreakBefore w:val="0"/>
        <w:kinsoku/>
        <w:overflowPunct/>
        <w:topLinePunct w:val="0"/>
        <w:autoSpaceDE/>
        <w:autoSpaceDN/>
        <w:bidi w:val="0"/>
        <w:adjustRightInd w:val="0"/>
        <w:snapToGrid w:val="0"/>
        <w:spacing w:line="560" w:lineRule="exact"/>
        <w:ind w:firstLine="643" w:firstLineChars="200"/>
        <w:rPr>
          <w:rFonts w:hint="default" w:ascii="TimesNewRoman" w:hAnsi="TimesNewRoman" w:eastAsia="仿宋_GB2312" w:cs="TimesNewRoman"/>
          <w:b/>
          <w:sz w:val="32"/>
          <w:szCs w:val="32"/>
        </w:rPr>
      </w:pPr>
    </w:p>
    <w:p w14:paraId="4FEC0FE5">
      <w:pPr>
        <w:pStyle w:val="3"/>
        <w:keepNext w:val="0"/>
        <w:keepLines w:val="0"/>
        <w:pageBreakBefore w:val="0"/>
        <w:kinsoku/>
        <w:overflowPunct/>
        <w:topLinePunct w:val="0"/>
        <w:autoSpaceDE/>
        <w:autoSpaceDN/>
        <w:bidi w:val="0"/>
        <w:adjustRightInd w:val="0"/>
        <w:snapToGrid w:val="0"/>
        <w:spacing w:line="560" w:lineRule="exact"/>
        <w:ind w:firstLine="643" w:firstLineChars="200"/>
        <w:rPr>
          <w:rFonts w:hint="default" w:ascii="TimesNewRoman" w:hAnsi="TimesNewRoman" w:eastAsia="仿宋_GB2312" w:cs="TimesNewRoman"/>
          <w:b/>
          <w:sz w:val="32"/>
          <w:szCs w:val="32"/>
        </w:rPr>
      </w:pPr>
    </w:p>
    <w:p w14:paraId="69871EFF">
      <w:pPr>
        <w:pStyle w:val="3"/>
        <w:keepNext w:val="0"/>
        <w:keepLines w:val="0"/>
        <w:pageBreakBefore w:val="0"/>
        <w:kinsoku/>
        <w:overflowPunct/>
        <w:topLinePunct w:val="0"/>
        <w:autoSpaceDE/>
        <w:autoSpaceDN/>
        <w:bidi w:val="0"/>
        <w:adjustRightInd w:val="0"/>
        <w:snapToGrid w:val="0"/>
        <w:spacing w:line="560" w:lineRule="exact"/>
        <w:ind w:firstLine="643" w:firstLineChars="200"/>
        <w:rPr>
          <w:rFonts w:hint="default" w:ascii="TimesNewRoman" w:hAnsi="TimesNewRoman" w:eastAsia="仿宋_GB2312" w:cs="TimesNewRoman"/>
          <w:b/>
          <w:sz w:val="32"/>
          <w:szCs w:val="32"/>
        </w:rPr>
      </w:pPr>
    </w:p>
    <w:p w14:paraId="299F1D25">
      <w:pPr>
        <w:pStyle w:val="3"/>
        <w:keepNext w:val="0"/>
        <w:keepLines w:val="0"/>
        <w:pageBreakBefore w:val="0"/>
        <w:kinsoku/>
        <w:overflowPunct/>
        <w:topLinePunct w:val="0"/>
        <w:autoSpaceDE/>
        <w:autoSpaceDN/>
        <w:bidi w:val="0"/>
        <w:adjustRightInd w:val="0"/>
        <w:snapToGrid w:val="0"/>
        <w:spacing w:line="560" w:lineRule="exact"/>
        <w:ind w:firstLine="643" w:firstLineChars="200"/>
        <w:rPr>
          <w:rFonts w:hint="default" w:ascii="TimesNewRoman" w:hAnsi="TimesNewRoman" w:eastAsia="仿宋_GB2312" w:cs="TimesNewRoman"/>
          <w:b/>
          <w:sz w:val="32"/>
          <w:szCs w:val="32"/>
        </w:rPr>
      </w:pPr>
    </w:p>
    <w:p w14:paraId="7AE20B95">
      <w:pPr>
        <w:pStyle w:val="3"/>
        <w:keepNext w:val="0"/>
        <w:keepLines w:val="0"/>
        <w:pageBreakBefore w:val="0"/>
        <w:kinsoku/>
        <w:overflowPunct/>
        <w:topLinePunct w:val="0"/>
        <w:autoSpaceDE/>
        <w:autoSpaceDN/>
        <w:bidi w:val="0"/>
        <w:adjustRightInd w:val="0"/>
        <w:snapToGrid w:val="0"/>
        <w:spacing w:line="560" w:lineRule="exact"/>
        <w:ind w:firstLine="643" w:firstLineChars="200"/>
        <w:rPr>
          <w:rFonts w:hint="default" w:ascii="TimesNewRoman" w:hAnsi="TimesNewRoman" w:eastAsia="仿宋_GB2312" w:cs="TimesNewRoman"/>
          <w:b/>
          <w:sz w:val="32"/>
          <w:szCs w:val="32"/>
        </w:rPr>
      </w:pPr>
    </w:p>
    <w:p w14:paraId="77BE2E71">
      <w:pPr>
        <w:pStyle w:val="3"/>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bCs/>
          <w:sz w:val="36"/>
          <w:szCs w:val="36"/>
        </w:rPr>
      </w:pPr>
    </w:p>
    <w:p w14:paraId="1187ABAE">
      <w:pPr>
        <w:pStyle w:val="3"/>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bCs/>
          <w:sz w:val="32"/>
          <w:szCs w:val="32"/>
        </w:rPr>
      </w:pPr>
      <w:r>
        <w:rPr>
          <w:rFonts w:hint="default" w:ascii="TimesNewRoman" w:hAnsi="TimesNewRoman" w:eastAsia="黑体" w:cs="TimesNewRoman"/>
          <w:bCs/>
          <w:sz w:val="36"/>
          <w:szCs w:val="36"/>
        </w:rPr>
        <w:t>第一部分 部门概况</w:t>
      </w:r>
    </w:p>
    <w:p w14:paraId="4648298C">
      <w:pPr>
        <w:pStyle w:val="3"/>
        <w:keepNext w:val="0"/>
        <w:keepLines w:val="0"/>
        <w:pageBreakBefore w:val="0"/>
        <w:kinsoku/>
        <w:overflowPunct/>
        <w:topLinePunct w:val="0"/>
        <w:autoSpaceDE/>
        <w:autoSpaceDN/>
        <w:bidi w:val="0"/>
        <w:adjustRightInd w:val="0"/>
        <w:snapToGrid w:val="0"/>
        <w:spacing w:line="560" w:lineRule="exact"/>
        <w:ind w:firstLine="627" w:firstLineChars="196"/>
        <w:rPr>
          <w:rFonts w:hint="default" w:ascii="TimesNewRoman" w:hAnsi="TimesNewRoman" w:cs="TimesNewRoman"/>
        </w:rPr>
      </w:pPr>
      <w:r>
        <w:rPr>
          <w:rFonts w:hint="default" w:ascii="TimesNewRoman" w:hAnsi="TimesNewRoman" w:eastAsia="黑体" w:cs="TimesNewRoman"/>
          <w:bCs/>
          <w:sz w:val="32"/>
          <w:szCs w:val="32"/>
        </w:rPr>
        <w:t>一、主要职责</w:t>
      </w:r>
    </w:p>
    <w:p w14:paraId="5B54C267">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1.贯彻执行数据资源和政务服务管理工作法律法规规章，拟订全区数据资源和政务服务规章制度、管理办法并组织实施。</w:t>
      </w:r>
    </w:p>
    <w:p w14:paraId="5625938A">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2.负责拟订全区数据资源和政务服务管理标准规范并组织实施。</w:t>
      </w:r>
    </w:p>
    <w:p w14:paraId="2249820B">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3.统筹全区数据资源，推进数据资源管理体系建设，推动经济、社会等公共数据归集，推进数据资源汇聚融合、开放共享和开发利用。</w:t>
      </w:r>
    </w:p>
    <w:p w14:paraId="1C2A4499">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4.统筹指导全区数据资源基础设施规划建设。负责配合市数据资源管理局做好电子政务云平台、电子政务外网等基础设施的建设、维护和管理工作。承担区级政府投资的数据资源、政务信息化项目初审工作。</w:t>
      </w:r>
    </w:p>
    <w:p w14:paraId="3AA51366">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5.负责政务服务体系建设，指导协调全区政务服务工作。指导监督全区各级综合性政务服务大厅的建设和管理。协调推进全区“互联网+政务服务”工作。</w:t>
      </w:r>
    </w:p>
    <w:p w14:paraId="794E181B">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6.完成区委、区政府交办的其他任务。</w:t>
      </w:r>
    </w:p>
    <w:p w14:paraId="30F98371">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7.有关职责分工。</w:t>
      </w:r>
    </w:p>
    <w:p w14:paraId="5D81174B">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（1）与区政府办公室有关职责分工。政务服务的指导协调、组织推进等相关职责由区数据资源管理局承担。政务服务的统筹、监督职责由区政府办公室承担。</w:t>
      </w:r>
    </w:p>
    <w:p w14:paraId="4642E9A3">
      <w:pPr>
        <w:spacing w:beforeLines="0" w:afterLines="0" w:line="560" w:lineRule="atLeast"/>
        <w:ind w:firstLine="600"/>
        <w:jc w:val="both"/>
        <w:rPr>
          <w:rFonts w:hint="default" w:ascii="TimesNewRoman" w:hAnsi="TimesNewRoman" w:eastAsia="仿宋_GB2312" w:cs="TimesNewRoman"/>
          <w:bCs/>
          <w:sz w:val="32"/>
          <w:szCs w:val="32"/>
        </w:rPr>
      </w:pPr>
      <w:r>
        <w:rPr>
          <w:rFonts w:hint="default" w:ascii="FangSong_GB2312" w:hAnsi="FangSong_GB2312" w:eastAsia="FangSong_GB2312"/>
          <w:sz w:val="32"/>
          <w:szCs w:val="24"/>
        </w:rPr>
        <w:t>（2）与区发展和改革委员会有关职责分工。区级政府投资的数据资源、政务信息化项目，由区数据资源管理局初审后，报区发展和改革委员会审批。</w:t>
      </w:r>
    </w:p>
    <w:p w14:paraId="000FD27F">
      <w:pPr>
        <w:pStyle w:val="3"/>
        <w:keepNext w:val="0"/>
        <w:keepLines w:val="0"/>
        <w:pageBreakBefore w:val="0"/>
        <w:widowControl/>
        <w:numPr>
          <w:ilvl w:val="0"/>
          <w:numId w:val="1"/>
        </w:numPr>
        <w:kinsoku/>
        <w:overflowPunct/>
        <w:topLinePunct w:val="0"/>
        <w:autoSpaceDE/>
        <w:autoSpaceDN/>
        <w:bidi w:val="0"/>
        <w:adjustRightInd w:val="0"/>
        <w:snapToGrid w:val="0"/>
        <w:spacing w:line="560" w:lineRule="exact"/>
        <w:ind w:firstLine="627" w:firstLineChars="196"/>
        <w:rPr>
          <w:rFonts w:hint="default" w:ascii="TimesNewRoman" w:hAnsi="TimesNewRoman" w:eastAsia="黑体" w:cs="TimesNewRoman"/>
          <w:bCs/>
          <w:sz w:val="32"/>
          <w:szCs w:val="32"/>
        </w:rPr>
      </w:pPr>
      <w:r>
        <w:rPr>
          <w:rFonts w:hint="default" w:ascii="TimesNewRoman" w:hAnsi="TimesNewRoman" w:eastAsia="黑体" w:cs="TimesNewRoman"/>
          <w:bCs/>
          <w:sz w:val="32"/>
          <w:szCs w:val="32"/>
        </w:rPr>
        <w:t>部门预算构成</w:t>
      </w:r>
    </w:p>
    <w:p w14:paraId="3F17914D">
      <w:pPr>
        <w:pStyle w:val="3"/>
        <w:keepNext w:val="0"/>
        <w:keepLines w:val="0"/>
        <w:pageBreakBefore w:val="0"/>
        <w:kinsoku/>
        <w:overflowPunct/>
        <w:topLinePunct w:val="0"/>
        <w:autoSpaceDE/>
        <w:autoSpaceDN/>
        <w:bidi w:val="0"/>
        <w:adjustRightInd w:val="0"/>
        <w:snapToGrid w:val="0"/>
        <w:spacing w:line="560" w:lineRule="exact"/>
        <w:ind w:firstLine="640" w:firstLineChars="200"/>
        <w:outlineLvl w:val="0"/>
        <w:rPr>
          <w:rFonts w:hint="default" w:ascii="TimesNewRoman" w:hAnsi="TimesNewRoman" w:eastAsia="楷体_GB2312" w:cs="TimesNewRoman"/>
          <w:sz w:val="32"/>
          <w:szCs w:val="32"/>
        </w:rPr>
      </w:pPr>
      <w:r>
        <w:rPr>
          <w:rFonts w:hint="default" w:ascii="TimesNewRoman" w:hAnsi="TimesNewRoman" w:eastAsia="仿宋_GB2312" w:cs="TimesNewRoman"/>
          <w:sz w:val="32"/>
          <w:szCs w:val="32"/>
        </w:rPr>
        <w:t>从预算单位构成看，</w:t>
      </w:r>
      <w:r>
        <w:rPr>
          <w:rFonts w:hint="eastAsia" w:ascii="TimesNewRoman" w:hAnsi="TimesNewRoman" w:eastAsia="仿宋_GB2312" w:cs="TimesNewRoman"/>
          <w:bCs/>
          <w:sz w:val="32"/>
          <w:szCs w:val="32"/>
          <w:lang w:eastAsia="zh-CN"/>
        </w:rPr>
        <w:t>淮北市相山区数据资源管理局</w:t>
      </w:r>
      <w:r>
        <w:rPr>
          <w:rFonts w:hint="eastAsia" w:ascii="TimesNewRoman" w:hAnsi="TimesNewRoman" w:eastAsia="仿宋_GB2312" w:cs="TimesNewRoman"/>
          <w:sz w:val="32"/>
          <w:szCs w:val="32"/>
          <w:lang w:val="en" w:eastAsia="zh-CN"/>
        </w:rPr>
        <w:t>2026</w:t>
      </w:r>
      <w:r>
        <w:rPr>
          <w:rFonts w:hint="default" w:ascii="TimesNewRoman" w:hAnsi="TimesNewRoman" w:eastAsia="仿宋_GB2312" w:cs="TimesNewRoman"/>
          <w:sz w:val="32"/>
          <w:szCs w:val="32"/>
        </w:rPr>
        <w:t>年度部门预算仅包括厅（局）本级预算，无其他下属单位预算。</w:t>
      </w:r>
    </w:p>
    <w:p w14:paraId="4BED4600">
      <w:pPr>
        <w:pStyle w:val="3"/>
        <w:keepNext w:val="0"/>
        <w:keepLines w:val="0"/>
        <w:pageBreakBefore w:val="0"/>
        <w:kinsoku/>
        <w:overflowPunct/>
        <w:topLinePunct w:val="0"/>
        <w:autoSpaceDE/>
        <w:autoSpaceDN/>
        <w:bidi w:val="0"/>
        <w:adjustRightInd w:val="0"/>
        <w:snapToGrid w:val="0"/>
        <w:spacing w:line="560" w:lineRule="exact"/>
        <w:ind w:firstLine="640" w:firstLineChars="200"/>
        <w:outlineLvl w:val="0"/>
        <w:rPr>
          <w:rFonts w:hint="default"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淮北市相山区数据资源管理局</w:t>
      </w:r>
      <w:r>
        <w:rPr>
          <w:rFonts w:hint="eastAsia" w:ascii="TimesNewRoman" w:hAnsi="TimesNewRoman" w:eastAsia="仿宋_GB2312" w:cs="TimesNewRoman"/>
          <w:bCs/>
          <w:sz w:val="32"/>
          <w:szCs w:val="32"/>
          <w:lang w:val="en" w:eastAsia="zh-CN"/>
        </w:rPr>
        <w:t>2026</w:t>
      </w:r>
      <w:r>
        <w:rPr>
          <w:rFonts w:hint="default" w:ascii="TimesNewRoman" w:hAnsi="TimesNewRoman" w:eastAsia="仿宋_GB2312" w:cs="TimesNewRoman"/>
          <w:bCs/>
          <w:sz w:val="32"/>
          <w:szCs w:val="32"/>
        </w:rPr>
        <w:t>年度单位预算仅包括单位本级预算，无其他下属单位预算。</w:t>
      </w:r>
    </w:p>
    <w:p w14:paraId="2D1382AC">
      <w:pPr>
        <w:pStyle w:val="3"/>
        <w:keepNext w:val="0"/>
        <w:keepLines w:val="0"/>
        <w:pageBreakBefore w:val="0"/>
        <w:kinsoku/>
        <w:overflowPunct/>
        <w:topLinePunct w:val="0"/>
        <w:autoSpaceDE/>
        <w:autoSpaceDN/>
        <w:bidi w:val="0"/>
        <w:adjustRightInd w:val="0"/>
        <w:snapToGrid w:val="0"/>
        <w:spacing w:line="560" w:lineRule="exact"/>
        <w:ind w:firstLine="480" w:firstLineChars="150"/>
        <w:outlineLvl w:val="0"/>
        <w:rPr>
          <w:rFonts w:hint="default" w:ascii="TimesNewRoman" w:hAnsi="TimesNewRoman" w:eastAsia="黑体" w:cs="TimesNewRoman"/>
          <w:bCs/>
          <w:sz w:val="32"/>
          <w:szCs w:val="32"/>
        </w:rPr>
      </w:pPr>
      <w:r>
        <w:rPr>
          <w:rFonts w:hint="default" w:ascii="TimesNewRoman" w:hAnsi="TimesNewRoman" w:eastAsia="黑体" w:cs="TimesNewRoman"/>
          <w:bCs/>
          <w:sz w:val="32"/>
          <w:szCs w:val="32"/>
        </w:rPr>
        <w:t>三、</w:t>
      </w:r>
      <w:r>
        <w:rPr>
          <w:rFonts w:hint="eastAsia" w:ascii="TimesNewRoman" w:hAnsi="TimesNewRoman" w:eastAsia="黑体" w:cs="TimesNewRoman"/>
          <w:bCs/>
          <w:sz w:val="32"/>
          <w:szCs w:val="32"/>
          <w:lang w:val="en" w:eastAsia="zh-CN"/>
        </w:rPr>
        <w:t>2026</w:t>
      </w:r>
      <w:r>
        <w:rPr>
          <w:rFonts w:hint="default" w:ascii="TimesNewRoman" w:hAnsi="TimesNewRoman" w:eastAsia="黑体" w:cs="TimesNewRoman"/>
          <w:bCs/>
          <w:sz w:val="32"/>
          <w:szCs w:val="32"/>
        </w:rPr>
        <w:t>年度主要工作任务</w:t>
      </w:r>
    </w:p>
    <w:p w14:paraId="2AEC6AB7">
      <w:pPr>
        <w:pStyle w:val="3"/>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eastAsia="仿宋_GB2312" w:cs="TimesNewRoman"/>
          <w:bCs/>
          <w:sz w:val="32"/>
          <w:szCs w:val="32"/>
        </w:rPr>
      </w:pPr>
      <w:r>
        <w:rPr>
          <w:rFonts w:hint="default" w:ascii="TimesNewRoman" w:hAnsi="TimesNewRoman" w:eastAsia="仿宋_GB2312" w:cs="TimesNewRoman"/>
          <w:bCs/>
          <w:sz w:val="32"/>
          <w:szCs w:val="32"/>
        </w:rPr>
        <w:t>（一）着力在擦亮政务服务品牌上下功夫。一是强化服务意识。加强对窗口人员的培训，提升窗口人员的业务能力和服务意识。二是规范服务行为。严格落实各项规章管理制度，强化规范服务、文明用语等方面的标准和要求。三是提高服务水平。推出更多企业和群众办事“免提交”事项清单，实现政府部门核发的材料免于提交、能够通过数据共享核验的事项免于提交证明材料、能够提供电子证照的免于提交实体证照。</w:t>
      </w:r>
    </w:p>
    <w:p w14:paraId="114C6DE7">
      <w:pPr>
        <w:pStyle w:val="3"/>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eastAsia="仿宋_GB2312" w:cs="TimesNewRoman"/>
          <w:bCs/>
          <w:sz w:val="32"/>
          <w:szCs w:val="32"/>
        </w:rPr>
      </w:pPr>
      <w:r>
        <w:rPr>
          <w:rFonts w:hint="default" w:ascii="TimesNewRoman" w:hAnsi="TimesNewRoman" w:eastAsia="仿宋_GB2312" w:cs="TimesNewRoman"/>
          <w:bCs/>
          <w:sz w:val="32"/>
          <w:szCs w:val="32"/>
        </w:rPr>
        <w:t>（二）着力在强化要素保障上下功夫。一是充实人才队伍。积极引入大数据、计算机类专业人才，提高全区数据资源管理能力和水平；协调各单位派驻业务骨干至高频业务综合窗口，增加综合收件人员，提升综合窗口运行效率。二是拓展政务服务中心办公场地。将政务服务中心两侧门面房纳入中心使用，有效解决群众办事排队拥堵等问题。三是加强智能化大厅综合管理平台升级改造。在原有的综合引导查询系统、排队取号叫号系统、数据化窗口工位系统等基础上进行升级改造，接入安徽省预约取号系统、安徽省“好差评”系统等。</w:t>
      </w:r>
    </w:p>
    <w:p w14:paraId="30CCC475">
      <w:pPr>
        <w:pStyle w:val="3"/>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eastAsia="仿宋_GB2312" w:cs="TimesNewRoman"/>
          <w:bCs/>
          <w:sz w:val="32"/>
          <w:szCs w:val="32"/>
        </w:rPr>
      </w:pPr>
      <w:r>
        <w:rPr>
          <w:rFonts w:hint="default" w:ascii="TimesNewRoman" w:hAnsi="TimesNewRoman" w:eastAsia="仿宋_GB2312" w:cs="TimesNewRoman"/>
          <w:bCs/>
          <w:sz w:val="32"/>
          <w:szCs w:val="32"/>
        </w:rPr>
        <w:t>（三）着力在优化政务服务生态上下功夫。一是推进线下办事“只进一门”。持续深化“两集中、两到位”，加大窗口授权力度，推动事项在大厅集中审批。二是深化线上办事“一网通办”。依托省一体化政务服务平台推广智能审批、AI客服、政策精准推送等应用，持续深化“全省一单”范围和深度，实现政务服务事项标准统一、数据联动、同源管理、动态调整，推动更多政务服务事项“跨省通办”。三是拓展“高效办成一件事”。探索“高效办成一件事”向“高效办成一类事”拓展，开展特定人群、产业链发展等“一类事”集成服务。</w:t>
      </w:r>
    </w:p>
    <w:p w14:paraId="5EA35A18">
      <w:pPr>
        <w:pStyle w:val="3"/>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eastAsia="黑体" w:cs="TimesNewRoman"/>
          <w:bCs/>
          <w:sz w:val="36"/>
          <w:szCs w:val="36"/>
        </w:rPr>
      </w:pPr>
      <w:r>
        <w:rPr>
          <w:rFonts w:hint="default" w:ascii="TimesNewRoman" w:hAnsi="TimesNewRoman" w:eastAsia="仿宋_GB2312" w:cs="TimesNewRoman"/>
          <w:bCs/>
          <w:sz w:val="32"/>
          <w:szCs w:val="32"/>
        </w:rPr>
        <w:t>（四）着力在推进数据产业发展上下功夫。一是统筹推进区级政务信息化项目建设。健全政务信息化建设全流程管理机制，对区直及镇街各单位进行业务指导，推进集约节约建设，提升政务信息化项目建设水平。二是加强数据企业培育认定。全面掌握全区大数据产业基本情况，对具有发展潜力的优质企业，积极培育扶持为规上企业；协调指导省、市大数据企业认定，促进大数据企业集聚和实体经济高质量发展。三是加快推进数据产业发展。统筹数据资源、科技、工信等部门推进数据产业发展，组织本地优势企业参加省级“数据要素×”大赛，推动数据企业申报、典型案例推荐、融资需求登记。</w:t>
      </w:r>
    </w:p>
    <w:p w14:paraId="017175E0">
      <w:pPr>
        <w:pStyle w:val="3"/>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bCs/>
          <w:sz w:val="36"/>
          <w:szCs w:val="36"/>
        </w:rPr>
      </w:pPr>
      <w:r>
        <w:rPr>
          <w:rFonts w:hint="default" w:ascii="TimesNewRoman" w:hAnsi="TimesNewRoman" w:eastAsia="黑体" w:cs="TimesNewRoman"/>
          <w:bCs/>
          <w:sz w:val="36"/>
          <w:szCs w:val="36"/>
        </w:rPr>
        <w:t xml:space="preserve">第二部分 </w:t>
      </w:r>
      <w:r>
        <w:rPr>
          <w:rFonts w:hint="eastAsia" w:ascii="TimesNewRoman" w:hAnsi="TimesNewRoman" w:eastAsia="黑体" w:cs="TimesNewRoman"/>
          <w:bCs/>
          <w:sz w:val="36"/>
          <w:szCs w:val="36"/>
          <w:lang w:val="en" w:eastAsia="zh-CN"/>
        </w:rPr>
        <w:t>2026</w:t>
      </w:r>
      <w:r>
        <w:rPr>
          <w:rFonts w:hint="default" w:ascii="TimesNewRoman" w:hAnsi="TimesNewRoman" w:eastAsia="黑体" w:cs="TimesNewRoman"/>
          <w:bCs/>
          <w:sz w:val="36"/>
          <w:szCs w:val="36"/>
        </w:rPr>
        <w:t>年部门预算表</w:t>
      </w:r>
    </w:p>
    <w:p w14:paraId="44094F42">
      <w:pPr>
        <w:pStyle w:val="3"/>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bCs/>
          <w:sz w:val="36"/>
          <w:szCs w:val="36"/>
        </w:rPr>
      </w:pPr>
    </w:p>
    <w:p w14:paraId="25D0D900">
      <w:pPr>
        <w:keepNext w:val="0"/>
        <w:keepLines w:val="0"/>
        <w:pageBreakBefore w:val="0"/>
        <w:kinsoku/>
        <w:overflowPunct/>
        <w:topLinePunct w:val="0"/>
        <w:autoSpaceDE/>
        <w:autoSpaceDN/>
        <w:bidi w:val="0"/>
        <w:spacing w:line="560" w:lineRule="exact"/>
        <w:rPr>
          <w:rFonts w:hint="default" w:ascii="TimesNewRoman" w:hAnsi="TimesNewRoman" w:cs="TimesNewRoman"/>
          <w:kern w:val="0"/>
          <w:sz w:val="20"/>
        </w:rPr>
      </w:pPr>
      <w:r>
        <w:rPr>
          <w:rFonts w:hint="default" w:ascii="TimesNewRoman" w:hAnsi="TimesNewRoman" w:cs="TimesNewRoman"/>
          <w:kern w:val="0"/>
          <w:sz w:val="20"/>
        </w:rPr>
        <w:t xml:space="preserve">                                                          </w:t>
      </w:r>
      <w:r>
        <w:rPr>
          <w:rFonts w:hint="eastAsia" w:ascii="TimesNewRoman" w:hAnsi="TimesNewRoman" w:cs="TimesNewRoman"/>
          <w:kern w:val="0"/>
          <w:sz w:val="20"/>
          <w:lang w:val="en-US" w:eastAsia="zh-CN"/>
        </w:rPr>
        <w:t xml:space="preserve"> </w:t>
      </w:r>
      <w:r>
        <w:rPr>
          <w:rFonts w:hint="default" w:ascii="TimesNewRoman" w:hAnsi="TimesNewRoman" w:cs="TimesNewRoman"/>
          <w:kern w:val="0"/>
          <w:sz w:val="20"/>
        </w:rPr>
        <w:t xml:space="preserve">  部门公开表1</w:t>
      </w:r>
    </w:p>
    <w:p w14:paraId="4F8F878E">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textAlignment w:val="auto"/>
        <w:rPr>
          <w:rFonts w:hint="default" w:ascii="TimesNewRoman" w:hAnsi="TimesNewRoman" w:eastAsia="华文中宋" w:cs="TimesNewRoman"/>
          <w:b/>
          <w:bCs/>
          <w:kern w:val="0"/>
          <w:szCs w:val="32"/>
        </w:rPr>
      </w:pPr>
      <w:r>
        <w:rPr>
          <w:rFonts w:hint="default" w:ascii="TimesNewRoman" w:hAnsi="TimesNewRoman" w:eastAsia="华文中宋" w:cs="TimesNewRoman"/>
          <w:b/>
          <w:bCs/>
          <w:kern w:val="0"/>
          <w:szCs w:val="32"/>
        </w:rPr>
        <w:t xml:space="preserve">     </w:t>
      </w:r>
      <w:r>
        <w:rPr>
          <w:rFonts w:hint="eastAsia" w:ascii="TimesNewRoman" w:hAnsi="TimesNewRoman" w:eastAsia="华文中宋" w:cs="TimesNewRoman"/>
          <w:b/>
          <w:bCs/>
          <w:kern w:val="0"/>
          <w:szCs w:val="32"/>
          <w:lang w:eastAsia="zh-CN"/>
        </w:rPr>
        <w:t>淮北市相山区数据资源管理局</w:t>
      </w:r>
      <w:r>
        <w:rPr>
          <w:rFonts w:hint="eastAsia" w:ascii="TimesNewRoman" w:hAnsi="TimesNewRoman" w:eastAsia="华文中宋" w:cs="TimesNewRoman"/>
          <w:b/>
          <w:bCs/>
          <w:kern w:val="0"/>
          <w:szCs w:val="32"/>
          <w:lang w:val="en" w:eastAsia="zh-CN"/>
        </w:rPr>
        <w:t>2026</w:t>
      </w:r>
      <w:r>
        <w:rPr>
          <w:rFonts w:hint="default" w:ascii="TimesNewRoman" w:hAnsi="TimesNewRoman" w:eastAsia="华文中宋" w:cs="TimesNewRoman"/>
          <w:b/>
          <w:bCs/>
          <w:kern w:val="0"/>
          <w:szCs w:val="32"/>
        </w:rPr>
        <w:t>年收支总表</w:t>
      </w:r>
    </w:p>
    <w:p w14:paraId="23E8CA6D">
      <w:pPr>
        <w:keepNext w:val="0"/>
        <w:keepLines w:val="0"/>
        <w:pageBreakBefore w:val="0"/>
        <w:kinsoku/>
        <w:overflowPunct/>
        <w:topLinePunct w:val="0"/>
        <w:autoSpaceDE/>
        <w:autoSpaceDN/>
        <w:bidi w:val="0"/>
        <w:spacing w:line="560" w:lineRule="exact"/>
        <w:rPr>
          <w:rFonts w:hint="default" w:ascii="TimesNewRoman" w:hAnsi="TimesNewRoman" w:cs="TimesNewRoman"/>
          <w:kern w:val="0"/>
          <w:sz w:val="20"/>
        </w:rPr>
      </w:pPr>
      <w:r>
        <w:rPr>
          <w:rFonts w:hint="default" w:ascii="TimesNewRoman" w:hAnsi="TimesNewRoman" w:cs="TimesNewRoman"/>
          <w:kern w:val="0"/>
          <w:sz w:val="20"/>
        </w:rPr>
        <w:t xml:space="preserve">                                                                          单位：万元</w:t>
      </w:r>
    </w:p>
    <w:p w14:paraId="76A43018">
      <w:pPr>
        <w:keepNext w:val="0"/>
        <w:keepLines w:val="0"/>
        <w:pageBreakBefore w:val="0"/>
        <w:kinsoku/>
        <w:overflowPunct/>
        <w:topLinePunct w:val="0"/>
        <w:autoSpaceDE/>
        <w:autoSpaceDN/>
        <w:bidi w:val="0"/>
        <w:spacing w:line="560" w:lineRule="exact"/>
        <w:rPr>
          <w:rFonts w:hint="default" w:ascii="TimesNewRoman" w:hAnsi="TimesNewRoman" w:cs="TimesNewRoman"/>
          <w:kern w:val="0"/>
          <w:sz w:val="20"/>
        </w:rPr>
      </w:pPr>
    </w:p>
    <w:tbl>
      <w:tblPr>
        <w:tblStyle w:val="4"/>
        <w:tblW w:w="85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977"/>
        <w:gridCol w:w="1276"/>
        <w:gridCol w:w="2977"/>
        <w:gridCol w:w="1276"/>
      </w:tblGrid>
      <w:tr w14:paraId="13BC53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25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02C21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收入</w:t>
            </w:r>
          </w:p>
        </w:tc>
        <w:tc>
          <w:tcPr>
            <w:tcW w:w="425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E86F2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支出</w:t>
            </w:r>
          </w:p>
        </w:tc>
      </w:tr>
      <w:tr w14:paraId="5D25E0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E00D5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项目</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F1BF5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预算数</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6D4F3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项目</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80C72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预算数</w:t>
            </w:r>
          </w:p>
        </w:tc>
      </w:tr>
      <w:tr w14:paraId="11CDC2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3CB95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一、一般公共预算收入</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32549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334.81</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68583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一、一般公共服务支出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C69ACE">
            <w:pPr>
              <w:spacing w:beforeLines="0" w:afterLines="0"/>
              <w:jc w:val="center"/>
              <w:rPr>
                <w:rFonts w:hint="default"/>
                <w:sz w:val="24"/>
                <w:szCs w:val="24"/>
              </w:rPr>
            </w:pPr>
          </w:p>
        </w:tc>
      </w:tr>
      <w:tr w14:paraId="700F09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C08D3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二、政府性基金预算收入</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69F8CF">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13998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二、外交支出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35C891">
            <w:pPr>
              <w:spacing w:beforeLines="0" w:afterLines="0"/>
              <w:jc w:val="center"/>
              <w:rPr>
                <w:rFonts w:hint="default"/>
                <w:sz w:val="24"/>
                <w:szCs w:val="24"/>
              </w:rPr>
            </w:pPr>
          </w:p>
        </w:tc>
      </w:tr>
      <w:tr w14:paraId="685604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572B3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三、国有资本经营预算拨款收入</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22A075">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43738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三、国防支出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2E7258">
            <w:pPr>
              <w:spacing w:beforeLines="0" w:afterLines="0"/>
              <w:jc w:val="center"/>
              <w:rPr>
                <w:rFonts w:hint="default"/>
                <w:sz w:val="24"/>
                <w:szCs w:val="24"/>
              </w:rPr>
            </w:pPr>
          </w:p>
        </w:tc>
      </w:tr>
      <w:tr w14:paraId="722C3C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97E54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四、财政专户管理资金</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652410">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CC481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四、公共安全支出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3E09EA">
            <w:pPr>
              <w:spacing w:beforeLines="0" w:afterLines="0"/>
              <w:jc w:val="center"/>
              <w:rPr>
                <w:rFonts w:hint="default"/>
                <w:sz w:val="24"/>
                <w:szCs w:val="24"/>
              </w:rPr>
            </w:pPr>
          </w:p>
        </w:tc>
      </w:tr>
      <w:tr w14:paraId="79BDC3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02160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五、其他收入安排</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4C3F4A">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E8773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五、教育支出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F4EC7D">
            <w:pPr>
              <w:spacing w:beforeLines="0" w:afterLines="0"/>
              <w:jc w:val="center"/>
              <w:rPr>
                <w:rFonts w:hint="default"/>
                <w:sz w:val="24"/>
                <w:szCs w:val="24"/>
              </w:rPr>
            </w:pPr>
          </w:p>
        </w:tc>
      </w:tr>
      <w:tr w14:paraId="58B6FE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D09F4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事业收入</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DF8942">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FAFF7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六、科学技术支出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A1B16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279.21</w:t>
            </w:r>
          </w:p>
        </w:tc>
      </w:tr>
      <w:tr w14:paraId="65849D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76EAB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经营收入</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9985CC">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F6AC3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七、文化旅游体育与传媒支出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81637D">
            <w:pPr>
              <w:spacing w:beforeLines="0" w:afterLines="0"/>
              <w:jc w:val="center"/>
              <w:rPr>
                <w:rFonts w:hint="default"/>
                <w:sz w:val="24"/>
                <w:szCs w:val="24"/>
              </w:rPr>
            </w:pPr>
          </w:p>
        </w:tc>
      </w:tr>
      <w:tr w14:paraId="662C0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22D84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上级补助收入</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36E187">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84198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八、社会保障和就业支出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8CF29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26.59</w:t>
            </w:r>
          </w:p>
        </w:tc>
      </w:tr>
      <w:tr w14:paraId="1BA19F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ACFFA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附属单位上缴收入</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3B342A">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DE042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九、社会保险基金支出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A62B54">
            <w:pPr>
              <w:spacing w:beforeLines="0" w:afterLines="0"/>
              <w:jc w:val="center"/>
              <w:rPr>
                <w:rFonts w:hint="default"/>
                <w:sz w:val="24"/>
                <w:szCs w:val="24"/>
              </w:rPr>
            </w:pPr>
          </w:p>
        </w:tc>
      </w:tr>
      <w:tr w14:paraId="413F30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FD1AE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其他</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C1CFA8">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1E7D8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十、卫生健康支出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8A6C2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6.3</w:t>
            </w:r>
          </w:p>
        </w:tc>
      </w:tr>
      <w:tr w14:paraId="57B591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07D67A">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7F974F">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7B6D4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十一、节能环保支出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702985">
            <w:pPr>
              <w:spacing w:beforeLines="0" w:afterLines="0"/>
              <w:jc w:val="center"/>
              <w:rPr>
                <w:rFonts w:hint="default"/>
                <w:sz w:val="24"/>
                <w:szCs w:val="24"/>
              </w:rPr>
            </w:pPr>
          </w:p>
        </w:tc>
      </w:tr>
      <w:tr w14:paraId="411DD3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C409A9">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5BDAC4">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EECBA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十二、城乡社区支出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8BEC8A">
            <w:pPr>
              <w:spacing w:beforeLines="0" w:afterLines="0"/>
              <w:jc w:val="center"/>
              <w:rPr>
                <w:rFonts w:hint="default"/>
                <w:sz w:val="24"/>
                <w:szCs w:val="24"/>
              </w:rPr>
            </w:pPr>
          </w:p>
        </w:tc>
      </w:tr>
      <w:tr w14:paraId="70051A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C54910">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814182">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856B9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十三、农林水支出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5DA704">
            <w:pPr>
              <w:spacing w:beforeLines="0" w:afterLines="0"/>
              <w:jc w:val="center"/>
              <w:rPr>
                <w:rFonts w:hint="default"/>
                <w:sz w:val="24"/>
                <w:szCs w:val="24"/>
              </w:rPr>
            </w:pPr>
          </w:p>
        </w:tc>
      </w:tr>
      <w:tr w14:paraId="3FDDD9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F233DE">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4D9B03">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5871B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十四、交通运输支出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65E641">
            <w:pPr>
              <w:spacing w:beforeLines="0" w:afterLines="0"/>
              <w:jc w:val="center"/>
              <w:rPr>
                <w:rFonts w:hint="default"/>
                <w:sz w:val="24"/>
                <w:szCs w:val="24"/>
              </w:rPr>
            </w:pPr>
          </w:p>
        </w:tc>
      </w:tr>
      <w:tr w14:paraId="7F1BF2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1775BC">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3FCE56">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45F19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十五、资源勘探工业信息等支出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E7AFB4">
            <w:pPr>
              <w:spacing w:beforeLines="0" w:afterLines="0"/>
              <w:jc w:val="center"/>
              <w:rPr>
                <w:rFonts w:hint="default"/>
                <w:sz w:val="24"/>
                <w:szCs w:val="24"/>
              </w:rPr>
            </w:pPr>
          </w:p>
        </w:tc>
      </w:tr>
      <w:tr w14:paraId="0B2C72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0D644F">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CE90CB">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48F6E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十六、商业服务业等支出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02A176">
            <w:pPr>
              <w:spacing w:beforeLines="0" w:afterLines="0"/>
              <w:jc w:val="center"/>
              <w:rPr>
                <w:rFonts w:hint="default"/>
                <w:sz w:val="24"/>
                <w:szCs w:val="24"/>
              </w:rPr>
            </w:pPr>
          </w:p>
        </w:tc>
      </w:tr>
      <w:tr w14:paraId="2D58C3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0016B4">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10FA94">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E640D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十七、金融支出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9DDA88">
            <w:pPr>
              <w:spacing w:beforeLines="0" w:afterLines="0"/>
              <w:jc w:val="center"/>
              <w:rPr>
                <w:rFonts w:hint="default"/>
                <w:sz w:val="24"/>
                <w:szCs w:val="24"/>
              </w:rPr>
            </w:pPr>
          </w:p>
        </w:tc>
      </w:tr>
      <w:tr w14:paraId="396F97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778E3A">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5545F9">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BF81A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十八、援助其他地区支出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C08D5D">
            <w:pPr>
              <w:spacing w:beforeLines="0" w:afterLines="0"/>
              <w:jc w:val="center"/>
              <w:rPr>
                <w:rFonts w:hint="default"/>
                <w:sz w:val="24"/>
                <w:szCs w:val="24"/>
              </w:rPr>
            </w:pPr>
          </w:p>
        </w:tc>
      </w:tr>
      <w:tr w14:paraId="5042FE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8130AE">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498961">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193CF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十九、自然资源海洋气象等支出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773FE8">
            <w:pPr>
              <w:spacing w:beforeLines="0" w:afterLines="0"/>
              <w:jc w:val="center"/>
              <w:rPr>
                <w:rFonts w:hint="default"/>
                <w:sz w:val="24"/>
                <w:szCs w:val="24"/>
              </w:rPr>
            </w:pPr>
          </w:p>
        </w:tc>
      </w:tr>
      <w:tr w14:paraId="6DD4B7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4A565A">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470E15">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4189F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二十、住房保障支出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32A4A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22.71</w:t>
            </w:r>
          </w:p>
        </w:tc>
      </w:tr>
      <w:tr w14:paraId="1F0D17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C60C2F">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33E099">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FE2EA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二十一、粮油物资储备支出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4AFA15">
            <w:pPr>
              <w:spacing w:beforeLines="0" w:afterLines="0"/>
              <w:jc w:val="center"/>
              <w:rPr>
                <w:rFonts w:hint="default"/>
                <w:sz w:val="24"/>
                <w:szCs w:val="24"/>
              </w:rPr>
            </w:pPr>
          </w:p>
        </w:tc>
      </w:tr>
      <w:tr w14:paraId="3C3787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65707F">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F62402">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7BEC8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二十二、国有资本经营预算支出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C9655E">
            <w:pPr>
              <w:spacing w:beforeLines="0" w:afterLines="0"/>
              <w:jc w:val="center"/>
              <w:rPr>
                <w:rFonts w:hint="default"/>
                <w:sz w:val="24"/>
                <w:szCs w:val="24"/>
              </w:rPr>
            </w:pPr>
          </w:p>
        </w:tc>
      </w:tr>
      <w:tr w14:paraId="1BAF8C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3647F6">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93A9B7">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11F8B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二十三、灾害防治及应急管理支出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86ADE9">
            <w:pPr>
              <w:spacing w:beforeLines="0" w:afterLines="0"/>
              <w:jc w:val="center"/>
              <w:rPr>
                <w:rFonts w:hint="default"/>
                <w:sz w:val="24"/>
                <w:szCs w:val="24"/>
              </w:rPr>
            </w:pPr>
          </w:p>
        </w:tc>
      </w:tr>
      <w:tr w14:paraId="005CE8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0B3617">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562103">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4731E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二十四、预备费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B6C770">
            <w:pPr>
              <w:spacing w:beforeLines="0" w:afterLines="0"/>
              <w:jc w:val="center"/>
              <w:rPr>
                <w:rFonts w:hint="default"/>
                <w:sz w:val="24"/>
                <w:szCs w:val="24"/>
              </w:rPr>
            </w:pPr>
          </w:p>
        </w:tc>
      </w:tr>
      <w:tr w14:paraId="534500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F99161">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762A84">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32DE8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二十五、其他支出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4FFB59">
            <w:pPr>
              <w:spacing w:beforeLines="0" w:afterLines="0"/>
              <w:jc w:val="center"/>
              <w:rPr>
                <w:rFonts w:hint="default"/>
                <w:sz w:val="24"/>
                <w:szCs w:val="24"/>
              </w:rPr>
            </w:pPr>
          </w:p>
        </w:tc>
      </w:tr>
      <w:tr w14:paraId="3571FC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4DD7C2">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8BA4A3">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920DD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二十六、转移性支出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D960A8">
            <w:pPr>
              <w:spacing w:beforeLines="0" w:afterLines="0"/>
              <w:jc w:val="center"/>
              <w:rPr>
                <w:rFonts w:hint="default"/>
                <w:sz w:val="24"/>
                <w:szCs w:val="24"/>
              </w:rPr>
            </w:pPr>
          </w:p>
        </w:tc>
      </w:tr>
      <w:tr w14:paraId="086C4E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27123D">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2EF163">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10FCD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二十七、债务还本支出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B19DBC">
            <w:pPr>
              <w:spacing w:beforeLines="0" w:afterLines="0"/>
              <w:jc w:val="center"/>
              <w:rPr>
                <w:rFonts w:hint="default"/>
                <w:sz w:val="24"/>
                <w:szCs w:val="24"/>
              </w:rPr>
            </w:pPr>
          </w:p>
        </w:tc>
      </w:tr>
      <w:tr w14:paraId="5E2155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632939">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D750A5">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7D8FC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二十八、债务付息支出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52F57C">
            <w:pPr>
              <w:spacing w:beforeLines="0" w:afterLines="0"/>
              <w:jc w:val="center"/>
              <w:rPr>
                <w:rFonts w:hint="default"/>
                <w:sz w:val="24"/>
                <w:szCs w:val="24"/>
              </w:rPr>
            </w:pPr>
          </w:p>
        </w:tc>
      </w:tr>
      <w:tr w14:paraId="5ADF5C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D97531">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18049F">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C36FD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二十九、债务发行费用支出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F57E21">
            <w:pPr>
              <w:spacing w:beforeLines="0" w:afterLines="0"/>
              <w:jc w:val="center"/>
              <w:rPr>
                <w:rFonts w:hint="default"/>
                <w:sz w:val="24"/>
                <w:szCs w:val="24"/>
              </w:rPr>
            </w:pPr>
          </w:p>
        </w:tc>
      </w:tr>
      <w:tr w14:paraId="334E7B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E895BA">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1B60D0">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F9375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三十、抗疫特别国债安排的支出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B2C32C">
            <w:pPr>
              <w:spacing w:beforeLines="0" w:afterLines="0"/>
              <w:jc w:val="center"/>
              <w:rPr>
                <w:rFonts w:hint="default"/>
                <w:sz w:val="24"/>
                <w:szCs w:val="24"/>
              </w:rPr>
            </w:pPr>
          </w:p>
        </w:tc>
      </w:tr>
      <w:tr w14:paraId="0AD3B7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E3139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本年收入小计</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0C201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334.81</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18181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本年支出小计</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CD474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334.81</w:t>
            </w:r>
          </w:p>
        </w:tc>
      </w:tr>
      <w:tr w14:paraId="180B51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E4E52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上年结转</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BA9956">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97A21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结转下年</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DA463B">
            <w:pPr>
              <w:spacing w:beforeLines="0" w:afterLines="0"/>
              <w:jc w:val="center"/>
              <w:rPr>
                <w:rFonts w:hint="default"/>
                <w:sz w:val="24"/>
                <w:szCs w:val="24"/>
              </w:rPr>
            </w:pPr>
          </w:p>
        </w:tc>
      </w:tr>
      <w:tr w14:paraId="07061D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EB16B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一般公共预算</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D982A9">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ED399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一般公共预算</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842D23">
            <w:pPr>
              <w:spacing w:beforeLines="0" w:afterLines="0"/>
              <w:jc w:val="center"/>
              <w:rPr>
                <w:rFonts w:hint="default"/>
                <w:sz w:val="24"/>
                <w:szCs w:val="24"/>
              </w:rPr>
            </w:pPr>
          </w:p>
        </w:tc>
      </w:tr>
      <w:tr w14:paraId="7E63F4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3F2E4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政府性基金预算</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E6A33D">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0285B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政府性基金预算</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210FE5">
            <w:pPr>
              <w:spacing w:beforeLines="0" w:afterLines="0"/>
              <w:jc w:val="center"/>
              <w:rPr>
                <w:rFonts w:hint="default"/>
                <w:sz w:val="24"/>
                <w:szCs w:val="24"/>
              </w:rPr>
            </w:pPr>
          </w:p>
        </w:tc>
      </w:tr>
      <w:tr w14:paraId="318435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50C70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国有资本经营预算</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7B143F">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3CB33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国有资本经营预算</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ACE854">
            <w:pPr>
              <w:spacing w:beforeLines="0" w:afterLines="0"/>
              <w:jc w:val="center"/>
              <w:rPr>
                <w:rFonts w:hint="default"/>
                <w:sz w:val="24"/>
                <w:szCs w:val="24"/>
              </w:rPr>
            </w:pPr>
          </w:p>
        </w:tc>
      </w:tr>
      <w:tr w14:paraId="6EAFC0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9A945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财政专户</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0327C0">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E8856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财政专户</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7D020B">
            <w:pPr>
              <w:spacing w:beforeLines="0" w:afterLines="0"/>
              <w:jc w:val="center"/>
              <w:rPr>
                <w:rFonts w:hint="default"/>
                <w:sz w:val="24"/>
                <w:szCs w:val="24"/>
              </w:rPr>
            </w:pPr>
          </w:p>
        </w:tc>
      </w:tr>
      <w:tr w14:paraId="0ECF53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427CD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其他</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B79B8D">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05E75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其他</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2F30E3">
            <w:pPr>
              <w:spacing w:beforeLines="0" w:afterLines="0"/>
              <w:jc w:val="center"/>
              <w:rPr>
                <w:rFonts w:hint="default"/>
                <w:sz w:val="24"/>
                <w:szCs w:val="24"/>
              </w:rPr>
            </w:pPr>
          </w:p>
        </w:tc>
      </w:tr>
      <w:tr w14:paraId="558A5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9ABB3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收入总计</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02286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334.81</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C3B14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支出总计</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E0DBF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334.81</w:t>
            </w:r>
          </w:p>
        </w:tc>
      </w:tr>
    </w:tbl>
    <w:p w14:paraId="1B9C3B19">
      <w:pPr>
        <w:keepNext w:val="0"/>
        <w:keepLines w:val="0"/>
        <w:pageBreakBefore w:val="0"/>
        <w:kinsoku/>
        <w:overflowPunct/>
        <w:topLinePunct w:val="0"/>
        <w:autoSpaceDE/>
        <w:autoSpaceDN/>
        <w:bidi w:val="0"/>
        <w:spacing w:line="560" w:lineRule="exact"/>
        <w:rPr>
          <w:rFonts w:hint="default" w:ascii="TimesNewRoman" w:hAnsi="TimesNewRoman" w:cs="TimesNewRoman"/>
          <w:kern w:val="0"/>
          <w:sz w:val="20"/>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14:paraId="1EED0E36">
      <w:pPr>
        <w:keepNext w:val="0"/>
        <w:keepLines w:val="0"/>
        <w:pageBreakBefore w:val="0"/>
        <w:kinsoku/>
        <w:overflowPunct/>
        <w:topLinePunct w:val="0"/>
        <w:autoSpaceDE/>
        <w:autoSpaceDN/>
        <w:bidi w:val="0"/>
        <w:spacing w:line="560" w:lineRule="exact"/>
        <w:jc w:val="center"/>
        <w:rPr>
          <w:rFonts w:hint="default" w:ascii="TimesNewRoman" w:hAnsi="TimesNewRoman" w:cs="TimesNewRoman"/>
          <w:kern w:val="0"/>
          <w:sz w:val="20"/>
        </w:rPr>
      </w:pPr>
      <w:r>
        <w:rPr>
          <w:rFonts w:hint="eastAsia" w:ascii="TimesNewRoman" w:hAnsi="TimesNewRoman" w:cs="TimesNewRoman"/>
          <w:kern w:val="0"/>
          <w:sz w:val="20"/>
          <w:lang w:val="en-US" w:eastAsia="zh-CN"/>
        </w:rPr>
        <w:t xml:space="preserve">                                                                                                                    </w:t>
      </w:r>
      <w:r>
        <w:rPr>
          <w:rFonts w:hint="default" w:ascii="TimesNewRoman" w:hAnsi="TimesNewRoman" w:cs="TimesNewRoman"/>
          <w:kern w:val="0"/>
          <w:sz w:val="20"/>
        </w:rPr>
        <w:t>部门公开表2</w:t>
      </w:r>
    </w:p>
    <w:p w14:paraId="492C0CBF">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NewRoman" w:hAnsi="TimesNewRoman" w:eastAsia="华文中宋" w:cs="TimesNewRoman"/>
          <w:b/>
          <w:bCs/>
          <w:kern w:val="0"/>
          <w:szCs w:val="32"/>
        </w:rPr>
      </w:pPr>
      <w:r>
        <w:rPr>
          <w:rFonts w:hint="eastAsia" w:ascii="TimesNewRoman" w:hAnsi="TimesNewRoman" w:eastAsia="华文中宋" w:cs="TimesNewRoman"/>
          <w:b/>
          <w:bCs/>
          <w:kern w:val="0"/>
          <w:szCs w:val="32"/>
          <w:lang w:eastAsia="zh-CN"/>
        </w:rPr>
        <w:t>淮北市相山区数据资源管理局</w:t>
      </w:r>
      <w:r>
        <w:rPr>
          <w:rFonts w:hint="eastAsia" w:ascii="TimesNewRoman" w:hAnsi="TimesNewRoman" w:eastAsia="华文中宋" w:cs="TimesNewRoman"/>
          <w:b/>
          <w:bCs/>
          <w:kern w:val="0"/>
          <w:szCs w:val="32"/>
          <w:lang w:val="en" w:eastAsia="zh-CN"/>
        </w:rPr>
        <w:t>2026</w:t>
      </w:r>
      <w:r>
        <w:rPr>
          <w:rFonts w:hint="default" w:ascii="TimesNewRoman" w:hAnsi="TimesNewRoman" w:eastAsia="华文中宋" w:cs="TimesNewRoman"/>
          <w:b/>
          <w:bCs/>
          <w:kern w:val="0"/>
          <w:szCs w:val="32"/>
        </w:rPr>
        <w:t>年收入总表</w:t>
      </w:r>
    </w:p>
    <w:p w14:paraId="16B77458">
      <w:pPr>
        <w:keepNext w:val="0"/>
        <w:keepLines w:val="0"/>
        <w:pageBreakBefore w:val="0"/>
        <w:kinsoku/>
        <w:overflowPunct/>
        <w:topLinePunct w:val="0"/>
        <w:autoSpaceDE/>
        <w:autoSpaceDN/>
        <w:bidi w:val="0"/>
        <w:spacing w:line="560" w:lineRule="exact"/>
        <w:rPr>
          <w:rFonts w:hint="default" w:ascii="TimesNewRoman" w:hAnsi="TimesNewRoman" w:cs="TimesNewRoman"/>
          <w:kern w:val="0"/>
          <w:sz w:val="20"/>
        </w:rPr>
      </w:pPr>
      <w:r>
        <w:rPr>
          <w:rFonts w:hint="default" w:ascii="TimesNewRoman" w:hAnsi="TimesNewRoman" w:cs="TimesNewRoman"/>
          <w:kern w:val="0"/>
          <w:sz w:val="20"/>
        </w:rPr>
        <w:t xml:space="preserve">                                                                                                                                单位：万元</w:t>
      </w:r>
    </w:p>
    <w:p w14:paraId="2330D151">
      <w:pPr>
        <w:keepNext w:val="0"/>
        <w:keepLines w:val="0"/>
        <w:pageBreakBefore w:val="0"/>
        <w:kinsoku/>
        <w:overflowPunct/>
        <w:topLinePunct w:val="0"/>
        <w:autoSpaceDE/>
        <w:autoSpaceDN/>
        <w:bidi w:val="0"/>
        <w:spacing w:line="560" w:lineRule="exact"/>
        <w:rPr>
          <w:rFonts w:hint="default" w:ascii="TimesNewRoman" w:hAnsi="TimesNewRoman" w:cs="TimesNewRoman"/>
        </w:rPr>
      </w:pPr>
    </w:p>
    <w:tbl>
      <w:tblPr>
        <w:tblStyle w:val="4"/>
        <w:tblW w:w="1343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528"/>
        <w:gridCol w:w="931"/>
        <w:gridCol w:w="931"/>
        <w:gridCol w:w="931"/>
        <w:gridCol w:w="665"/>
        <w:gridCol w:w="532"/>
        <w:gridCol w:w="532"/>
        <w:gridCol w:w="532"/>
        <w:gridCol w:w="532"/>
        <w:gridCol w:w="532"/>
        <w:gridCol w:w="532"/>
        <w:gridCol w:w="532"/>
        <w:gridCol w:w="532"/>
        <w:gridCol w:w="532"/>
        <w:gridCol w:w="532"/>
        <w:gridCol w:w="532"/>
        <w:gridCol w:w="532"/>
        <w:gridCol w:w="532"/>
        <w:gridCol w:w="532"/>
      </w:tblGrid>
      <w:tr w14:paraId="39FAE7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28"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33DBD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部门（单位）名称</w:t>
            </w:r>
          </w:p>
        </w:tc>
        <w:tc>
          <w:tcPr>
            <w:tcW w:w="931"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36C6E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合计</w:t>
            </w:r>
          </w:p>
        </w:tc>
        <w:tc>
          <w:tcPr>
            <w:tcW w:w="6783" w:type="dxa"/>
            <w:gridSpan w:val="11"/>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94089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本年收入</w:t>
            </w:r>
          </w:p>
        </w:tc>
        <w:tc>
          <w:tcPr>
            <w:tcW w:w="3192"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F79BA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上年结转结余</w:t>
            </w:r>
          </w:p>
        </w:tc>
      </w:tr>
      <w:tr w14:paraId="7460A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2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68EE10">
            <w:pPr>
              <w:spacing w:beforeLines="0" w:afterLines="0"/>
              <w:rPr>
                <w:rFonts w:hint="default" w:ascii="FangSong_GB2312" w:hAnsi="FangSong_GB2312" w:eastAsia="FangSong_GB2312"/>
                <w:sz w:val="20"/>
                <w:szCs w:val="24"/>
              </w:rPr>
            </w:pPr>
          </w:p>
        </w:tc>
        <w:tc>
          <w:tcPr>
            <w:tcW w:w="93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FE4106">
            <w:pPr>
              <w:spacing w:beforeLines="0" w:afterLines="0"/>
              <w:rPr>
                <w:rFonts w:hint="default" w:ascii="FangSong_GB2312" w:hAnsi="FangSong_GB2312" w:eastAsia="FangSong_GB2312"/>
                <w:sz w:val="20"/>
                <w:szCs w:val="24"/>
              </w:rPr>
            </w:pPr>
          </w:p>
        </w:tc>
        <w:tc>
          <w:tcPr>
            <w:tcW w:w="931"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EC91E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小计</w:t>
            </w:r>
          </w:p>
        </w:tc>
        <w:tc>
          <w:tcPr>
            <w:tcW w:w="931"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F588A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一般公共预算</w:t>
            </w:r>
          </w:p>
        </w:tc>
        <w:tc>
          <w:tcPr>
            <w:tcW w:w="66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BF495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政府性基金预算</w:t>
            </w:r>
          </w:p>
        </w:tc>
        <w:tc>
          <w:tcPr>
            <w:tcW w:w="53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29D7F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国有资本经营预算</w:t>
            </w:r>
          </w:p>
        </w:tc>
        <w:tc>
          <w:tcPr>
            <w:tcW w:w="53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27116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财政专户管理资金</w:t>
            </w:r>
          </w:p>
        </w:tc>
        <w:tc>
          <w:tcPr>
            <w:tcW w:w="3192"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42EAD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单位资金</w:t>
            </w:r>
          </w:p>
        </w:tc>
        <w:tc>
          <w:tcPr>
            <w:tcW w:w="53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DD609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小计</w:t>
            </w:r>
          </w:p>
        </w:tc>
        <w:tc>
          <w:tcPr>
            <w:tcW w:w="53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8BAF1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一般公共预算</w:t>
            </w:r>
          </w:p>
        </w:tc>
        <w:tc>
          <w:tcPr>
            <w:tcW w:w="53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5CEC2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政府性基金预算</w:t>
            </w:r>
          </w:p>
        </w:tc>
        <w:tc>
          <w:tcPr>
            <w:tcW w:w="53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75F63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国有资本经营预算</w:t>
            </w:r>
          </w:p>
        </w:tc>
        <w:tc>
          <w:tcPr>
            <w:tcW w:w="53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E53CD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财政专户管理资金</w:t>
            </w:r>
          </w:p>
        </w:tc>
        <w:tc>
          <w:tcPr>
            <w:tcW w:w="53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063B3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单位资金</w:t>
            </w:r>
          </w:p>
        </w:tc>
      </w:tr>
      <w:tr w14:paraId="693054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2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A4B816">
            <w:pPr>
              <w:spacing w:beforeLines="0" w:afterLines="0"/>
              <w:rPr>
                <w:rFonts w:hint="default" w:ascii="FangSong_GB2312" w:hAnsi="FangSong_GB2312" w:eastAsia="FangSong_GB2312"/>
                <w:sz w:val="20"/>
                <w:szCs w:val="24"/>
              </w:rPr>
            </w:pPr>
          </w:p>
        </w:tc>
        <w:tc>
          <w:tcPr>
            <w:tcW w:w="93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7DBE58">
            <w:pPr>
              <w:spacing w:beforeLines="0" w:afterLines="0"/>
              <w:rPr>
                <w:rFonts w:hint="default" w:ascii="FangSong_GB2312" w:hAnsi="FangSong_GB2312" w:eastAsia="FangSong_GB2312"/>
                <w:sz w:val="20"/>
                <w:szCs w:val="24"/>
              </w:rPr>
            </w:pPr>
          </w:p>
        </w:tc>
        <w:tc>
          <w:tcPr>
            <w:tcW w:w="93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4C20A3">
            <w:pPr>
              <w:spacing w:beforeLines="0" w:afterLines="0"/>
              <w:rPr>
                <w:rFonts w:hint="default" w:ascii="FangSong_GB2312" w:hAnsi="FangSong_GB2312" w:eastAsia="FangSong_GB2312"/>
                <w:sz w:val="20"/>
                <w:szCs w:val="24"/>
              </w:rPr>
            </w:pPr>
          </w:p>
        </w:tc>
        <w:tc>
          <w:tcPr>
            <w:tcW w:w="93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99E5AA">
            <w:pPr>
              <w:spacing w:beforeLines="0" w:afterLines="0"/>
              <w:rPr>
                <w:rFonts w:hint="default" w:ascii="FangSong_GB2312" w:hAnsi="FangSong_GB2312" w:eastAsia="FangSong_GB2312"/>
                <w:sz w:val="20"/>
                <w:szCs w:val="24"/>
              </w:rPr>
            </w:pPr>
          </w:p>
        </w:tc>
        <w:tc>
          <w:tcPr>
            <w:tcW w:w="66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3EACC0">
            <w:pPr>
              <w:spacing w:beforeLines="0" w:afterLines="0"/>
              <w:rPr>
                <w:rFonts w:hint="default" w:ascii="FangSong_GB2312" w:hAnsi="FangSong_GB2312" w:eastAsia="FangSong_GB2312"/>
                <w:sz w:val="20"/>
                <w:szCs w:val="24"/>
              </w:rPr>
            </w:pPr>
          </w:p>
        </w:tc>
        <w:tc>
          <w:tcPr>
            <w:tcW w:w="5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257D95">
            <w:pPr>
              <w:spacing w:beforeLines="0" w:afterLines="0"/>
              <w:rPr>
                <w:rFonts w:hint="default" w:ascii="FangSong_GB2312" w:hAnsi="FangSong_GB2312" w:eastAsia="FangSong_GB2312"/>
                <w:sz w:val="20"/>
                <w:szCs w:val="24"/>
              </w:rPr>
            </w:pPr>
          </w:p>
        </w:tc>
        <w:tc>
          <w:tcPr>
            <w:tcW w:w="5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B8CAA8">
            <w:pPr>
              <w:spacing w:beforeLines="0" w:afterLines="0"/>
              <w:rPr>
                <w:rFonts w:hint="default" w:ascii="FangSong_GB2312" w:hAnsi="FangSong_GB2312" w:eastAsia="FangSong_GB2312"/>
                <w:sz w:val="20"/>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745F8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小计</w:t>
            </w: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57A97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事业收入</w:t>
            </w: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AD590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事业单位经营收入</w:t>
            </w: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3709D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上级补助收入</w:t>
            </w: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4D433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附属单位上缴收入</w:t>
            </w: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8BFAF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其他收入</w:t>
            </w:r>
          </w:p>
        </w:tc>
        <w:tc>
          <w:tcPr>
            <w:tcW w:w="5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767FBB">
            <w:pPr>
              <w:spacing w:beforeLines="0" w:afterLines="0"/>
              <w:rPr>
                <w:rFonts w:hint="default" w:ascii="FangSong_GB2312" w:hAnsi="FangSong_GB2312" w:eastAsia="FangSong_GB2312"/>
                <w:sz w:val="20"/>
                <w:szCs w:val="24"/>
              </w:rPr>
            </w:pPr>
          </w:p>
        </w:tc>
        <w:tc>
          <w:tcPr>
            <w:tcW w:w="5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5D55AC">
            <w:pPr>
              <w:spacing w:beforeLines="0" w:afterLines="0"/>
              <w:rPr>
                <w:rFonts w:hint="default" w:ascii="FangSong_GB2312" w:hAnsi="FangSong_GB2312" w:eastAsia="FangSong_GB2312"/>
                <w:sz w:val="20"/>
                <w:szCs w:val="24"/>
              </w:rPr>
            </w:pPr>
          </w:p>
        </w:tc>
        <w:tc>
          <w:tcPr>
            <w:tcW w:w="5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30E01D">
            <w:pPr>
              <w:spacing w:beforeLines="0" w:afterLines="0"/>
              <w:rPr>
                <w:rFonts w:hint="default" w:ascii="FangSong_GB2312" w:hAnsi="FangSong_GB2312" w:eastAsia="FangSong_GB2312"/>
                <w:sz w:val="20"/>
                <w:szCs w:val="24"/>
              </w:rPr>
            </w:pPr>
          </w:p>
        </w:tc>
        <w:tc>
          <w:tcPr>
            <w:tcW w:w="5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A6A29B">
            <w:pPr>
              <w:spacing w:beforeLines="0" w:afterLines="0"/>
              <w:rPr>
                <w:rFonts w:hint="default" w:ascii="FangSong_GB2312" w:hAnsi="FangSong_GB2312" w:eastAsia="FangSong_GB2312"/>
                <w:sz w:val="20"/>
                <w:szCs w:val="24"/>
              </w:rPr>
            </w:pPr>
          </w:p>
        </w:tc>
        <w:tc>
          <w:tcPr>
            <w:tcW w:w="5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10003B">
            <w:pPr>
              <w:spacing w:beforeLines="0" w:afterLines="0"/>
              <w:rPr>
                <w:rFonts w:hint="default" w:ascii="FangSong_GB2312" w:hAnsi="FangSong_GB2312" w:eastAsia="FangSong_GB2312"/>
                <w:sz w:val="20"/>
                <w:szCs w:val="24"/>
              </w:rPr>
            </w:pPr>
          </w:p>
        </w:tc>
        <w:tc>
          <w:tcPr>
            <w:tcW w:w="5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3F44BB">
            <w:pPr>
              <w:spacing w:beforeLines="0" w:afterLines="0"/>
              <w:rPr>
                <w:rFonts w:hint="default" w:ascii="FangSong_GB2312" w:hAnsi="FangSong_GB2312" w:eastAsia="FangSong_GB2312"/>
                <w:sz w:val="20"/>
                <w:szCs w:val="24"/>
              </w:rPr>
            </w:pPr>
          </w:p>
        </w:tc>
      </w:tr>
      <w:tr w14:paraId="425D31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2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D1E6A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淮北市相山区数据资源管理局</w:t>
            </w:r>
          </w:p>
        </w:tc>
        <w:tc>
          <w:tcPr>
            <w:tcW w:w="9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E281B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334.81</w:t>
            </w:r>
          </w:p>
        </w:tc>
        <w:tc>
          <w:tcPr>
            <w:tcW w:w="9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98484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334.81</w:t>
            </w:r>
          </w:p>
        </w:tc>
        <w:tc>
          <w:tcPr>
            <w:tcW w:w="9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7FB4F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334.81</w:t>
            </w:r>
          </w:p>
        </w:tc>
        <w:tc>
          <w:tcPr>
            <w:tcW w:w="66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259B12">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9EC6B7">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230D23">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EEBE42">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3EF4DF">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9308F7">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C5E76A">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A48132">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C2F2B3">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526E87">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54FAAF">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8CDC0E">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CF61A1">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3F1805">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F2312A">
            <w:pPr>
              <w:spacing w:beforeLines="0" w:afterLines="0"/>
              <w:jc w:val="center"/>
              <w:rPr>
                <w:rFonts w:hint="default"/>
                <w:sz w:val="24"/>
                <w:szCs w:val="24"/>
              </w:rPr>
            </w:pPr>
          </w:p>
        </w:tc>
      </w:tr>
      <w:tr w14:paraId="46EAEA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2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2B155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淮北市相山区数据资源管理局（相山区政务服务管理局）</w:t>
            </w:r>
          </w:p>
        </w:tc>
        <w:tc>
          <w:tcPr>
            <w:tcW w:w="9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84AB9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334.81</w:t>
            </w:r>
          </w:p>
        </w:tc>
        <w:tc>
          <w:tcPr>
            <w:tcW w:w="9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A4922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334.81</w:t>
            </w:r>
          </w:p>
        </w:tc>
        <w:tc>
          <w:tcPr>
            <w:tcW w:w="9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CF0E5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334.81</w:t>
            </w:r>
          </w:p>
        </w:tc>
        <w:tc>
          <w:tcPr>
            <w:tcW w:w="66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A15924">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EF9D9C">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FED66D">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3545DE">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AAFF7B">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DD73E9">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D07651">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D5EB2B">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47545A">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22CDF3">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79122E">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0A0CC7">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99840E">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56ED0E">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37807F">
            <w:pPr>
              <w:spacing w:beforeLines="0" w:afterLines="0"/>
              <w:jc w:val="center"/>
              <w:rPr>
                <w:rFonts w:hint="default"/>
                <w:sz w:val="24"/>
                <w:szCs w:val="24"/>
              </w:rPr>
            </w:pPr>
          </w:p>
        </w:tc>
      </w:tr>
    </w:tbl>
    <w:p w14:paraId="3CDFB876">
      <w:pPr>
        <w:keepNext w:val="0"/>
        <w:keepLines w:val="0"/>
        <w:pageBreakBefore w:val="0"/>
        <w:kinsoku/>
        <w:overflowPunct/>
        <w:topLinePunct w:val="0"/>
        <w:autoSpaceDE/>
        <w:autoSpaceDN/>
        <w:bidi w:val="0"/>
        <w:spacing w:line="560" w:lineRule="exact"/>
        <w:rPr>
          <w:rFonts w:hint="default" w:ascii="TimesNewRoman" w:hAnsi="TimesNewRoman" w:cs="TimesNewRoman"/>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numberInDash"/>
          <w:cols w:space="720" w:num="1"/>
          <w:docGrid w:type="linesAndChars" w:linePitch="312" w:charSpace="0"/>
        </w:sectPr>
      </w:pPr>
    </w:p>
    <w:p w14:paraId="3A5AAF3B">
      <w:pPr>
        <w:keepNext w:val="0"/>
        <w:keepLines w:val="0"/>
        <w:pageBreakBefore w:val="0"/>
        <w:kinsoku/>
        <w:overflowPunct/>
        <w:topLinePunct w:val="0"/>
        <w:autoSpaceDE/>
        <w:autoSpaceDN/>
        <w:bidi w:val="0"/>
        <w:spacing w:line="560" w:lineRule="exact"/>
        <w:jc w:val="right"/>
        <w:rPr>
          <w:rFonts w:hint="default" w:ascii="TimesNewRoman" w:hAnsi="TimesNewRoman" w:cs="TimesNewRoman"/>
          <w:kern w:val="0"/>
          <w:sz w:val="20"/>
        </w:rPr>
      </w:pPr>
      <w:r>
        <w:rPr>
          <w:rFonts w:hint="default" w:ascii="TimesNewRoman" w:hAnsi="TimesNewRoman" w:cs="TimesNewRoman"/>
          <w:kern w:val="0"/>
          <w:sz w:val="20"/>
        </w:rPr>
        <w:t xml:space="preserve">                                         </w:t>
      </w:r>
      <w:r>
        <w:rPr>
          <w:rFonts w:hint="eastAsia" w:ascii="TimesNewRoman" w:hAnsi="TimesNewRoman" w:cs="TimesNewRoman"/>
          <w:kern w:val="0"/>
          <w:sz w:val="20"/>
          <w:lang w:val="en-US" w:eastAsia="zh-CN"/>
        </w:rPr>
        <w:t xml:space="preserve">                  </w:t>
      </w:r>
      <w:r>
        <w:rPr>
          <w:rFonts w:hint="default" w:ascii="TimesNewRoman" w:hAnsi="TimesNewRoman" w:cs="TimesNewRoman"/>
          <w:kern w:val="0"/>
          <w:sz w:val="20"/>
        </w:rPr>
        <w:t>部门公开表3</w:t>
      </w:r>
    </w:p>
    <w:p w14:paraId="5E7D21B8">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TimesNewRoman" w:hAnsi="TimesNewRoman" w:cs="TimesNewRoman"/>
          <w:kern w:val="0"/>
          <w:sz w:val="20"/>
          <w:lang w:val="en-US" w:eastAsia="zh-CN"/>
        </w:rPr>
      </w:pPr>
      <w:r>
        <w:rPr>
          <w:rFonts w:hint="eastAsia" w:ascii="TimesNewRoman" w:hAnsi="TimesNewRoman" w:eastAsia="华文中宋" w:cs="TimesNewRoman"/>
          <w:b/>
          <w:bCs/>
          <w:kern w:val="0"/>
          <w:szCs w:val="32"/>
          <w:lang w:eastAsia="zh-CN"/>
        </w:rPr>
        <w:t>淮北市相山区数据资源管理局</w:t>
      </w:r>
      <w:r>
        <w:rPr>
          <w:rFonts w:hint="eastAsia" w:ascii="TimesNewRoman" w:hAnsi="TimesNewRoman" w:eastAsia="华文中宋" w:cs="TimesNewRoman"/>
          <w:b/>
          <w:bCs/>
          <w:kern w:val="0"/>
          <w:szCs w:val="32"/>
          <w:lang w:val="en" w:eastAsia="zh-CN"/>
        </w:rPr>
        <w:t>2026</w:t>
      </w:r>
      <w:r>
        <w:rPr>
          <w:rFonts w:hint="default" w:ascii="TimesNewRoman" w:hAnsi="TimesNewRoman" w:eastAsia="华文中宋" w:cs="TimesNewRoman"/>
          <w:b/>
          <w:bCs/>
          <w:kern w:val="0"/>
          <w:szCs w:val="32"/>
        </w:rPr>
        <w:t>年支出总表</w:t>
      </w:r>
      <w:r>
        <w:rPr>
          <w:rFonts w:hint="default" w:ascii="TimesNewRoman" w:hAnsi="TimesNewRoman" w:cs="TimesNewRoman"/>
          <w:kern w:val="0"/>
          <w:sz w:val="20"/>
        </w:rPr>
        <w:t xml:space="preserve">                                                                                           </w:t>
      </w:r>
      <w:r>
        <w:rPr>
          <w:rFonts w:hint="eastAsia" w:ascii="TimesNewRoman" w:hAnsi="TimesNewRoman" w:cs="TimesNewRoman"/>
          <w:kern w:val="0"/>
          <w:sz w:val="20"/>
          <w:lang w:val="en-US" w:eastAsia="zh-CN"/>
        </w:rPr>
        <w:t xml:space="preserve">                            </w:t>
      </w:r>
    </w:p>
    <w:p w14:paraId="1B8C8ACF">
      <w:pPr>
        <w:keepNext w:val="0"/>
        <w:keepLines w:val="0"/>
        <w:pageBreakBefore w:val="0"/>
        <w:kinsoku/>
        <w:overflowPunct/>
        <w:topLinePunct w:val="0"/>
        <w:autoSpaceDE/>
        <w:autoSpaceDN/>
        <w:bidi w:val="0"/>
        <w:spacing w:line="560" w:lineRule="exact"/>
        <w:jc w:val="right"/>
        <w:rPr>
          <w:rFonts w:hint="default" w:ascii="TimesNewRoman" w:hAnsi="TimesNewRoman" w:cs="TimesNewRoman"/>
          <w:kern w:val="0"/>
          <w:sz w:val="20"/>
        </w:rPr>
      </w:pPr>
      <w:r>
        <w:rPr>
          <w:rFonts w:hint="eastAsia" w:ascii="TimesNewRoman" w:hAnsi="TimesNewRoman" w:cs="TimesNewRoman"/>
          <w:kern w:val="0"/>
          <w:sz w:val="20"/>
          <w:lang w:val="en-US" w:eastAsia="zh-CN"/>
        </w:rPr>
        <w:t xml:space="preserve">      </w:t>
      </w:r>
      <w:r>
        <w:rPr>
          <w:rFonts w:hint="default" w:ascii="TimesNewRoman" w:hAnsi="TimesNewRoman" w:cs="TimesNewRoman"/>
          <w:kern w:val="0"/>
          <w:sz w:val="20"/>
        </w:rPr>
        <w:t>单位：万元</w:t>
      </w:r>
    </w:p>
    <w:tbl>
      <w:tblPr>
        <w:tblStyle w:val="4"/>
        <w:tblW w:w="850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79"/>
        <w:gridCol w:w="3469"/>
        <w:gridCol w:w="1119"/>
        <w:gridCol w:w="1119"/>
        <w:gridCol w:w="1119"/>
      </w:tblGrid>
      <w:tr w14:paraId="410942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DC4E7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科目编码</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6D84B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科目名称</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3E869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合计</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F19D7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基本支出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6A744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项目支出</w:t>
            </w:r>
          </w:p>
        </w:tc>
      </w:tr>
      <w:tr w14:paraId="654A64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E306B6">
            <w:pPr>
              <w:spacing w:beforeLines="0" w:afterLines="0"/>
              <w:rPr>
                <w:rFonts w:hint="default"/>
                <w:sz w:val="24"/>
                <w:szCs w:val="24"/>
              </w:rPr>
            </w:pP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87201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合计</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0CDCA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334.81</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1FFC6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215.38</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985D3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119.43</w:t>
            </w:r>
          </w:p>
        </w:tc>
      </w:tr>
      <w:tr w14:paraId="31052E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2D9FC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206</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4AA9E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科学技术支出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1D22F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279.21</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160FB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159.78</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CB55D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119.43</w:t>
            </w:r>
          </w:p>
        </w:tc>
      </w:tr>
      <w:tr w14:paraId="0664FC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52649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20601</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DEC81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科学技术管理事务</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07199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279.21</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1A481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159.78</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EE8D9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119.43</w:t>
            </w:r>
          </w:p>
        </w:tc>
      </w:tr>
      <w:tr w14:paraId="0109E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43382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2060101</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70427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行政运行</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559B0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220.41</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EA819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120.78</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98CD3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99.63</w:t>
            </w:r>
          </w:p>
        </w:tc>
      </w:tr>
      <w:tr w14:paraId="2BD7AA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AB9D5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2060102</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0D1D9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一般行政管理事务</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97933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58.8</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75E37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39</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4AB4E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19.8</w:t>
            </w:r>
          </w:p>
        </w:tc>
      </w:tr>
      <w:tr w14:paraId="529CE4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9E1AD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3F417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社会保障和就业支出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11F21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26.59</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5D9F4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26.59</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CA37CD">
            <w:pPr>
              <w:spacing w:beforeLines="0" w:afterLines="0"/>
              <w:jc w:val="center"/>
              <w:rPr>
                <w:rFonts w:hint="default"/>
                <w:sz w:val="24"/>
                <w:szCs w:val="24"/>
              </w:rPr>
            </w:pPr>
          </w:p>
        </w:tc>
      </w:tr>
      <w:tr w14:paraId="394D49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9DA97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20805</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D4927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行政事业单位养老支出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30418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14.83</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5D58C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14.83</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6D733D">
            <w:pPr>
              <w:spacing w:beforeLines="0" w:afterLines="0"/>
              <w:jc w:val="center"/>
              <w:rPr>
                <w:rFonts w:hint="default"/>
                <w:sz w:val="24"/>
                <w:szCs w:val="24"/>
              </w:rPr>
            </w:pPr>
          </w:p>
        </w:tc>
      </w:tr>
      <w:tr w14:paraId="172732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C1891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2080505</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38F30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机关事业单位基本养老保险缴费支出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DBF4C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9.89</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47986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9.89</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9F1FE2">
            <w:pPr>
              <w:spacing w:beforeLines="0" w:afterLines="0"/>
              <w:jc w:val="center"/>
              <w:rPr>
                <w:rFonts w:hint="default"/>
                <w:sz w:val="24"/>
                <w:szCs w:val="24"/>
              </w:rPr>
            </w:pPr>
          </w:p>
        </w:tc>
      </w:tr>
      <w:tr w14:paraId="61F4F5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1C36D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2080506</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FBAD2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机关事业单位职业年金缴费支出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79D96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4.94</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BC617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4.94</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C4FE63">
            <w:pPr>
              <w:spacing w:beforeLines="0" w:afterLines="0"/>
              <w:jc w:val="center"/>
              <w:rPr>
                <w:rFonts w:hint="default"/>
                <w:sz w:val="24"/>
                <w:szCs w:val="24"/>
              </w:rPr>
            </w:pPr>
          </w:p>
        </w:tc>
      </w:tr>
      <w:tr w14:paraId="072A29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83555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20899</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D94E6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其他社会保障和就业支出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DF9CD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11.76</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781CC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11.76</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6E936E">
            <w:pPr>
              <w:spacing w:beforeLines="0" w:afterLines="0"/>
              <w:jc w:val="center"/>
              <w:rPr>
                <w:rFonts w:hint="default"/>
                <w:sz w:val="24"/>
                <w:szCs w:val="24"/>
              </w:rPr>
            </w:pPr>
          </w:p>
        </w:tc>
      </w:tr>
      <w:tr w14:paraId="503585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0287B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2089999</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E2C5F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其他社会保障和就业支出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64714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11.76</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9E305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11.76</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0C93D7">
            <w:pPr>
              <w:spacing w:beforeLines="0" w:afterLines="0"/>
              <w:jc w:val="center"/>
              <w:rPr>
                <w:rFonts w:hint="default"/>
                <w:sz w:val="24"/>
                <w:szCs w:val="24"/>
              </w:rPr>
            </w:pPr>
          </w:p>
        </w:tc>
      </w:tr>
      <w:tr w14:paraId="6EA565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65D75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210</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35759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卫生健康支出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34F2E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6.3</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4EA56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6.3</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02EECD">
            <w:pPr>
              <w:spacing w:beforeLines="0" w:afterLines="0"/>
              <w:jc w:val="center"/>
              <w:rPr>
                <w:rFonts w:hint="default"/>
                <w:sz w:val="24"/>
                <w:szCs w:val="24"/>
              </w:rPr>
            </w:pPr>
          </w:p>
        </w:tc>
      </w:tr>
      <w:tr w14:paraId="51B730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182DA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21011</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95F5B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行政事业单位医疗</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A177D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6.3</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7D087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6.3</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EB53BB">
            <w:pPr>
              <w:spacing w:beforeLines="0" w:afterLines="0"/>
              <w:jc w:val="center"/>
              <w:rPr>
                <w:rFonts w:hint="default"/>
                <w:sz w:val="24"/>
                <w:szCs w:val="24"/>
              </w:rPr>
            </w:pPr>
          </w:p>
        </w:tc>
      </w:tr>
      <w:tr w14:paraId="65FF60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BE69D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2101101</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B0C03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行政单位医疗</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B1444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4.45</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AEF7A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4.45</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647F12">
            <w:pPr>
              <w:spacing w:beforeLines="0" w:afterLines="0"/>
              <w:jc w:val="center"/>
              <w:rPr>
                <w:rFonts w:hint="default"/>
                <w:sz w:val="24"/>
                <w:szCs w:val="24"/>
              </w:rPr>
            </w:pPr>
          </w:p>
        </w:tc>
      </w:tr>
      <w:tr w14:paraId="10BA5E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F6D49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2101103</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7A7E1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公务员医疗补助</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97414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1.85</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0FDA6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1.85</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4B2966">
            <w:pPr>
              <w:spacing w:beforeLines="0" w:afterLines="0"/>
              <w:jc w:val="center"/>
              <w:rPr>
                <w:rFonts w:hint="default"/>
                <w:sz w:val="24"/>
                <w:szCs w:val="24"/>
              </w:rPr>
            </w:pPr>
          </w:p>
        </w:tc>
      </w:tr>
      <w:tr w14:paraId="722428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BDD9A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221</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81612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住房保障支出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A520C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22.71</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6881A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22.71</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8DAAFB">
            <w:pPr>
              <w:spacing w:beforeLines="0" w:afterLines="0"/>
              <w:jc w:val="center"/>
              <w:rPr>
                <w:rFonts w:hint="default"/>
                <w:sz w:val="24"/>
                <w:szCs w:val="24"/>
              </w:rPr>
            </w:pPr>
          </w:p>
        </w:tc>
      </w:tr>
      <w:tr w14:paraId="0C8D5B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5CC5E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22102</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D0B92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住房改革支出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0A33C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22.71</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E7E4F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22.71</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E06C4D">
            <w:pPr>
              <w:spacing w:beforeLines="0" w:afterLines="0"/>
              <w:jc w:val="center"/>
              <w:rPr>
                <w:rFonts w:hint="default"/>
                <w:sz w:val="24"/>
                <w:szCs w:val="24"/>
              </w:rPr>
            </w:pPr>
          </w:p>
        </w:tc>
      </w:tr>
      <w:tr w14:paraId="0AE4AB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9B92A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2210201</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47667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住房公积金</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27E93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13.62</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C0DA6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13.62</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F32969">
            <w:pPr>
              <w:spacing w:beforeLines="0" w:afterLines="0"/>
              <w:jc w:val="center"/>
              <w:rPr>
                <w:rFonts w:hint="default"/>
                <w:sz w:val="24"/>
                <w:szCs w:val="24"/>
              </w:rPr>
            </w:pPr>
          </w:p>
        </w:tc>
      </w:tr>
      <w:tr w14:paraId="5CFE56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35FAB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2210202</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27001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提租补贴</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222C4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3.41</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E9FDE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3.41</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CC1C5B">
            <w:pPr>
              <w:spacing w:beforeLines="0" w:afterLines="0"/>
              <w:jc w:val="center"/>
              <w:rPr>
                <w:rFonts w:hint="default"/>
                <w:sz w:val="24"/>
                <w:szCs w:val="24"/>
              </w:rPr>
            </w:pPr>
          </w:p>
        </w:tc>
      </w:tr>
      <w:tr w14:paraId="497D41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00088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2210203</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D141A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购房补贴</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B4462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5.68</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9AF33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5.68</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BC1979">
            <w:pPr>
              <w:spacing w:beforeLines="0" w:afterLines="0"/>
              <w:jc w:val="center"/>
              <w:rPr>
                <w:rFonts w:hint="default"/>
                <w:sz w:val="24"/>
                <w:szCs w:val="24"/>
              </w:rPr>
            </w:pPr>
          </w:p>
        </w:tc>
      </w:tr>
    </w:tbl>
    <w:p w14:paraId="0A4F1C43">
      <w:pPr>
        <w:keepNext w:val="0"/>
        <w:keepLines w:val="0"/>
        <w:pageBreakBefore w:val="0"/>
        <w:kinsoku/>
        <w:overflowPunct/>
        <w:topLinePunct w:val="0"/>
        <w:autoSpaceDE/>
        <w:autoSpaceDN/>
        <w:bidi w:val="0"/>
        <w:spacing w:line="560" w:lineRule="exact"/>
        <w:rPr>
          <w:rFonts w:hint="default" w:ascii="TimesNewRoman" w:hAnsi="TimesNewRoman" w:cs="TimesNewRoman"/>
        </w:rPr>
      </w:pPr>
    </w:p>
    <w:p w14:paraId="02849434">
      <w:pPr>
        <w:keepNext w:val="0"/>
        <w:keepLines w:val="0"/>
        <w:pageBreakBefore w:val="0"/>
        <w:kinsoku/>
        <w:overflowPunct/>
        <w:topLinePunct w:val="0"/>
        <w:autoSpaceDE/>
        <w:autoSpaceDN/>
        <w:bidi w:val="0"/>
        <w:spacing w:line="560" w:lineRule="exact"/>
        <w:rPr>
          <w:rFonts w:hint="default" w:ascii="TimesNewRoman" w:hAnsi="TimesNewRoman" w:cs="TimesNewRoman"/>
        </w:rPr>
      </w:pPr>
    </w:p>
    <w:p w14:paraId="0A89E36E">
      <w:pPr>
        <w:keepNext w:val="0"/>
        <w:keepLines w:val="0"/>
        <w:pageBreakBefore w:val="0"/>
        <w:kinsoku/>
        <w:overflowPunct/>
        <w:topLinePunct w:val="0"/>
        <w:autoSpaceDE/>
        <w:autoSpaceDN/>
        <w:bidi w:val="0"/>
        <w:spacing w:line="560" w:lineRule="exact"/>
        <w:rPr>
          <w:rFonts w:hint="default" w:ascii="TimesNewRoman" w:hAnsi="TimesNewRoman" w:cs="TimesNewRoman"/>
        </w:rPr>
      </w:pPr>
    </w:p>
    <w:p w14:paraId="49E6F97D">
      <w:pPr>
        <w:keepNext w:val="0"/>
        <w:keepLines w:val="0"/>
        <w:pageBreakBefore w:val="0"/>
        <w:kinsoku/>
        <w:overflowPunct/>
        <w:topLinePunct w:val="0"/>
        <w:autoSpaceDE/>
        <w:autoSpaceDN/>
        <w:bidi w:val="0"/>
        <w:spacing w:line="560" w:lineRule="exact"/>
        <w:rPr>
          <w:rFonts w:hint="default" w:ascii="TimesNewRoman" w:hAnsi="TimesNewRoman" w:cs="TimesNewRoman"/>
        </w:rPr>
      </w:pPr>
    </w:p>
    <w:p w14:paraId="6A124777">
      <w:pPr>
        <w:keepNext w:val="0"/>
        <w:keepLines w:val="0"/>
        <w:pageBreakBefore w:val="0"/>
        <w:kinsoku/>
        <w:overflowPunct/>
        <w:topLinePunct w:val="0"/>
        <w:autoSpaceDE/>
        <w:autoSpaceDN/>
        <w:bidi w:val="0"/>
        <w:spacing w:line="560" w:lineRule="exact"/>
        <w:rPr>
          <w:rFonts w:hint="default" w:ascii="TimesNewRoman" w:hAnsi="TimesNewRoman" w:cs="TimesNewRoman"/>
        </w:rPr>
      </w:pPr>
    </w:p>
    <w:p w14:paraId="7442F184">
      <w:pPr>
        <w:keepNext w:val="0"/>
        <w:keepLines w:val="0"/>
        <w:pageBreakBefore w:val="0"/>
        <w:kinsoku/>
        <w:overflowPunct/>
        <w:topLinePunct w:val="0"/>
        <w:autoSpaceDE/>
        <w:autoSpaceDN/>
        <w:bidi w:val="0"/>
        <w:spacing w:line="560" w:lineRule="exact"/>
        <w:rPr>
          <w:rFonts w:hint="default" w:ascii="TimesNewRoman" w:hAnsi="TimesNewRoman" w:cs="TimesNewRoman"/>
        </w:rPr>
      </w:pPr>
    </w:p>
    <w:p w14:paraId="0072C13E">
      <w:pPr>
        <w:keepNext w:val="0"/>
        <w:keepLines w:val="0"/>
        <w:pageBreakBefore w:val="0"/>
        <w:kinsoku/>
        <w:overflowPunct/>
        <w:topLinePunct w:val="0"/>
        <w:autoSpaceDE/>
        <w:autoSpaceDN/>
        <w:bidi w:val="0"/>
        <w:spacing w:line="560" w:lineRule="exact"/>
        <w:rPr>
          <w:rFonts w:hint="default" w:ascii="TimesNewRoman" w:hAnsi="TimesNewRoman" w:cs="TimesNewRoman"/>
        </w:rPr>
      </w:pPr>
    </w:p>
    <w:p w14:paraId="55613BC3">
      <w:pPr>
        <w:keepNext w:val="0"/>
        <w:keepLines w:val="0"/>
        <w:pageBreakBefore w:val="0"/>
        <w:kinsoku/>
        <w:overflowPunct/>
        <w:topLinePunct w:val="0"/>
        <w:autoSpaceDE/>
        <w:autoSpaceDN/>
        <w:bidi w:val="0"/>
        <w:spacing w:line="560" w:lineRule="exact"/>
        <w:rPr>
          <w:rFonts w:hint="default" w:ascii="TimesNewRoman" w:hAnsi="TimesNewRoman" w:cs="TimesNewRoman"/>
        </w:rPr>
      </w:pPr>
    </w:p>
    <w:p w14:paraId="4E3A27DD">
      <w:pPr>
        <w:keepNext w:val="0"/>
        <w:keepLines w:val="0"/>
        <w:pageBreakBefore w:val="0"/>
        <w:kinsoku/>
        <w:overflowPunct/>
        <w:topLinePunct w:val="0"/>
        <w:autoSpaceDE/>
        <w:autoSpaceDN/>
        <w:bidi w:val="0"/>
        <w:spacing w:line="560" w:lineRule="exact"/>
        <w:rPr>
          <w:rFonts w:hint="default" w:ascii="TimesNewRoman" w:hAnsi="TimesNewRoman" w:cs="TimesNewRoman"/>
          <w:kern w:val="0"/>
          <w:sz w:val="20"/>
        </w:rPr>
      </w:pPr>
      <w:r>
        <w:rPr>
          <w:rFonts w:hint="default" w:ascii="TimesNewRoman" w:hAnsi="TimesNewRoman" w:cs="TimesNewRoman"/>
          <w:kern w:val="0"/>
          <w:sz w:val="20"/>
        </w:rPr>
        <w:t xml:space="preserve">                                                             部门公开表4</w:t>
      </w:r>
    </w:p>
    <w:p w14:paraId="52FEF16A">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NewRoman" w:hAnsi="TimesNewRoman" w:eastAsia="华文中宋" w:cs="TimesNewRoman"/>
          <w:b/>
          <w:bCs/>
          <w:kern w:val="0"/>
          <w:sz w:val="30"/>
          <w:szCs w:val="30"/>
        </w:rPr>
      </w:pPr>
      <w:r>
        <w:rPr>
          <w:rFonts w:hint="eastAsia" w:ascii="TimesNewRoman" w:hAnsi="TimesNewRoman" w:eastAsia="华文中宋" w:cs="TimesNewRoman"/>
          <w:b/>
          <w:bCs/>
          <w:kern w:val="0"/>
          <w:sz w:val="30"/>
          <w:szCs w:val="30"/>
          <w:lang w:eastAsia="zh-CN"/>
        </w:rPr>
        <w:t>淮北市相山区数据资源管理局</w:t>
      </w:r>
      <w:r>
        <w:rPr>
          <w:rFonts w:hint="eastAsia" w:ascii="TimesNewRoman" w:hAnsi="TimesNewRoman" w:eastAsia="华文中宋" w:cs="TimesNewRoman"/>
          <w:b/>
          <w:bCs/>
          <w:kern w:val="0"/>
          <w:sz w:val="30"/>
          <w:szCs w:val="30"/>
          <w:lang w:val="en" w:eastAsia="zh-CN"/>
        </w:rPr>
        <w:t>2026</w:t>
      </w:r>
      <w:r>
        <w:rPr>
          <w:rFonts w:hint="default" w:ascii="TimesNewRoman" w:hAnsi="TimesNewRoman" w:eastAsia="华文中宋" w:cs="TimesNewRoman"/>
          <w:b/>
          <w:bCs/>
          <w:kern w:val="0"/>
          <w:sz w:val="30"/>
          <w:szCs w:val="30"/>
        </w:rPr>
        <w:t>年财政拨款收支总表</w:t>
      </w:r>
    </w:p>
    <w:p w14:paraId="3CB47327">
      <w:pPr>
        <w:keepNext w:val="0"/>
        <w:keepLines w:val="0"/>
        <w:pageBreakBefore w:val="0"/>
        <w:widowControl w:val="0"/>
        <w:kinsoku/>
        <w:wordWrap/>
        <w:overflowPunct/>
        <w:topLinePunct w:val="0"/>
        <w:autoSpaceDE/>
        <w:autoSpaceDN/>
        <w:bidi w:val="0"/>
        <w:adjustRightInd/>
        <w:snapToGrid/>
        <w:spacing w:line="560" w:lineRule="exact"/>
        <w:ind w:left="0" w:hanging="7400" w:hangingChars="3700"/>
        <w:textAlignment w:val="auto"/>
        <w:rPr>
          <w:rFonts w:hint="default" w:ascii="TimesNewRoman" w:hAnsi="TimesNewRoman" w:cs="TimesNewRoman"/>
          <w:kern w:val="0"/>
          <w:sz w:val="20"/>
        </w:rPr>
      </w:pPr>
      <w:r>
        <w:rPr>
          <w:rFonts w:hint="default" w:ascii="TimesNewRoman" w:hAnsi="TimesNewRoman" w:cs="TimesNewRoman"/>
          <w:kern w:val="0"/>
          <w:sz w:val="20"/>
        </w:rPr>
        <w:t xml:space="preserve">                                                                    单位：万元</w:t>
      </w:r>
    </w:p>
    <w:tbl>
      <w:tblPr>
        <w:tblStyle w:val="4"/>
        <w:tblW w:w="85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977"/>
        <w:gridCol w:w="1276"/>
        <w:gridCol w:w="2977"/>
        <w:gridCol w:w="1276"/>
      </w:tblGrid>
      <w:tr w14:paraId="74B892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25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77F11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收  入</w:t>
            </w:r>
          </w:p>
        </w:tc>
        <w:tc>
          <w:tcPr>
            <w:tcW w:w="425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BB886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支  出</w:t>
            </w:r>
          </w:p>
        </w:tc>
      </w:tr>
      <w:tr w14:paraId="46B1F6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85772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项目</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4AF6F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预 算 数</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25D4C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项目</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9A04A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预 算 数</w:t>
            </w:r>
          </w:p>
        </w:tc>
      </w:tr>
      <w:tr w14:paraId="6136C6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99E76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一、本年收入</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45BCF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334.81</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45BD5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一、本年支出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E5DE5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334.81</w:t>
            </w:r>
          </w:p>
        </w:tc>
      </w:tr>
      <w:tr w14:paraId="061595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B87D4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（一）一般公共预算拨款</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F7888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334.81</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067D6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（一）一般公共服务支出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CC8816">
            <w:pPr>
              <w:spacing w:beforeLines="0" w:afterLines="0"/>
              <w:jc w:val="center"/>
              <w:rPr>
                <w:rFonts w:hint="default"/>
                <w:sz w:val="24"/>
                <w:szCs w:val="24"/>
              </w:rPr>
            </w:pPr>
          </w:p>
        </w:tc>
      </w:tr>
      <w:tr w14:paraId="351119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001E9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（二）政府性基金预算拨款</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63D5C3">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FE32F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（二）外交支出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921D11">
            <w:pPr>
              <w:spacing w:beforeLines="0" w:afterLines="0"/>
              <w:jc w:val="center"/>
              <w:rPr>
                <w:rFonts w:hint="default"/>
                <w:sz w:val="24"/>
                <w:szCs w:val="24"/>
              </w:rPr>
            </w:pPr>
          </w:p>
        </w:tc>
      </w:tr>
      <w:tr w14:paraId="13A1CB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E7113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（三）国有资本经营预算拨款</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AD1651">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737C8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（三）国防支出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2D12FA">
            <w:pPr>
              <w:spacing w:beforeLines="0" w:afterLines="0"/>
              <w:jc w:val="center"/>
              <w:rPr>
                <w:rFonts w:hint="default"/>
                <w:sz w:val="24"/>
                <w:szCs w:val="24"/>
              </w:rPr>
            </w:pPr>
          </w:p>
        </w:tc>
      </w:tr>
      <w:tr w14:paraId="6C1AA4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783D04">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A9A7BF">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8E268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（四）公共安全支出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EA23F6">
            <w:pPr>
              <w:spacing w:beforeLines="0" w:afterLines="0"/>
              <w:jc w:val="center"/>
              <w:rPr>
                <w:rFonts w:hint="default"/>
                <w:sz w:val="24"/>
                <w:szCs w:val="24"/>
              </w:rPr>
            </w:pPr>
          </w:p>
        </w:tc>
      </w:tr>
      <w:tr w14:paraId="493323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74B46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二、上年结转</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BC1AD6">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C86AE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（五）教育支出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D06FA5">
            <w:pPr>
              <w:spacing w:beforeLines="0" w:afterLines="0"/>
              <w:jc w:val="center"/>
              <w:rPr>
                <w:rFonts w:hint="default"/>
                <w:sz w:val="24"/>
                <w:szCs w:val="24"/>
              </w:rPr>
            </w:pPr>
          </w:p>
        </w:tc>
      </w:tr>
      <w:tr w14:paraId="1A7422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C18FC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（一）一般公共预算拨款</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41DB60">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5BF4F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（六）科学技术支出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BD18A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279.21</w:t>
            </w:r>
          </w:p>
        </w:tc>
      </w:tr>
      <w:tr w14:paraId="2D928D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84F89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（二）政府性基金预算拨款</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F7D99C">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B29F1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（七）文化旅游体育与传媒支出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599AEC">
            <w:pPr>
              <w:spacing w:beforeLines="0" w:afterLines="0"/>
              <w:jc w:val="center"/>
              <w:rPr>
                <w:rFonts w:hint="default"/>
                <w:sz w:val="24"/>
                <w:szCs w:val="24"/>
              </w:rPr>
            </w:pPr>
          </w:p>
        </w:tc>
      </w:tr>
      <w:tr w14:paraId="2284C1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DD7B8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（三）国有资本经营预算拨款</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F962B1">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B1ABD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（八）社会保障和就业支出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5A451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26.59</w:t>
            </w:r>
          </w:p>
        </w:tc>
      </w:tr>
      <w:tr w14:paraId="0C69A1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39C4FF">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3BBB8C">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D5FC4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（九）卫生健康支出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F6BEA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6.3</w:t>
            </w:r>
          </w:p>
        </w:tc>
      </w:tr>
      <w:tr w14:paraId="769A77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710D05">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E399E1">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72542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（十）节能环保支出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F100C0">
            <w:pPr>
              <w:spacing w:beforeLines="0" w:afterLines="0"/>
              <w:jc w:val="center"/>
              <w:rPr>
                <w:rFonts w:hint="default"/>
                <w:sz w:val="24"/>
                <w:szCs w:val="24"/>
              </w:rPr>
            </w:pPr>
          </w:p>
        </w:tc>
      </w:tr>
      <w:tr w14:paraId="4CC26C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A57A75">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27F588">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AA470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（十一）城乡社区支出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94198D">
            <w:pPr>
              <w:spacing w:beforeLines="0" w:afterLines="0"/>
              <w:jc w:val="center"/>
              <w:rPr>
                <w:rFonts w:hint="default"/>
                <w:sz w:val="24"/>
                <w:szCs w:val="24"/>
              </w:rPr>
            </w:pPr>
          </w:p>
        </w:tc>
      </w:tr>
      <w:tr w14:paraId="268585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8B63E5">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B35D9A">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DDEC2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（十二）农林水支出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1C7767">
            <w:pPr>
              <w:spacing w:beforeLines="0" w:afterLines="0"/>
              <w:jc w:val="center"/>
              <w:rPr>
                <w:rFonts w:hint="default"/>
                <w:sz w:val="24"/>
                <w:szCs w:val="24"/>
              </w:rPr>
            </w:pPr>
          </w:p>
        </w:tc>
      </w:tr>
      <w:tr w14:paraId="2B747B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499A46">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3022C6">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9B1C5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（十三）交通运输支出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ADBBCE">
            <w:pPr>
              <w:spacing w:beforeLines="0" w:afterLines="0"/>
              <w:jc w:val="center"/>
              <w:rPr>
                <w:rFonts w:hint="default"/>
                <w:sz w:val="24"/>
                <w:szCs w:val="24"/>
              </w:rPr>
            </w:pPr>
          </w:p>
        </w:tc>
      </w:tr>
      <w:tr w14:paraId="16BAE0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6D9315">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99B685">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67605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（十四）资源勘探工业信息等支出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8CF4CE">
            <w:pPr>
              <w:spacing w:beforeLines="0" w:afterLines="0"/>
              <w:jc w:val="center"/>
              <w:rPr>
                <w:rFonts w:hint="default"/>
                <w:sz w:val="24"/>
                <w:szCs w:val="24"/>
              </w:rPr>
            </w:pPr>
          </w:p>
        </w:tc>
      </w:tr>
      <w:tr w14:paraId="03AA05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5402E0">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CAB5A4">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D6BD2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（十五）商业服务业等支出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038974">
            <w:pPr>
              <w:spacing w:beforeLines="0" w:afterLines="0"/>
              <w:jc w:val="center"/>
              <w:rPr>
                <w:rFonts w:hint="default"/>
                <w:sz w:val="24"/>
                <w:szCs w:val="24"/>
              </w:rPr>
            </w:pPr>
          </w:p>
        </w:tc>
      </w:tr>
      <w:tr w14:paraId="5F4665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CDF3AF">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D37D07">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8CB9D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（十六）金融支出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DC8CFE">
            <w:pPr>
              <w:spacing w:beforeLines="0" w:afterLines="0"/>
              <w:jc w:val="center"/>
              <w:rPr>
                <w:rFonts w:hint="default"/>
                <w:sz w:val="24"/>
                <w:szCs w:val="24"/>
              </w:rPr>
            </w:pPr>
          </w:p>
        </w:tc>
      </w:tr>
      <w:tr w14:paraId="1FC533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9321FB">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7DB168">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A83E7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（十七）援助其他地区支出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D9C8EC">
            <w:pPr>
              <w:spacing w:beforeLines="0" w:afterLines="0"/>
              <w:jc w:val="center"/>
              <w:rPr>
                <w:rFonts w:hint="default"/>
                <w:sz w:val="24"/>
                <w:szCs w:val="24"/>
              </w:rPr>
            </w:pPr>
          </w:p>
        </w:tc>
      </w:tr>
      <w:tr w14:paraId="094DCE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D68376">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DF6D7C">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2EA8F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（十八）自然资源海洋气象等支出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72A859">
            <w:pPr>
              <w:spacing w:beforeLines="0" w:afterLines="0"/>
              <w:jc w:val="center"/>
              <w:rPr>
                <w:rFonts w:hint="default"/>
                <w:sz w:val="24"/>
                <w:szCs w:val="24"/>
              </w:rPr>
            </w:pPr>
          </w:p>
        </w:tc>
      </w:tr>
      <w:tr w14:paraId="0F5421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0A545A">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94ED62">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F87D6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（十九）住房保障支出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C8077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22.71</w:t>
            </w:r>
          </w:p>
        </w:tc>
      </w:tr>
      <w:tr w14:paraId="1D3B6E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800F4C">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A3F87D">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85E87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（二十）粮油物资储备支出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6CB160">
            <w:pPr>
              <w:spacing w:beforeLines="0" w:afterLines="0"/>
              <w:jc w:val="center"/>
              <w:rPr>
                <w:rFonts w:hint="default"/>
                <w:sz w:val="24"/>
                <w:szCs w:val="24"/>
              </w:rPr>
            </w:pPr>
          </w:p>
        </w:tc>
      </w:tr>
      <w:tr w14:paraId="4CA160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BC96DF">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D3E37E">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827E7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（二十一）灾害防治及应急管理支出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AD55BD">
            <w:pPr>
              <w:spacing w:beforeLines="0" w:afterLines="0"/>
              <w:jc w:val="center"/>
              <w:rPr>
                <w:rFonts w:hint="default"/>
                <w:sz w:val="24"/>
                <w:szCs w:val="24"/>
              </w:rPr>
            </w:pPr>
          </w:p>
        </w:tc>
      </w:tr>
      <w:tr w14:paraId="62A97C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8428DB">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1528A1">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B9808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（二十二）预备费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9094F8">
            <w:pPr>
              <w:spacing w:beforeLines="0" w:afterLines="0"/>
              <w:jc w:val="center"/>
              <w:rPr>
                <w:rFonts w:hint="default"/>
                <w:sz w:val="24"/>
                <w:szCs w:val="24"/>
              </w:rPr>
            </w:pPr>
          </w:p>
        </w:tc>
      </w:tr>
      <w:tr w14:paraId="340C30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F2903D">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E48F78">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B5557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（二十三）其他支出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DA9F84">
            <w:pPr>
              <w:spacing w:beforeLines="0" w:afterLines="0"/>
              <w:jc w:val="center"/>
              <w:rPr>
                <w:rFonts w:hint="default"/>
                <w:sz w:val="24"/>
                <w:szCs w:val="24"/>
              </w:rPr>
            </w:pPr>
          </w:p>
        </w:tc>
      </w:tr>
      <w:tr w14:paraId="19C982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3125A1">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40B1DE">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41510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（二十四）转移性支出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46DA89">
            <w:pPr>
              <w:spacing w:beforeLines="0" w:afterLines="0"/>
              <w:jc w:val="center"/>
              <w:rPr>
                <w:rFonts w:hint="default"/>
                <w:sz w:val="24"/>
                <w:szCs w:val="24"/>
              </w:rPr>
            </w:pPr>
          </w:p>
        </w:tc>
      </w:tr>
      <w:tr w14:paraId="62968E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912C41">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DAD232">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77BA4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（二十五）债务还本支出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1F22FC">
            <w:pPr>
              <w:spacing w:beforeLines="0" w:afterLines="0"/>
              <w:jc w:val="center"/>
              <w:rPr>
                <w:rFonts w:hint="default"/>
                <w:sz w:val="24"/>
                <w:szCs w:val="24"/>
              </w:rPr>
            </w:pPr>
          </w:p>
        </w:tc>
      </w:tr>
      <w:tr w14:paraId="04C8BD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3FB104">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518F36">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F80FB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（二十六）债务付息支出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F4B7A8">
            <w:pPr>
              <w:spacing w:beforeLines="0" w:afterLines="0"/>
              <w:jc w:val="center"/>
              <w:rPr>
                <w:rFonts w:hint="default"/>
                <w:sz w:val="24"/>
                <w:szCs w:val="24"/>
              </w:rPr>
            </w:pPr>
          </w:p>
        </w:tc>
      </w:tr>
      <w:tr w14:paraId="2D880D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174B7C">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9377F6">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16DF6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（二十七）债务发行费用支出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53C4BE">
            <w:pPr>
              <w:spacing w:beforeLines="0" w:afterLines="0"/>
              <w:jc w:val="center"/>
              <w:rPr>
                <w:rFonts w:hint="default"/>
                <w:sz w:val="24"/>
                <w:szCs w:val="24"/>
              </w:rPr>
            </w:pPr>
          </w:p>
        </w:tc>
      </w:tr>
      <w:tr w14:paraId="75F8FF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E5EC87">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4BCE2A">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3F7B3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二、年终结转结余</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580F25">
            <w:pPr>
              <w:spacing w:beforeLines="0" w:afterLines="0"/>
              <w:jc w:val="center"/>
              <w:rPr>
                <w:rFonts w:hint="default"/>
                <w:sz w:val="24"/>
                <w:szCs w:val="24"/>
              </w:rPr>
            </w:pPr>
          </w:p>
        </w:tc>
      </w:tr>
      <w:tr w14:paraId="3B8BEB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E393B0">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FA72AD">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E8534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（一）一般公共预算结转结余</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4EA4D3">
            <w:pPr>
              <w:spacing w:beforeLines="0" w:afterLines="0"/>
              <w:jc w:val="center"/>
              <w:rPr>
                <w:rFonts w:hint="default"/>
                <w:sz w:val="24"/>
                <w:szCs w:val="24"/>
              </w:rPr>
            </w:pPr>
          </w:p>
        </w:tc>
      </w:tr>
      <w:tr w14:paraId="02D6C8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FC5CA8">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6DA2B8">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7B83C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（二）政府性基金预算结转结余</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C181C9">
            <w:pPr>
              <w:spacing w:beforeLines="0" w:afterLines="0"/>
              <w:jc w:val="center"/>
              <w:rPr>
                <w:rFonts w:hint="default"/>
                <w:sz w:val="24"/>
                <w:szCs w:val="24"/>
              </w:rPr>
            </w:pPr>
          </w:p>
        </w:tc>
      </w:tr>
      <w:tr w14:paraId="365CC6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09E74B">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99C63B">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349B1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（三）国有资本经营预算结转结余</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3F1BD7">
            <w:pPr>
              <w:spacing w:beforeLines="0" w:afterLines="0"/>
              <w:jc w:val="center"/>
              <w:rPr>
                <w:rFonts w:hint="default"/>
                <w:sz w:val="24"/>
                <w:szCs w:val="24"/>
              </w:rPr>
            </w:pPr>
          </w:p>
        </w:tc>
      </w:tr>
      <w:tr w14:paraId="3585C9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3EF17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收   入   总   计</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72761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334.81</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89469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支　出  总　计</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83F93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334.81</w:t>
            </w:r>
          </w:p>
        </w:tc>
      </w:tr>
    </w:tbl>
    <w:p w14:paraId="20A43D70">
      <w:pPr>
        <w:keepNext w:val="0"/>
        <w:keepLines w:val="0"/>
        <w:pageBreakBefore w:val="0"/>
        <w:kinsoku/>
        <w:overflowPunct/>
        <w:topLinePunct w:val="0"/>
        <w:autoSpaceDE/>
        <w:autoSpaceDN/>
        <w:bidi w:val="0"/>
        <w:spacing w:line="560" w:lineRule="exact"/>
        <w:jc w:val="right"/>
        <w:rPr>
          <w:rFonts w:hint="default" w:ascii="TimesNewRoman" w:hAnsi="TimesNewRoman" w:cs="TimesNewRoman"/>
          <w:kern w:val="0"/>
          <w:sz w:val="20"/>
        </w:rPr>
      </w:pPr>
      <w:r>
        <w:rPr>
          <w:rFonts w:hint="default" w:ascii="TimesNewRoman" w:hAnsi="TimesNewRoman" w:cs="TimesNewRoman"/>
          <w:kern w:val="0"/>
          <w:sz w:val="20"/>
        </w:rPr>
        <w:t>部门公开表5</w:t>
      </w:r>
    </w:p>
    <w:p w14:paraId="3F04D5D9">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NewRoman" w:hAnsi="TimesNewRoman" w:eastAsia="华文中宋" w:cs="TimesNewRoman"/>
          <w:b/>
          <w:bCs/>
          <w:kern w:val="0"/>
          <w:sz w:val="30"/>
          <w:szCs w:val="30"/>
        </w:rPr>
      </w:pPr>
      <w:r>
        <w:rPr>
          <w:rFonts w:hint="eastAsia" w:ascii="TimesNewRoman" w:hAnsi="TimesNewRoman" w:eastAsia="华文中宋" w:cs="TimesNewRoman"/>
          <w:b/>
          <w:bCs/>
          <w:kern w:val="0"/>
          <w:sz w:val="30"/>
          <w:szCs w:val="30"/>
          <w:lang w:val="en-US" w:eastAsia="zh-CN"/>
        </w:rPr>
        <w:t xml:space="preserve">  </w:t>
      </w:r>
      <w:r>
        <w:rPr>
          <w:rFonts w:hint="eastAsia" w:ascii="TimesNewRoman" w:hAnsi="TimesNewRoman" w:eastAsia="华文中宋" w:cs="TimesNewRoman"/>
          <w:b/>
          <w:bCs/>
          <w:kern w:val="0"/>
          <w:sz w:val="30"/>
          <w:szCs w:val="30"/>
          <w:lang w:eastAsia="zh-CN"/>
        </w:rPr>
        <w:t>淮北市相山区数据资源管理局</w:t>
      </w:r>
      <w:r>
        <w:rPr>
          <w:rFonts w:hint="eastAsia" w:ascii="TimesNewRoman" w:hAnsi="TimesNewRoman" w:eastAsia="华文中宋" w:cs="TimesNewRoman"/>
          <w:b/>
          <w:bCs/>
          <w:kern w:val="0"/>
          <w:sz w:val="30"/>
          <w:szCs w:val="30"/>
          <w:lang w:val="en" w:eastAsia="zh-CN"/>
        </w:rPr>
        <w:t>2026</w:t>
      </w:r>
      <w:r>
        <w:rPr>
          <w:rFonts w:hint="default" w:ascii="TimesNewRoman" w:hAnsi="TimesNewRoman" w:eastAsia="华文中宋" w:cs="TimesNewRoman"/>
          <w:b/>
          <w:bCs/>
          <w:kern w:val="0"/>
          <w:sz w:val="30"/>
          <w:szCs w:val="30"/>
        </w:rPr>
        <w:t>年一般公共预算支出表</w:t>
      </w:r>
    </w:p>
    <w:p w14:paraId="16C2F84B">
      <w:pPr>
        <w:keepNext w:val="0"/>
        <w:keepLines w:val="0"/>
        <w:pageBreakBefore w:val="0"/>
        <w:kinsoku/>
        <w:overflowPunct/>
        <w:topLinePunct w:val="0"/>
        <w:autoSpaceDE/>
        <w:autoSpaceDN/>
        <w:bidi w:val="0"/>
        <w:spacing w:line="560" w:lineRule="exact"/>
        <w:ind w:left="7400" w:hanging="7400" w:hangingChars="3700"/>
        <w:rPr>
          <w:rFonts w:hint="default" w:ascii="TimesNewRoman" w:hAnsi="TimesNewRoman" w:cs="TimesNewRoman"/>
          <w:kern w:val="0"/>
          <w:sz w:val="20"/>
        </w:rPr>
      </w:pPr>
      <w:r>
        <w:rPr>
          <w:rFonts w:hint="default" w:ascii="TimesNewRoman" w:hAnsi="TimesNewRoman" w:cs="TimesNewRoman"/>
          <w:kern w:val="0"/>
          <w:sz w:val="20"/>
        </w:rPr>
        <w:t xml:space="preserve">                                                                       单位：万元</w:t>
      </w:r>
    </w:p>
    <w:tbl>
      <w:tblPr>
        <w:tblStyle w:val="4"/>
        <w:tblW w:w="850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31"/>
        <w:gridCol w:w="2722"/>
        <w:gridCol w:w="850"/>
        <w:gridCol w:w="850"/>
        <w:gridCol w:w="850"/>
        <w:gridCol w:w="850"/>
        <w:gridCol w:w="850"/>
      </w:tblGrid>
      <w:tr w14:paraId="6ED6D6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AF218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科目编码</w:t>
            </w:r>
          </w:p>
        </w:tc>
        <w:tc>
          <w:tcPr>
            <w:tcW w:w="272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73FFC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科目名称</w:t>
            </w:r>
          </w:p>
        </w:tc>
        <w:tc>
          <w:tcPr>
            <w:tcW w:w="85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586E7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合 计</w:t>
            </w:r>
          </w:p>
        </w:tc>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16E8E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基本支出</w:t>
            </w:r>
          </w:p>
        </w:tc>
        <w:tc>
          <w:tcPr>
            <w:tcW w:w="85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EEAA8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项目支出</w:t>
            </w:r>
          </w:p>
        </w:tc>
      </w:tr>
      <w:tr w14:paraId="190BA8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420150">
            <w:pPr>
              <w:spacing w:beforeLines="0" w:afterLines="0"/>
              <w:rPr>
                <w:rFonts w:hint="default" w:ascii="FangSong_GB2312" w:hAnsi="FangSong_GB2312" w:eastAsia="FangSong_GB2312"/>
                <w:sz w:val="20"/>
                <w:szCs w:val="24"/>
              </w:rPr>
            </w:pPr>
          </w:p>
        </w:tc>
        <w:tc>
          <w:tcPr>
            <w:tcW w:w="272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9D5FC6">
            <w:pPr>
              <w:spacing w:beforeLines="0" w:afterLines="0"/>
              <w:rPr>
                <w:rFonts w:hint="default" w:ascii="FangSong_GB2312" w:hAnsi="FangSong_GB2312" w:eastAsia="FangSong_GB2312"/>
                <w:sz w:val="20"/>
                <w:szCs w:val="24"/>
              </w:rPr>
            </w:pPr>
          </w:p>
        </w:tc>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BC0AA2">
            <w:pPr>
              <w:spacing w:beforeLines="0" w:afterLines="0"/>
              <w:rPr>
                <w:rFonts w:hint="default" w:ascii="FangSong_GB2312" w:hAnsi="FangSong_GB2312" w:eastAsia="FangSong_GB2312"/>
                <w:sz w:val="20"/>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8FDF2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小计</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7F64E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人员经费</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03A1C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公用经费</w:t>
            </w:r>
          </w:p>
        </w:tc>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98C544">
            <w:pPr>
              <w:spacing w:beforeLines="0" w:afterLines="0"/>
              <w:rPr>
                <w:rFonts w:hint="default" w:ascii="FangSong_GB2312" w:hAnsi="FangSong_GB2312" w:eastAsia="FangSong_GB2312"/>
                <w:sz w:val="20"/>
                <w:szCs w:val="24"/>
              </w:rPr>
            </w:pPr>
          </w:p>
        </w:tc>
      </w:tr>
      <w:tr w14:paraId="3ACCE0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4EA595">
            <w:pPr>
              <w:spacing w:beforeLines="0" w:afterLines="0"/>
              <w:rPr>
                <w:rFonts w:hint="default"/>
                <w:sz w:val="24"/>
                <w:szCs w:val="24"/>
              </w:rPr>
            </w:pP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F4336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合计</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0A48E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334.81</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BCBE5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215.38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A9069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165.01</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F3B4A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50.37</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3912E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119.43</w:t>
            </w:r>
          </w:p>
        </w:tc>
      </w:tr>
      <w:tr w14:paraId="29B870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58119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206</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4CADC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科学技术支出</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1F9EF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279.21</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E5EC5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159.78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5CF94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109.41</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DC6FD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50.37</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B7F7D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119.43</w:t>
            </w:r>
          </w:p>
        </w:tc>
      </w:tr>
      <w:tr w14:paraId="082375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F574F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20601</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0E9C2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科学技术管理事务</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42AA0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279.21</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90F4B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159.78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D2A58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109.41</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A072E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50.37</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10FE7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119.43</w:t>
            </w:r>
          </w:p>
        </w:tc>
      </w:tr>
      <w:tr w14:paraId="56E377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EEEA7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2060101</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C6D6C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行政运行</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C8D1A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220.41</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6C001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120.78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01406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109.41</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736E7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11.37</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492AE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99.63</w:t>
            </w:r>
          </w:p>
        </w:tc>
      </w:tr>
      <w:tr w14:paraId="7E13A1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86404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2060102</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1527F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一般行政管理事务</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FCDFA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58.8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4BB10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AA0BF6">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71B0E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BFA9B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19.8</w:t>
            </w:r>
          </w:p>
        </w:tc>
      </w:tr>
      <w:tr w14:paraId="00F422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09705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2D225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社会保障和就业支出</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8DA2E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26.59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5C25C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26.59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6367E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26.59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2658D2">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C4D877">
            <w:pPr>
              <w:spacing w:beforeLines="0" w:afterLines="0"/>
              <w:jc w:val="center"/>
              <w:rPr>
                <w:rFonts w:hint="default"/>
                <w:sz w:val="24"/>
                <w:szCs w:val="24"/>
              </w:rPr>
            </w:pPr>
          </w:p>
        </w:tc>
      </w:tr>
      <w:tr w14:paraId="0D975C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B9ECF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20805</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1F0F5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行政事业单位养老支出</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43CB5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14.83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769E2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14.83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B7896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14.83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868208">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6BF8C6">
            <w:pPr>
              <w:spacing w:beforeLines="0" w:afterLines="0"/>
              <w:jc w:val="center"/>
              <w:rPr>
                <w:rFonts w:hint="default"/>
                <w:sz w:val="24"/>
                <w:szCs w:val="24"/>
              </w:rPr>
            </w:pPr>
          </w:p>
        </w:tc>
      </w:tr>
      <w:tr w14:paraId="113D3D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261F8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2080505</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161D4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机关事业单位基本养老保险缴费支出</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815AD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9.89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129DB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9.89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19011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9.89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64A020">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015A1B">
            <w:pPr>
              <w:spacing w:beforeLines="0" w:afterLines="0"/>
              <w:jc w:val="center"/>
              <w:rPr>
                <w:rFonts w:hint="default"/>
                <w:sz w:val="24"/>
                <w:szCs w:val="24"/>
              </w:rPr>
            </w:pPr>
          </w:p>
        </w:tc>
      </w:tr>
      <w:tr w14:paraId="30E6F8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55874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2080506</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ABF93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机关事业单位职业年金缴费支出</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B1D26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4.94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84A9B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4.94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E12B9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4.94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D2BD05">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AE38D9">
            <w:pPr>
              <w:spacing w:beforeLines="0" w:afterLines="0"/>
              <w:jc w:val="center"/>
              <w:rPr>
                <w:rFonts w:hint="default"/>
                <w:sz w:val="24"/>
                <w:szCs w:val="24"/>
              </w:rPr>
            </w:pPr>
          </w:p>
        </w:tc>
      </w:tr>
      <w:tr w14:paraId="138005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8B533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20899</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1AC99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其他社会保障和就业支出</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DA00D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11.76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AD24E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11.76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7E129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11.76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FBAAEF">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744AC2">
            <w:pPr>
              <w:spacing w:beforeLines="0" w:afterLines="0"/>
              <w:jc w:val="center"/>
              <w:rPr>
                <w:rFonts w:hint="default"/>
                <w:sz w:val="24"/>
                <w:szCs w:val="24"/>
              </w:rPr>
            </w:pPr>
          </w:p>
        </w:tc>
      </w:tr>
      <w:tr w14:paraId="42837E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E48D7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2089999</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47676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其他社会保障和就业支出</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C8F3A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11.76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7541A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11.76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D129C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11.76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DC6155">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D0E140">
            <w:pPr>
              <w:spacing w:beforeLines="0" w:afterLines="0"/>
              <w:jc w:val="center"/>
              <w:rPr>
                <w:rFonts w:hint="default"/>
                <w:sz w:val="24"/>
                <w:szCs w:val="24"/>
              </w:rPr>
            </w:pPr>
          </w:p>
        </w:tc>
      </w:tr>
      <w:tr w14:paraId="611ECD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42906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210</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2942B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卫生健康支出</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11AE9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00E72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E9F3B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2A6E1D">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86C1E0">
            <w:pPr>
              <w:spacing w:beforeLines="0" w:afterLines="0"/>
              <w:jc w:val="center"/>
              <w:rPr>
                <w:rFonts w:hint="default"/>
                <w:sz w:val="24"/>
                <w:szCs w:val="24"/>
              </w:rPr>
            </w:pPr>
          </w:p>
        </w:tc>
      </w:tr>
      <w:tr w14:paraId="41F897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9A632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21011</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B53F8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行政事业单位医疗</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7EA85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1D95C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C45AB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958CE0">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6FEA82">
            <w:pPr>
              <w:spacing w:beforeLines="0" w:afterLines="0"/>
              <w:jc w:val="center"/>
              <w:rPr>
                <w:rFonts w:hint="default"/>
                <w:sz w:val="24"/>
                <w:szCs w:val="24"/>
              </w:rPr>
            </w:pPr>
          </w:p>
        </w:tc>
      </w:tr>
      <w:tr w14:paraId="0924FB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7C925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2101101</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A129C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行政单位医疗</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0E63A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4.45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8B1F1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4.45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9830A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4.45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9098A4">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1EB294">
            <w:pPr>
              <w:spacing w:beforeLines="0" w:afterLines="0"/>
              <w:jc w:val="center"/>
              <w:rPr>
                <w:rFonts w:hint="default"/>
                <w:sz w:val="24"/>
                <w:szCs w:val="24"/>
              </w:rPr>
            </w:pPr>
          </w:p>
        </w:tc>
      </w:tr>
      <w:tr w14:paraId="549398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98312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2101103</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519AC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公务员医疗补助</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95742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1.85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F21AA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1.85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FD841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1.85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F750D8">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36F133">
            <w:pPr>
              <w:spacing w:beforeLines="0" w:afterLines="0"/>
              <w:jc w:val="center"/>
              <w:rPr>
                <w:rFonts w:hint="default"/>
                <w:sz w:val="24"/>
                <w:szCs w:val="24"/>
              </w:rPr>
            </w:pPr>
          </w:p>
        </w:tc>
      </w:tr>
      <w:tr w14:paraId="5421E8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0F558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221</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A6946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住房保障支出</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146E6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22.71</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DE79C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22.71</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24193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22.71</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2E642D">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6C9F1F">
            <w:pPr>
              <w:spacing w:beforeLines="0" w:afterLines="0"/>
              <w:jc w:val="center"/>
              <w:rPr>
                <w:rFonts w:hint="default"/>
                <w:sz w:val="24"/>
                <w:szCs w:val="24"/>
              </w:rPr>
            </w:pPr>
          </w:p>
        </w:tc>
      </w:tr>
      <w:tr w14:paraId="6C3467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547EA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22102</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23E23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住房改革支出</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D3D24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22.71</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C05CD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22.71</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24CC4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22.71</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047B61">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DEF21A">
            <w:pPr>
              <w:spacing w:beforeLines="0" w:afterLines="0"/>
              <w:jc w:val="center"/>
              <w:rPr>
                <w:rFonts w:hint="default"/>
                <w:sz w:val="24"/>
                <w:szCs w:val="24"/>
              </w:rPr>
            </w:pPr>
          </w:p>
        </w:tc>
      </w:tr>
      <w:tr w14:paraId="7D52F0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FB250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2210201</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EF2E3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住房公积金</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0E395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13.62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1F15E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13.62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704F1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13.62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DC4AB2">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F3A570">
            <w:pPr>
              <w:spacing w:beforeLines="0" w:afterLines="0"/>
              <w:jc w:val="center"/>
              <w:rPr>
                <w:rFonts w:hint="default"/>
                <w:sz w:val="24"/>
                <w:szCs w:val="24"/>
              </w:rPr>
            </w:pPr>
          </w:p>
        </w:tc>
      </w:tr>
      <w:tr w14:paraId="2840CC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D7EA1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2210202</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15AF6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提租补贴</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0D576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3.41</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83486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3.41</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4D4E3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3.41</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DE0D1B">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0A1CFD">
            <w:pPr>
              <w:spacing w:beforeLines="0" w:afterLines="0"/>
              <w:jc w:val="center"/>
              <w:rPr>
                <w:rFonts w:hint="default"/>
                <w:sz w:val="24"/>
                <w:szCs w:val="24"/>
              </w:rPr>
            </w:pPr>
          </w:p>
        </w:tc>
      </w:tr>
      <w:tr w14:paraId="1EE9B3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7754A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2210203</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F921C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购房补贴</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9A3E4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5.68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ED36B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5.68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0AC53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5.68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8F6EB2">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A3DAC4">
            <w:pPr>
              <w:spacing w:beforeLines="0" w:afterLines="0"/>
              <w:jc w:val="center"/>
              <w:rPr>
                <w:rFonts w:hint="default"/>
                <w:sz w:val="24"/>
                <w:szCs w:val="24"/>
              </w:rPr>
            </w:pPr>
          </w:p>
        </w:tc>
      </w:tr>
    </w:tbl>
    <w:p w14:paraId="49F0C09E">
      <w:pPr>
        <w:keepNext w:val="0"/>
        <w:keepLines w:val="0"/>
        <w:pageBreakBefore w:val="0"/>
        <w:kinsoku/>
        <w:overflowPunct/>
        <w:topLinePunct w:val="0"/>
        <w:autoSpaceDE/>
        <w:autoSpaceDN/>
        <w:bidi w:val="0"/>
        <w:spacing w:line="560" w:lineRule="exact"/>
        <w:ind w:left="7400" w:hanging="7400" w:hangingChars="3700"/>
        <w:rPr>
          <w:rFonts w:hint="default" w:ascii="TimesNewRoman" w:hAnsi="TimesNewRoman" w:cs="TimesNewRoman"/>
          <w:kern w:val="0"/>
          <w:sz w:val="20"/>
        </w:rPr>
      </w:pPr>
    </w:p>
    <w:p w14:paraId="1D1D3938">
      <w:pPr>
        <w:keepNext w:val="0"/>
        <w:keepLines w:val="0"/>
        <w:pageBreakBefore w:val="0"/>
        <w:kinsoku/>
        <w:overflowPunct/>
        <w:topLinePunct w:val="0"/>
        <w:autoSpaceDE/>
        <w:autoSpaceDN/>
        <w:bidi w:val="0"/>
        <w:spacing w:line="560" w:lineRule="exact"/>
        <w:ind w:left="7400" w:hanging="7400" w:hangingChars="3700"/>
        <w:rPr>
          <w:rFonts w:hint="default" w:ascii="TimesNewRoman" w:hAnsi="TimesNewRoman" w:cs="TimesNewRoman"/>
          <w:kern w:val="0"/>
          <w:sz w:val="20"/>
        </w:rPr>
      </w:pPr>
    </w:p>
    <w:p w14:paraId="0EE81664">
      <w:pPr>
        <w:keepNext w:val="0"/>
        <w:keepLines w:val="0"/>
        <w:pageBreakBefore w:val="0"/>
        <w:kinsoku/>
        <w:overflowPunct/>
        <w:topLinePunct w:val="0"/>
        <w:autoSpaceDE/>
        <w:autoSpaceDN/>
        <w:bidi w:val="0"/>
        <w:spacing w:line="560" w:lineRule="exact"/>
        <w:ind w:left="7400" w:hanging="7400" w:hangingChars="3700"/>
        <w:rPr>
          <w:rFonts w:hint="default" w:ascii="TimesNewRoman" w:hAnsi="TimesNewRoman" w:cs="TimesNewRoman"/>
          <w:kern w:val="0"/>
          <w:sz w:val="20"/>
        </w:rPr>
      </w:pPr>
    </w:p>
    <w:p w14:paraId="42E491F7">
      <w:pPr>
        <w:keepNext w:val="0"/>
        <w:keepLines w:val="0"/>
        <w:pageBreakBefore w:val="0"/>
        <w:kinsoku/>
        <w:overflowPunct/>
        <w:topLinePunct w:val="0"/>
        <w:autoSpaceDE/>
        <w:autoSpaceDN/>
        <w:bidi w:val="0"/>
        <w:spacing w:line="560" w:lineRule="exact"/>
        <w:ind w:left="7400" w:hanging="7400" w:hangingChars="3700"/>
        <w:rPr>
          <w:rFonts w:hint="default" w:ascii="TimesNewRoman" w:hAnsi="TimesNewRoman" w:cs="TimesNewRoman"/>
          <w:kern w:val="0"/>
          <w:sz w:val="20"/>
        </w:rPr>
      </w:pPr>
    </w:p>
    <w:p w14:paraId="028E691F">
      <w:pPr>
        <w:keepNext w:val="0"/>
        <w:keepLines w:val="0"/>
        <w:pageBreakBefore w:val="0"/>
        <w:kinsoku/>
        <w:overflowPunct/>
        <w:topLinePunct w:val="0"/>
        <w:autoSpaceDE/>
        <w:autoSpaceDN/>
        <w:bidi w:val="0"/>
        <w:spacing w:line="560" w:lineRule="exact"/>
        <w:ind w:left="7400" w:hanging="7400" w:hangingChars="3700"/>
        <w:rPr>
          <w:rFonts w:hint="default" w:ascii="TimesNewRoman" w:hAnsi="TimesNewRoman" w:cs="TimesNewRoman"/>
          <w:kern w:val="0"/>
          <w:sz w:val="20"/>
        </w:rPr>
      </w:pPr>
    </w:p>
    <w:p w14:paraId="2B07FBC7">
      <w:pPr>
        <w:keepNext w:val="0"/>
        <w:keepLines w:val="0"/>
        <w:pageBreakBefore w:val="0"/>
        <w:kinsoku/>
        <w:overflowPunct/>
        <w:topLinePunct w:val="0"/>
        <w:autoSpaceDE/>
        <w:autoSpaceDN/>
        <w:bidi w:val="0"/>
        <w:spacing w:line="560" w:lineRule="exact"/>
        <w:ind w:left="7400" w:hanging="7400" w:hangingChars="3700"/>
        <w:rPr>
          <w:rFonts w:hint="default" w:ascii="TimesNewRoman" w:hAnsi="TimesNewRoman" w:cs="TimesNewRoman"/>
          <w:kern w:val="0"/>
          <w:sz w:val="20"/>
        </w:rPr>
      </w:pPr>
    </w:p>
    <w:p w14:paraId="2B84370D">
      <w:pPr>
        <w:keepNext w:val="0"/>
        <w:keepLines w:val="0"/>
        <w:pageBreakBefore w:val="0"/>
        <w:kinsoku/>
        <w:overflowPunct/>
        <w:topLinePunct w:val="0"/>
        <w:autoSpaceDE/>
        <w:autoSpaceDN/>
        <w:bidi w:val="0"/>
        <w:spacing w:line="560" w:lineRule="exact"/>
        <w:ind w:left="7400" w:hanging="7400" w:hangingChars="3700"/>
        <w:rPr>
          <w:rFonts w:hint="default" w:ascii="TimesNewRoman" w:hAnsi="TimesNewRoman" w:cs="TimesNewRoman"/>
          <w:kern w:val="0"/>
          <w:sz w:val="20"/>
        </w:rPr>
      </w:pPr>
    </w:p>
    <w:p w14:paraId="1253BDBB">
      <w:pPr>
        <w:keepNext w:val="0"/>
        <w:keepLines w:val="0"/>
        <w:pageBreakBefore w:val="0"/>
        <w:kinsoku/>
        <w:overflowPunct/>
        <w:topLinePunct w:val="0"/>
        <w:autoSpaceDE/>
        <w:autoSpaceDN/>
        <w:bidi w:val="0"/>
        <w:spacing w:line="560" w:lineRule="exact"/>
        <w:ind w:left="1376" w:leftChars="430"/>
        <w:jc w:val="right"/>
        <w:rPr>
          <w:rFonts w:hint="default" w:ascii="TimesNewRoman" w:hAnsi="TimesNewRoman" w:cs="TimesNewRoman"/>
          <w:kern w:val="0"/>
          <w:sz w:val="20"/>
        </w:rPr>
      </w:pPr>
      <w:r>
        <w:rPr>
          <w:rFonts w:hint="default" w:ascii="TimesNewRoman" w:hAnsi="TimesNewRoman" w:cs="TimesNewRoman"/>
          <w:kern w:val="0"/>
          <w:sz w:val="20"/>
        </w:rPr>
        <w:t>部门公开表6</w:t>
      </w:r>
    </w:p>
    <w:p w14:paraId="358C241B">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NewRoman" w:hAnsi="TimesNewRoman" w:eastAsia="华文中宋" w:cs="TimesNewRoman"/>
          <w:b/>
          <w:bCs/>
          <w:kern w:val="0"/>
          <w:sz w:val="28"/>
          <w:szCs w:val="28"/>
        </w:rPr>
      </w:pPr>
      <w:r>
        <w:rPr>
          <w:rFonts w:hint="eastAsia" w:ascii="TimesNewRoman" w:hAnsi="TimesNewRoman" w:eastAsia="华文中宋" w:cs="TimesNewRoman"/>
          <w:b/>
          <w:bCs/>
          <w:kern w:val="0"/>
          <w:sz w:val="28"/>
          <w:szCs w:val="28"/>
          <w:lang w:eastAsia="zh-CN"/>
        </w:rPr>
        <w:t>淮北市相山区数据资源管理局</w:t>
      </w:r>
      <w:r>
        <w:rPr>
          <w:rFonts w:hint="eastAsia" w:ascii="TimesNewRoman" w:hAnsi="TimesNewRoman" w:eastAsia="华文中宋" w:cs="TimesNewRoman"/>
          <w:b/>
          <w:bCs/>
          <w:kern w:val="0"/>
          <w:sz w:val="28"/>
          <w:szCs w:val="28"/>
          <w:lang w:val="en" w:eastAsia="zh-CN"/>
        </w:rPr>
        <w:t>2026</w:t>
      </w:r>
      <w:r>
        <w:rPr>
          <w:rFonts w:hint="default" w:ascii="TimesNewRoman" w:hAnsi="TimesNewRoman" w:eastAsia="华文中宋" w:cs="TimesNewRoman"/>
          <w:b/>
          <w:bCs/>
          <w:kern w:val="0"/>
          <w:sz w:val="28"/>
          <w:szCs w:val="28"/>
        </w:rPr>
        <w:t>年一般公共预算基本支出表</w:t>
      </w:r>
    </w:p>
    <w:p w14:paraId="7AD46704">
      <w:pPr>
        <w:keepNext w:val="0"/>
        <w:keepLines w:val="0"/>
        <w:pageBreakBefore w:val="0"/>
        <w:kinsoku/>
        <w:overflowPunct/>
        <w:topLinePunct w:val="0"/>
        <w:autoSpaceDE/>
        <w:autoSpaceDN/>
        <w:bidi w:val="0"/>
        <w:spacing w:line="560" w:lineRule="exact"/>
        <w:ind w:left="7400" w:hanging="7400" w:hangingChars="3700"/>
        <w:rPr>
          <w:rFonts w:hint="default" w:ascii="TimesNewRoman" w:hAnsi="TimesNewRoman" w:cs="TimesNewRoman"/>
          <w:kern w:val="0"/>
          <w:sz w:val="20"/>
        </w:rPr>
      </w:pPr>
      <w:r>
        <w:rPr>
          <w:rFonts w:hint="default" w:ascii="TimesNewRoman" w:hAnsi="TimesNewRoman" w:cs="TimesNewRoman"/>
          <w:kern w:val="0"/>
          <w:sz w:val="20"/>
        </w:rPr>
        <w:t xml:space="preserve">                                                                       单位：万元</w:t>
      </w:r>
    </w:p>
    <w:tbl>
      <w:tblPr>
        <w:tblStyle w:val="4"/>
        <w:tblW w:w="85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76"/>
        <w:gridCol w:w="3402"/>
        <w:gridCol w:w="1276"/>
        <w:gridCol w:w="1276"/>
        <w:gridCol w:w="1276"/>
      </w:tblGrid>
      <w:tr w14:paraId="1177E5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467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03A51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部门预算支出经济分类科目</w:t>
            </w:r>
          </w:p>
        </w:tc>
        <w:tc>
          <w:tcPr>
            <w:tcW w:w="382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F3813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本年一般公共预算基本支出</w:t>
            </w:r>
          </w:p>
        </w:tc>
      </w:tr>
      <w:tr w14:paraId="3F6BE2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B9FEB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科目编码</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72726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科目名称</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993E5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合计</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99E5F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人员经费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2B58D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公用经费</w:t>
            </w:r>
          </w:p>
        </w:tc>
      </w:tr>
      <w:tr w14:paraId="70FA76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613C42">
            <w:pPr>
              <w:spacing w:beforeLines="0" w:afterLines="0"/>
              <w:rPr>
                <w:rFonts w:hint="default"/>
                <w:sz w:val="24"/>
                <w:szCs w:val="24"/>
              </w:rPr>
            </w:pP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59483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合计</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B74AC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215.38</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9D7CB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165.01</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4EBCF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50.37</w:t>
            </w:r>
          </w:p>
        </w:tc>
      </w:tr>
      <w:tr w14:paraId="57E36B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9C1C9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301</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EE07A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工资福利支出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E6A51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161.74</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05876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161.74</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77F396">
            <w:pPr>
              <w:spacing w:beforeLines="0" w:afterLines="0"/>
              <w:jc w:val="center"/>
              <w:rPr>
                <w:rFonts w:hint="default"/>
                <w:sz w:val="24"/>
                <w:szCs w:val="24"/>
              </w:rPr>
            </w:pPr>
          </w:p>
        </w:tc>
      </w:tr>
      <w:tr w14:paraId="0B5056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DFC0D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30101</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F2011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基本工资</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1FAE1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37.68</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31FAE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37.68</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4EA956">
            <w:pPr>
              <w:spacing w:beforeLines="0" w:afterLines="0"/>
              <w:jc w:val="center"/>
              <w:rPr>
                <w:rFonts w:hint="default"/>
                <w:sz w:val="24"/>
                <w:szCs w:val="24"/>
              </w:rPr>
            </w:pPr>
          </w:p>
        </w:tc>
      </w:tr>
      <w:tr w14:paraId="438224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3485A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30102</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C3E17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津贴补贴</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90F0C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19.97</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9C729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19.97</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80F481">
            <w:pPr>
              <w:spacing w:beforeLines="0" w:afterLines="0"/>
              <w:jc w:val="center"/>
              <w:rPr>
                <w:rFonts w:hint="default"/>
                <w:sz w:val="24"/>
                <w:szCs w:val="24"/>
              </w:rPr>
            </w:pPr>
          </w:p>
        </w:tc>
      </w:tr>
      <w:tr w14:paraId="1CBA1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AB562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30103</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F9C75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奖金</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AB9D6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12.05</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D41C8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12.05</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2CBBCF">
            <w:pPr>
              <w:spacing w:beforeLines="0" w:afterLines="0"/>
              <w:jc w:val="center"/>
              <w:rPr>
                <w:rFonts w:hint="default"/>
                <w:sz w:val="24"/>
                <w:szCs w:val="24"/>
              </w:rPr>
            </w:pPr>
          </w:p>
        </w:tc>
      </w:tr>
      <w:tr w14:paraId="23811E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1B514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30107</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3E895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绩效工资</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722EC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22.35</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3CC08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22.35</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7CEB0E">
            <w:pPr>
              <w:spacing w:beforeLines="0" w:afterLines="0"/>
              <w:jc w:val="center"/>
              <w:rPr>
                <w:rFonts w:hint="default"/>
                <w:sz w:val="24"/>
                <w:szCs w:val="24"/>
              </w:rPr>
            </w:pPr>
          </w:p>
        </w:tc>
      </w:tr>
      <w:tr w14:paraId="4CCBDD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8C9FE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30108</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4D21B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机关事业单位基本养老保险缴费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2DBB8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9.89</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7EF6F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9.89</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A58660">
            <w:pPr>
              <w:spacing w:beforeLines="0" w:afterLines="0"/>
              <w:jc w:val="center"/>
              <w:rPr>
                <w:rFonts w:hint="default"/>
                <w:sz w:val="24"/>
                <w:szCs w:val="24"/>
              </w:rPr>
            </w:pPr>
          </w:p>
        </w:tc>
      </w:tr>
      <w:tr w14:paraId="5C6C8D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824C6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30109</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50628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职业年金缴费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CD115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4.94</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41E9D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4.94</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DD93CB">
            <w:pPr>
              <w:spacing w:beforeLines="0" w:afterLines="0"/>
              <w:jc w:val="center"/>
              <w:rPr>
                <w:rFonts w:hint="default"/>
                <w:sz w:val="24"/>
                <w:szCs w:val="24"/>
              </w:rPr>
            </w:pPr>
          </w:p>
        </w:tc>
      </w:tr>
      <w:tr w14:paraId="1D108E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87F38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30110</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3B03C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职工基本医疗保险缴费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1AF92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4.45</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26CBB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4.45</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885280">
            <w:pPr>
              <w:spacing w:beforeLines="0" w:afterLines="0"/>
              <w:jc w:val="center"/>
              <w:rPr>
                <w:rFonts w:hint="default"/>
                <w:sz w:val="24"/>
                <w:szCs w:val="24"/>
              </w:rPr>
            </w:pPr>
          </w:p>
        </w:tc>
      </w:tr>
      <w:tr w14:paraId="158360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B3964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30111</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D33E8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公务员医疗补助缴费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A6524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1.85</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D2E62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1.85</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652F41">
            <w:pPr>
              <w:spacing w:beforeLines="0" w:afterLines="0"/>
              <w:jc w:val="center"/>
              <w:rPr>
                <w:rFonts w:hint="default"/>
                <w:sz w:val="24"/>
                <w:szCs w:val="24"/>
              </w:rPr>
            </w:pPr>
          </w:p>
        </w:tc>
      </w:tr>
      <w:tr w14:paraId="5FB174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A7DF5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30112</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AC9EB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其他社会保障缴费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FD68F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11.76</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52501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11.76</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BD26DB">
            <w:pPr>
              <w:spacing w:beforeLines="0" w:afterLines="0"/>
              <w:jc w:val="center"/>
              <w:rPr>
                <w:rFonts w:hint="default"/>
                <w:sz w:val="24"/>
                <w:szCs w:val="24"/>
              </w:rPr>
            </w:pPr>
          </w:p>
        </w:tc>
      </w:tr>
      <w:tr w14:paraId="62E52A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E7582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30113</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F3002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住房公积金</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F73C8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13.62</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D7B3A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13.62</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1A8CA1">
            <w:pPr>
              <w:spacing w:beforeLines="0" w:afterLines="0"/>
              <w:jc w:val="center"/>
              <w:rPr>
                <w:rFonts w:hint="default"/>
                <w:sz w:val="24"/>
                <w:szCs w:val="24"/>
              </w:rPr>
            </w:pPr>
          </w:p>
        </w:tc>
      </w:tr>
      <w:tr w14:paraId="0F194C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CF442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30199</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79B48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其他工资福利支出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B683A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23.16</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B9C20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23.16</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635645">
            <w:pPr>
              <w:spacing w:beforeLines="0" w:afterLines="0"/>
              <w:jc w:val="center"/>
              <w:rPr>
                <w:rFonts w:hint="default"/>
                <w:sz w:val="24"/>
                <w:szCs w:val="24"/>
              </w:rPr>
            </w:pPr>
          </w:p>
        </w:tc>
      </w:tr>
      <w:tr w14:paraId="57CA21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A1B22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302</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D850C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商品和服务支出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9E809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53.65</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B9C46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3.28</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23B0D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50.37</w:t>
            </w:r>
          </w:p>
        </w:tc>
      </w:tr>
      <w:tr w14:paraId="7D9A69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31409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30205</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A357C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水费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45448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01D2D8">
            <w:pPr>
              <w:spacing w:beforeLines="0" w:afterLines="0"/>
              <w:jc w:val="center"/>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1B11E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w:t>
            </w:r>
          </w:p>
        </w:tc>
      </w:tr>
      <w:tr w14:paraId="793E13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E66F0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30206</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B78E6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电费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4000E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38</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B577BB">
            <w:pPr>
              <w:spacing w:beforeLines="0" w:afterLines="0"/>
              <w:jc w:val="center"/>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E78F7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38</w:t>
            </w:r>
          </w:p>
        </w:tc>
      </w:tr>
      <w:tr w14:paraId="44C79F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76CE0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30216</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A9FCE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培训费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D00F7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0.88</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89BE2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0.88</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555A48">
            <w:pPr>
              <w:spacing w:beforeLines="0" w:afterLines="0"/>
              <w:jc w:val="center"/>
              <w:rPr>
                <w:rFonts w:hint="default"/>
                <w:sz w:val="24"/>
                <w:szCs w:val="24"/>
              </w:rPr>
            </w:pPr>
          </w:p>
        </w:tc>
      </w:tr>
      <w:tr w14:paraId="6F68B5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AECBF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30228</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56DEB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工会经费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F3DE0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10.18</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1432E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2.18</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B8F15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8</w:t>
            </w:r>
          </w:p>
        </w:tc>
      </w:tr>
      <w:tr w14:paraId="619EA2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D3598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30239</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6A8A1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其他交通费用</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B5114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3.37</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3C7C9B">
            <w:pPr>
              <w:spacing w:beforeLines="0" w:afterLines="0"/>
              <w:jc w:val="center"/>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E5911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3.37</w:t>
            </w:r>
          </w:p>
        </w:tc>
      </w:tr>
      <w:tr w14:paraId="68503E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A2071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30299</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B2524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其他商品和服务支出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D5E28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0.22</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17360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0.22</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B08ACC">
            <w:pPr>
              <w:spacing w:beforeLines="0" w:afterLines="0"/>
              <w:jc w:val="center"/>
              <w:rPr>
                <w:rFonts w:hint="default"/>
                <w:sz w:val="24"/>
                <w:szCs w:val="24"/>
              </w:rPr>
            </w:pPr>
          </w:p>
        </w:tc>
      </w:tr>
    </w:tbl>
    <w:p w14:paraId="56283FD6">
      <w:pPr>
        <w:keepNext w:val="0"/>
        <w:keepLines w:val="0"/>
        <w:pageBreakBefore w:val="0"/>
        <w:kinsoku/>
        <w:overflowPunct/>
        <w:topLinePunct w:val="0"/>
        <w:autoSpaceDE/>
        <w:autoSpaceDN/>
        <w:bidi w:val="0"/>
        <w:spacing w:line="560" w:lineRule="exact"/>
        <w:rPr>
          <w:rFonts w:hint="default" w:ascii="TimesNewRoman" w:hAnsi="TimesNewRoman" w:cs="TimesNewRoman"/>
        </w:rPr>
      </w:pPr>
    </w:p>
    <w:p w14:paraId="0D1AF7FF">
      <w:pPr>
        <w:keepNext w:val="0"/>
        <w:keepLines w:val="0"/>
        <w:pageBreakBefore w:val="0"/>
        <w:kinsoku/>
        <w:overflowPunct/>
        <w:topLinePunct w:val="0"/>
        <w:autoSpaceDE/>
        <w:autoSpaceDN/>
        <w:bidi w:val="0"/>
        <w:spacing w:line="560" w:lineRule="exact"/>
        <w:rPr>
          <w:rFonts w:hint="default" w:ascii="TimesNewRoman" w:hAnsi="TimesNewRoman" w:cs="TimesNewRoman"/>
        </w:rPr>
      </w:pPr>
    </w:p>
    <w:p w14:paraId="728D7800">
      <w:pPr>
        <w:keepNext w:val="0"/>
        <w:keepLines w:val="0"/>
        <w:pageBreakBefore w:val="0"/>
        <w:kinsoku/>
        <w:overflowPunct/>
        <w:topLinePunct w:val="0"/>
        <w:autoSpaceDE/>
        <w:autoSpaceDN/>
        <w:bidi w:val="0"/>
        <w:spacing w:line="560" w:lineRule="exact"/>
        <w:rPr>
          <w:rFonts w:hint="default" w:ascii="TimesNewRoman" w:hAnsi="TimesNewRoman" w:cs="TimesNewRoman"/>
        </w:rPr>
      </w:pPr>
    </w:p>
    <w:p w14:paraId="3076C3C9">
      <w:pPr>
        <w:keepNext w:val="0"/>
        <w:keepLines w:val="0"/>
        <w:pageBreakBefore w:val="0"/>
        <w:kinsoku/>
        <w:overflowPunct/>
        <w:topLinePunct w:val="0"/>
        <w:autoSpaceDE/>
        <w:autoSpaceDN/>
        <w:bidi w:val="0"/>
        <w:spacing w:line="560" w:lineRule="exact"/>
        <w:rPr>
          <w:rFonts w:hint="default" w:ascii="TimesNewRoman" w:hAnsi="TimesNewRoman" w:cs="TimesNewRoman"/>
        </w:rPr>
      </w:pPr>
    </w:p>
    <w:p w14:paraId="282F07FC">
      <w:pPr>
        <w:keepNext w:val="0"/>
        <w:keepLines w:val="0"/>
        <w:pageBreakBefore w:val="0"/>
        <w:kinsoku/>
        <w:overflowPunct/>
        <w:topLinePunct w:val="0"/>
        <w:autoSpaceDE/>
        <w:autoSpaceDN/>
        <w:bidi w:val="0"/>
        <w:spacing w:line="560" w:lineRule="exact"/>
        <w:rPr>
          <w:rFonts w:hint="default" w:ascii="TimesNewRoman" w:hAnsi="TimesNewRoman" w:cs="TimesNewRoman"/>
        </w:rPr>
      </w:pPr>
    </w:p>
    <w:p w14:paraId="699611B6">
      <w:pPr>
        <w:keepNext w:val="0"/>
        <w:keepLines w:val="0"/>
        <w:pageBreakBefore w:val="0"/>
        <w:kinsoku/>
        <w:overflowPunct/>
        <w:topLinePunct w:val="0"/>
        <w:autoSpaceDE/>
        <w:autoSpaceDN/>
        <w:bidi w:val="0"/>
        <w:spacing w:line="560" w:lineRule="exact"/>
        <w:rPr>
          <w:rFonts w:hint="default" w:ascii="TimesNewRoman" w:hAnsi="TimesNewRoman" w:cs="TimesNewRoman"/>
        </w:rPr>
      </w:pPr>
    </w:p>
    <w:p w14:paraId="6D204E75">
      <w:pPr>
        <w:keepNext w:val="0"/>
        <w:keepLines w:val="0"/>
        <w:pageBreakBefore w:val="0"/>
        <w:kinsoku/>
        <w:overflowPunct/>
        <w:topLinePunct w:val="0"/>
        <w:autoSpaceDE/>
        <w:autoSpaceDN/>
        <w:bidi w:val="0"/>
        <w:spacing w:line="560" w:lineRule="exact"/>
        <w:rPr>
          <w:rFonts w:hint="default" w:ascii="TimesNewRoman" w:hAnsi="TimesNewRoman" w:cs="TimesNewRoman"/>
        </w:rPr>
      </w:pPr>
    </w:p>
    <w:p w14:paraId="2770F74E">
      <w:pPr>
        <w:keepNext w:val="0"/>
        <w:keepLines w:val="0"/>
        <w:pageBreakBefore w:val="0"/>
        <w:kinsoku/>
        <w:overflowPunct/>
        <w:topLinePunct w:val="0"/>
        <w:autoSpaceDE/>
        <w:autoSpaceDN/>
        <w:bidi w:val="0"/>
        <w:spacing w:line="560" w:lineRule="exact"/>
        <w:rPr>
          <w:rFonts w:hint="default" w:ascii="TimesNewRoman" w:hAnsi="TimesNewRoman" w:cs="TimesNewRoman"/>
        </w:rPr>
      </w:pPr>
    </w:p>
    <w:p w14:paraId="63678F9F">
      <w:pPr>
        <w:keepNext w:val="0"/>
        <w:keepLines w:val="0"/>
        <w:pageBreakBefore w:val="0"/>
        <w:kinsoku/>
        <w:overflowPunct/>
        <w:topLinePunct w:val="0"/>
        <w:autoSpaceDE/>
        <w:autoSpaceDN/>
        <w:bidi w:val="0"/>
        <w:spacing w:line="560" w:lineRule="exact"/>
        <w:rPr>
          <w:rFonts w:hint="default" w:ascii="TimesNewRoman" w:hAnsi="TimesNewRoman" w:cs="TimesNewRoman"/>
          <w:kern w:val="0"/>
          <w:sz w:val="20"/>
        </w:rPr>
      </w:pPr>
      <w:r>
        <w:rPr>
          <w:rFonts w:hint="default" w:ascii="TimesNewRoman" w:hAnsi="TimesNewRoman" w:cs="TimesNewRoman"/>
          <w:kern w:val="0"/>
          <w:sz w:val="20"/>
        </w:rPr>
        <w:t xml:space="preserve">                                                        </w:t>
      </w:r>
      <w:r>
        <w:rPr>
          <w:rFonts w:hint="eastAsia" w:ascii="TimesNewRoman" w:hAnsi="TimesNewRoman" w:cs="TimesNewRoman"/>
          <w:kern w:val="0"/>
          <w:sz w:val="20"/>
          <w:lang w:val="en-US" w:eastAsia="zh-CN"/>
        </w:rPr>
        <w:t xml:space="preserve">     </w:t>
      </w:r>
      <w:r>
        <w:rPr>
          <w:rFonts w:hint="default" w:ascii="TimesNewRoman" w:hAnsi="TimesNewRoman" w:cs="TimesNewRoman"/>
          <w:kern w:val="0"/>
          <w:sz w:val="20"/>
        </w:rPr>
        <w:t>部门公开表7</w:t>
      </w:r>
    </w:p>
    <w:p w14:paraId="6AAF7B1A">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NewRoman" w:hAnsi="TimesNewRoman" w:eastAsia="华文中宋" w:cs="TimesNewRoman"/>
          <w:b/>
          <w:bCs/>
          <w:kern w:val="0"/>
          <w:sz w:val="30"/>
          <w:szCs w:val="30"/>
        </w:rPr>
      </w:pPr>
      <w:r>
        <w:rPr>
          <w:rFonts w:hint="eastAsia" w:ascii="TimesNewRoman" w:hAnsi="TimesNewRoman" w:eastAsia="华文中宋" w:cs="TimesNewRoman"/>
          <w:b/>
          <w:bCs/>
          <w:kern w:val="0"/>
          <w:sz w:val="30"/>
          <w:szCs w:val="30"/>
          <w:lang w:eastAsia="zh-CN"/>
        </w:rPr>
        <w:t>淮北市相山区数据资源管理局</w:t>
      </w:r>
      <w:r>
        <w:rPr>
          <w:rFonts w:hint="eastAsia" w:ascii="TimesNewRoman" w:hAnsi="TimesNewRoman" w:eastAsia="华文中宋" w:cs="TimesNewRoman"/>
          <w:b/>
          <w:bCs/>
          <w:kern w:val="0"/>
          <w:sz w:val="30"/>
          <w:szCs w:val="30"/>
          <w:lang w:val="en" w:eastAsia="zh-CN"/>
        </w:rPr>
        <w:t>2026</w:t>
      </w:r>
      <w:r>
        <w:rPr>
          <w:rFonts w:hint="default" w:ascii="TimesNewRoman" w:hAnsi="TimesNewRoman" w:eastAsia="华文中宋" w:cs="TimesNewRoman"/>
          <w:b/>
          <w:bCs/>
          <w:kern w:val="0"/>
          <w:sz w:val="30"/>
          <w:szCs w:val="30"/>
        </w:rPr>
        <w:t>年政府性基金预算支出表</w:t>
      </w:r>
    </w:p>
    <w:p w14:paraId="25D3823F">
      <w:pPr>
        <w:keepNext w:val="0"/>
        <w:keepLines w:val="0"/>
        <w:pageBreakBefore w:val="0"/>
        <w:kinsoku/>
        <w:overflowPunct/>
        <w:topLinePunct w:val="0"/>
        <w:autoSpaceDE/>
        <w:autoSpaceDN/>
        <w:bidi w:val="0"/>
        <w:spacing w:line="560" w:lineRule="exact"/>
        <w:ind w:left="7400" w:hanging="7400" w:hangingChars="3700"/>
        <w:rPr>
          <w:rFonts w:hint="default" w:ascii="TimesNewRoman" w:hAnsi="TimesNewRoman" w:cs="TimesNewRoman"/>
          <w:kern w:val="0"/>
          <w:sz w:val="20"/>
        </w:rPr>
      </w:pPr>
      <w:r>
        <w:rPr>
          <w:rFonts w:hint="default" w:ascii="TimesNewRoman" w:hAnsi="TimesNewRoman" w:cs="TimesNewRoman"/>
          <w:kern w:val="0"/>
          <w:sz w:val="20"/>
        </w:rPr>
        <w:t xml:space="preserve">                                                                       单位：万元</w:t>
      </w:r>
    </w:p>
    <w:p w14:paraId="3A3FC77A">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kern w:val="0"/>
          <w:sz w:val="24"/>
        </w:rPr>
      </w:pPr>
    </w:p>
    <w:tbl>
      <w:tblPr>
        <w:tblStyle w:val="4"/>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76"/>
        <w:gridCol w:w="3402"/>
        <w:gridCol w:w="1276"/>
        <w:gridCol w:w="1276"/>
        <w:gridCol w:w="1276"/>
      </w:tblGrid>
      <w:tr w14:paraId="225C6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3BE69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科目编码</w:t>
            </w:r>
          </w:p>
        </w:tc>
        <w:tc>
          <w:tcPr>
            <w:tcW w:w="340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293B0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科目名称</w:t>
            </w:r>
          </w:p>
        </w:tc>
        <w:tc>
          <w:tcPr>
            <w:tcW w:w="382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3FD33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本年政府性基金预算支出</w:t>
            </w:r>
          </w:p>
        </w:tc>
      </w:tr>
      <w:tr w14:paraId="10976F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D8EE6F">
            <w:pPr>
              <w:spacing w:beforeLines="0" w:afterLines="0"/>
              <w:rPr>
                <w:rFonts w:hint="default" w:ascii="FangSong_GB2312" w:hAnsi="FangSong_GB2312" w:eastAsia="FangSong_GB2312"/>
                <w:sz w:val="20"/>
                <w:szCs w:val="24"/>
              </w:rPr>
            </w:pPr>
          </w:p>
        </w:tc>
        <w:tc>
          <w:tcPr>
            <w:tcW w:w="340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99296D">
            <w:pPr>
              <w:spacing w:beforeLines="0" w:afterLines="0"/>
              <w:rPr>
                <w:rFonts w:hint="default" w:ascii="FangSong_GB2312" w:hAnsi="FangSong_GB2312" w:eastAsia="FangSong_GB2312"/>
                <w:sz w:val="20"/>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65D5C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合计</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E8BA5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基本支出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A371B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项目支出</w:t>
            </w:r>
          </w:p>
        </w:tc>
      </w:tr>
      <w:tr w14:paraId="70AE2B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637E2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0</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873D2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0</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2900E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0</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FB8F3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0</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1E300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0</w:t>
            </w:r>
          </w:p>
        </w:tc>
      </w:tr>
    </w:tbl>
    <w:p w14:paraId="431C2AEC">
      <w:pPr>
        <w:keepNext w:val="0"/>
        <w:keepLines w:val="0"/>
        <w:pageBreakBefore w:val="0"/>
        <w:widowControl/>
        <w:kinsoku/>
        <w:overflowPunct/>
        <w:topLinePunct w:val="0"/>
        <w:autoSpaceDE/>
        <w:autoSpaceDN/>
        <w:bidi w:val="0"/>
        <w:spacing w:line="560" w:lineRule="exact"/>
        <w:jc w:val="left"/>
        <w:rPr>
          <w:rFonts w:hint="eastAsia" w:ascii="TimesNewRoman" w:hAnsi="TimesNewRoman" w:eastAsia="仿宋_GB2312" w:cs="TimesNewRoman"/>
          <w:kern w:val="0"/>
          <w:sz w:val="24"/>
          <w:lang w:eastAsia="zh-CN"/>
        </w:rPr>
      </w:pPr>
      <w:r>
        <w:rPr>
          <w:rFonts w:hint="default" w:ascii="TimesNewRoman" w:hAnsi="TimesNewRoman" w:cs="TimesNewRoman"/>
          <w:kern w:val="0"/>
          <w:sz w:val="24"/>
        </w:rPr>
        <w:t>注：</w:t>
      </w:r>
      <w:r>
        <w:rPr>
          <w:rFonts w:hint="eastAsia" w:ascii="TimesNewRoman" w:hAnsi="TimesNewRoman" w:cs="TimesNewRoman"/>
          <w:kern w:val="0"/>
          <w:sz w:val="24"/>
          <w:lang w:eastAsia="zh-CN"/>
        </w:rPr>
        <w:t>淮北市相山区数据资源管理局</w:t>
      </w:r>
      <w:r>
        <w:rPr>
          <w:rFonts w:hint="default" w:ascii="TimesNewRoman" w:hAnsi="TimesNewRoman" w:cs="TimesNewRoman"/>
          <w:kern w:val="0"/>
          <w:sz w:val="24"/>
        </w:rPr>
        <w:t>没有政府性基金预算拨款收入，也没有政府性基金预算拨款安排的支出，故本表无数据</w:t>
      </w:r>
      <w:r>
        <w:rPr>
          <w:rFonts w:hint="eastAsia" w:ascii="TimesNewRoman" w:hAnsi="TimesNewRoman" w:cs="TimesNewRoman"/>
          <w:kern w:val="0"/>
          <w:sz w:val="24"/>
          <w:lang w:eastAsia="zh-CN"/>
        </w:rPr>
        <w:t>。</w:t>
      </w:r>
    </w:p>
    <w:p w14:paraId="21878E7C">
      <w:pPr>
        <w:keepNext w:val="0"/>
        <w:keepLines w:val="0"/>
        <w:pageBreakBefore w:val="0"/>
        <w:kinsoku/>
        <w:overflowPunct/>
        <w:topLinePunct w:val="0"/>
        <w:autoSpaceDE/>
        <w:autoSpaceDN/>
        <w:bidi w:val="0"/>
        <w:spacing w:line="560" w:lineRule="exact"/>
        <w:rPr>
          <w:rFonts w:hint="default" w:ascii="TimesNewRoman" w:hAnsi="TimesNewRoman" w:cs="TimesNewRoman"/>
        </w:rPr>
      </w:pPr>
    </w:p>
    <w:p w14:paraId="6D37C6D2">
      <w:pPr>
        <w:keepNext w:val="0"/>
        <w:keepLines w:val="0"/>
        <w:pageBreakBefore w:val="0"/>
        <w:kinsoku/>
        <w:overflowPunct/>
        <w:topLinePunct w:val="0"/>
        <w:autoSpaceDE/>
        <w:autoSpaceDN/>
        <w:bidi w:val="0"/>
        <w:spacing w:line="560" w:lineRule="exact"/>
        <w:rPr>
          <w:rFonts w:hint="default" w:ascii="TimesNewRoman" w:hAnsi="TimesNewRoman" w:cs="TimesNewRoman"/>
        </w:rPr>
      </w:pPr>
    </w:p>
    <w:p w14:paraId="09D6798A">
      <w:pPr>
        <w:keepNext w:val="0"/>
        <w:keepLines w:val="0"/>
        <w:pageBreakBefore w:val="0"/>
        <w:kinsoku/>
        <w:overflowPunct/>
        <w:topLinePunct w:val="0"/>
        <w:autoSpaceDE/>
        <w:autoSpaceDN/>
        <w:bidi w:val="0"/>
        <w:spacing w:line="560" w:lineRule="exact"/>
        <w:rPr>
          <w:rFonts w:hint="default" w:ascii="TimesNewRoman" w:hAnsi="TimesNewRoman" w:cs="TimesNewRoman"/>
        </w:rPr>
      </w:pPr>
    </w:p>
    <w:p w14:paraId="1CB7E79B">
      <w:pPr>
        <w:keepNext w:val="0"/>
        <w:keepLines w:val="0"/>
        <w:pageBreakBefore w:val="0"/>
        <w:kinsoku/>
        <w:overflowPunct/>
        <w:topLinePunct w:val="0"/>
        <w:autoSpaceDE/>
        <w:autoSpaceDN/>
        <w:bidi w:val="0"/>
        <w:spacing w:line="560" w:lineRule="exact"/>
        <w:rPr>
          <w:rFonts w:hint="default" w:ascii="TimesNewRoman" w:hAnsi="TimesNewRoman" w:cs="TimesNewRoman"/>
        </w:rPr>
      </w:pPr>
    </w:p>
    <w:p w14:paraId="0C780332">
      <w:pPr>
        <w:keepNext w:val="0"/>
        <w:keepLines w:val="0"/>
        <w:pageBreakBefore w:val="0"/>
        <w:kinsoku/>
        <w:overflowPunct/>
        <w:topLinePunct w:val="0"/>
        <w:autoSpaceDE/>
        <w:autoSpaceDN/>
        <w:bidi w:val="0"/>
        <w:spacing w:line="560" w:lineRule="exact"/>
        <w:rPr>
          <w:rFonts w:hint="default" w:ascii="TimesNewRoman" w:hAnsi="TimesNewRoman" w:cs="TimesNewRoman"/>
        </w:rPr>
      </w:pPr>
    </w:p>
    <w:p w14:paraId="2BC4DEAE">
      <w:pPr>
        <w:keepNext w:val="0"/>
        <w:keepLines w:val="0"/>
        <w:pageBreakBefore w:val="0"/>
        <w:kinsoku/>
        <w:overflowPunct/>
        <w:topLinePunct w:val="0"/>
        <w:autoSpaceDE/>
        <w:autoSpaceDN/>
        <w:bidi w:val="0"/>
        <w:spacing w:line="560" w:lineRule="exact"/>
        <w:rPr>
          <w:rFonts w:hint="default" w:ascii="TimesNewRoman" w:hAnsi="TimesNewRoman" w:cs="TimesNewRoman"/>
        </w:rPr>
      </w:pPr>
    </w:p>
    <w:p w14:paraId="425B12C9">
      <w:pPr>
        <w:pStyle w:val="3"/>
        <w:keepNext w:val="0"/>
        <w:keepLines w:val="0"/>
        <w:pageBreakBefore w:val="0"/>
        <w:widowControl w:val="0"/>
        <w:kinsoku/>
        <w:wordWrap/>
        <w:overflowPunct/>
        <w:topLinePunct w:val="0"/>
        <w:autoSpaceDE/>
        <w:autoSpaceDN/>
        <w:bidi w:val="0"/>
        <w:adjustRightInd w:val="0"/>
        <w:snapToGrid w:val="0"/>
        <w:spacing w:after="157" w:afterLines="50" w:line="560" w:lineRule="exact"/>
        <w:ind w:right="102"/>
        <w:jc w:val="right"/>
        <w:textAlignment w:val="auto"/>
        <w:rPr>
          <w:rFonts w:hint="default" w:ascii="TimesNewRoman" w:hAnsi="TimesNewRoman" w:eastAsia="黑体" w:cs="TimesNewRoman"/>
          <w:bCs/>
          <w:sz w:val="36"/>
          <w:szCs w:val="36"/>
        </w:rPr>
      </w:pPr>
      <w:r>
        <w:rPr>
          <w:rFonts w:hint="default" w:ascii="TimesNewRoman" w:hAnsi="TimesNewRoman" w:cs="TimesNewRoman"/>
          <w:sz w:val="20"/>
          <w:szCs w:val="20"/>
        </w:rPr>
        <w:t xml:space="preserve"> </w:t>
      </w:r>
      <w:r>
        <w:rPr>
          <w:rFonts w:hint="default" w:ascii="TimesNewRoman" w:hAnsi="TimesNewRoman" w:eastAsia="仿宋_GB2312" w:cs="TimesNewRoman"/>
          <w:kern w:val="0"/>
          <w:sz w:val="20"/>
          <w:szCs w:val="20"/>
          <w:lang w:val="en-US" w:eastAsia="zh-CN" w:bidi="ar-SA"/>
        </w:rPr>
        <w:t xml:space="preserve"> 部门公开表8</w:t>
      </w:r>
    </w:p>
    <w:tbl>
      <w:tblPr>
        <w:tblStyle w:val="4"/>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76"/>
        <w:gridCol w:w="3402"/>
        <w:gridCol w:w="1276"/>
        <w:gridCol w:w="1276"/>
        <w:gridCol w:w="1276"/>
      </w:tblGrid>
      <w:tr w14:paraId="2293EA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6" w:type="dxa"/>
            <w:gridSpan w:val="5"/>
            <w:tcBorders>
              <w:top w:val="nil"/>
              <w:left w:val="nil"/>
              <w:bottom w:val="nil"/>
              <w:right w:val="nil"/>
              <w:tl2br w:val="nil"/>
              <w:tr2bl w:val="nil"/>
            </w:tcBorders>
            <w:shd w:val="clear" w:color="auto" w:fill="FFFFFF"/>
            <w:noWrap w:val="0"/>
            <w:vAlign w:val="center"/>
          </w:tcPr>
          <w:p w14:paraId="6B905BE2">
            <w:pPr>
              <w:spacing w:beforeLines="0" w:afterLines="0" w:line="320" w:lineRule="atLeast"/>
              <w:rPr>
                <w:rFonts w:hint="default" w:ascii="FangSong_GB2312" w:hAnsi="FangSong_GB2312" w:eastAsia="FangSong_GB2312"/>
                <w:sz w:val="20"/>
                <w:szCs w:val="24"/>
              </w:rPr>
            </w:pPr>
          </w:p>
        </w:tc>
      </w:tr>
      <w:tr w14:paraId="7E94AA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6" w:type="dxa"/>
            <w:gridSpan w:val="5"/>
            <w:tcBorders>
              <w:top w:val="nil"/>
              <w:left w:val="nil"/>
              <w:bottom w:val="nil"/>
              <w:right w:val="nil"/>
              <w:tl2br w:val="nil"/>
              <w:tr2bl w:val="nil"/>
            </w:tcBorders>
            <w:shd w:val="clear" w:color="auto" w:fill="FFFFFF"/>
            <w:noWrap w:val="0"/>
            <w:vAlign w:val="center"/>
          </w:tcPr>
          <w:p w14:paraId="42811B54">
            <w:pPr>
              <w:spacing w:beforeLines="0" w:afterLines="0" w:line="320" w:lineRule="atLeast"/>
              <w:jc w:val="center"/>
              <w:rPr>
                <w:rFonts w:hint="default" w:ascii="STZhongsong" w:hAnsi="STZhongsong" w:eastAsia="STZhongsong"/>
                <w:sz w:val="30"/>
                <w:szCs w:val="24"/>
              </w:rPr>
            </w:pPr>
            <w:r>
              <w:rPr>
                <w:rFonts w:hint="default" w:ascii="STZhongsong" w:hAnsi="STZhongsong" w:eastAsia="STZhongsong"/>
                <w:b/>
                <w:sz w:val="30"/>
                <w:szCs w:val="24"/>
              </w:rPr>
              <w:t>淮北市相山区数据资源管理局</w:t>
            </w:r>
            <w:r>
              <w:rPr>
                <w:rFonts w:hint="default" w:ascii="TimesNewRoman" w:hAnsi="TimesNewRoman" w:eastAsia="华文中宋" w:cs="TimesNewRoman"/>
                <w:b/>
                <w:bCs/>
                <w:kern w:val="0"/>
                <w:sz w:val="30"/>
                <w:szCs w:val="30"/>
                <w:lang w:val="en" w:eastAsia="zh-CN"/>
              </w:rPr>
              <w:t>2026</w:t>
            </w:r>
            <w:r>
              <w:rPr>
                <w:rFonts w:hint="default" w:ascii="STZhongsong" w:hAnsi="STZhongsong" w:eastAsia="STZhongsong"/>
                <w:b/>
                <w:sz w:val="30"/>
                <w:szCs w:val="24"/>
              </w:rPr>
              <w:t>年国有资本经营预算支出表</w:t>
            </w:r>
          </w:p>
        </w:tc>
      </w:tr>
      <w:tr w14:paraId="7BF562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954" w:type="dxa"/>
            <w:gridSpan w:val="3"/>
            <w:tcBorders>
              <w:top w:val="nil"/>
              <w:left w:val="nil"/>
              <w:bottom w:val="nil"/>
              <w:right w:val="nil"/>
              <w:tl2br w:val="nil"/>
              <w:tr2bl w:val="nil"/>
            </w:tcBorders>
            <w:shd w:val="clear" w:color="auto" w:fill="FFFFFF"/>
            <w:noWrap w:val="0"/>
            <w:vAlign w:val="center"/>
          </w:tcPr>
          <w:p w14:paraId="4B946AAB">
            <w:pPr>
              <w:spacing w:beforeLines="0" w:afterLines="0"/>
              <w:rPr>
                <w:rFonts w:hint="default"/>
                <w:sz w:val="24"/>
                <w:szCs w:val="24"/>
              </w:rPr>
            </w:pPr>
          </w:p>
        </w:tc>
        <w:tc>
          <w:tcPr>
            <w:tcW w:w="2552" w:type="dxa"/>
            <w:gridSpan w:val="2"/>
            <w:tcBorders>
              <w:top w:val="nil"/>
              <w:left w:val="nil"/>
              <w:bottom w:val="nil"/>
              <w:right w:val="nil"/>
              <w:tl2br w:val="nil"/>
              <w:tr2bl w:val="nil"/>
            </w:tcBorders>
            <w:shd w:val="clear" w:color="auto" w:fill="FFFFFF"/>
            <w:noWrap w:val="0"/>
            <w:vAlign w:val="center"/>
          </w:tcPr>
          <w:p w14:paraId="010D110B">
            <w:pPr>
              <w:spacing w:beforeLines="0" w:afterLines="0" w:line="320" w:lineRule="atLeast"/>
              <w:jc w:val="right"/>
              <w:rPr>
                <w:rFonts w:hint="default" w:ascii="FangSong_GB2312" w:hAnsi="FangSong_GB2312" w:eastAsia="FangSong_GB2312"/>
                <w:sz w:val="20"/>
                <w:szCs w:val="24"/>
              </w:rPr>
            </w:pPr>
            <w:r>
              <w:rPr>
                <w:rFonts w:hint="default" w:ascii="FangSong_GB2312" w:hAnsi="FangSong_GB2312" w:eastAsia="FangSong_GB2312"/>
                <w:sz w:val="20"/>
                <w:szCs w:val="24"/>
              </w:rPr>
              <w:t>单位：万元</w:t>
            </w:r>
          </w:p>
        </w:tc>
      </w:tr>
      <w:tr w14:paraId="7A8F81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2F632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科目编码</w:t>
            </w:r>
          </w:p>
        </w:tc>
        <w:tc>
          <w:tcPr>
            <w:tcW w:w="340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ECB96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科目名称</w:t>
            </w:r>
          </w:p>
        </w:tc>
        <w:tc>
          <w:tcPr>
            <w:tcW w:w="382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18C67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国有资本经营预算拨款支出</w:t>
            </w:r>
          </w:p>
        </w:tc>
      </w:tr>
      <w:tr w14:paraId="1BE3D6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5302D9">
            <w:pPr>
              <w:spacing w:beforeLines="0" w:afterLines="0"/>
              <w:rPr>
                <w:rFonts w:hint="default" w:ascii="FangSong_GB2312" w:hAnsi="FangSong_GB2312" w:eastAsia="FangSong_GB2312"/>
                <w:sz w:val="20"/>
                <w:szCs w:val="24"/>
              </w:rPr>
            </w:pPr>
          </w:p>
        </w:tc>
        <w:tc>
          <w:tcPr>
            <w:tcW w:w="340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648DD4">
            <w:pPr>
              <w:spacing w:beforeLines="0" w:afterLines="0"/>
              <w:rPr>
                <w:rFonts w:hint="default" w:ascii="FangSong_GB2312" w:hAnsi="FangSong_GB2312" w:eastAsia="FangSong_GB2312"/>
                <w:sz w:val="20"/>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428D4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合计</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5D40F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基本支出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0C172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项目支出</w:t>
            </w:r>
          </w:p>
        </w:tc>
      </w:tr>
      <w:tr w14:paraId="51DE9F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0EEE0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0</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EC420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0</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911B2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0</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A235B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0</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71A3C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0</w:t>
            </w:r>
          </w:p>
        </w:tc>
      </w:tr>
    </w:tbl>
    <w:p w14:paraId="45B6C5E6">
      <w:pPr>
        <w:pStyle w:val="3"/>
        <w:keepNext w:val="0"/>
        <w:keepLines w:val="0"/>
        <w:pageBreakBefore w:val="0"/>
        <w:kinsoku/>
        <w:overflowPunct/>
        <w:topLinePunct w:val="0"/>
        <w:autoSpaceDE/>
        <w:autoSpaceDN/>
        <w:bidi w:val="0"/>
        <w:adjustRightInd w:val="0"/>
        <w:snapToGrid w:val="0"/>
        <w:spacing w:line="560" w:lineRule="exact"/>
        <w:ind w:right="400"/>
        <w:rPr>
          <w:rFonts w:hint="default" w:ascii="TimesNewRoman" w:hAnsi="TimesNewRoman" w:cs="TimesNewRoman"/>
          <w:sz w:val="20"/>
          <w:szCs w:val="20"/>
        </w:rPr>
      </w:pPr>
    </w:p>
    <w:p w14:paraId="4E93FED8">
      <w:pPr>
        <w:spacing w:beforeLines="0" w:afterLines="0" w:line="320" w:lineRule="atLeast"/>
        <w:jc w:val="both"/>
        <w:rPr>
          <w:rFonts w:hint="eastAsia" w:ascii="TimesNewRoman" w:hAnsi="TimesNewRoman" w:eastAsia="FangSong_GB2312" w:cs="TimesNewRoman"/>
          <w:kern w:val="0"/>
          <w:sz w:val="20"/>
          <w:lang w:eastAsia="zh-CN"/>
        </w:rPr>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docGrid w:type="linesAndChars" w:linePitch="312" w:charSpace="0"/>
        </w:sectPr>
      </w:pPr>
      <w:r>
        <w:rPr>
          <w:rFonts w:hint="eastAsia" w:ascii="FangSong_GB2312" w:hAnsi="FangSong_GB2312" w:eastAsia="FangSong_GB2312"/>
          <w:sz w:val="24"/>
          <w:szCs w:val="24"/>
          <w:lang w:eastAsia="zh-CN"/>
        </w:rPr>
        <w:t>注</w:t>
      </w:r>
      <w:r>
        <w:rPr>
          <w:rFonts w:hint="default" w:ascii="FangSong_GB2312" w:hAnsi="FangSong_GB2312" w:eastAsia="FangSong_GB2312"/>
          <w:sz w:val="24"/>
          <w:szCs w:val="24"/>
        </w:rPr>
        <w:t>：淮北市相山区数据资源管理局没有国有资本经营预算拨款收入，也没有国有资本经营预算拨款安排的支出，故本表无数据</w:t>
      </w:r>
      <w:r>
        <w:rPr>
          <w:rFonts w:hint="eastAsia" w:ascii="FangSong_GB2312" w:hAnsi="FangSong_GB2312" w:eastAsia="FangSong_GB2312"/>
          <w:sz w:val="24"/>
          <w:szCs w:val="24"/>
          <w:lang w:eastAsia="zh-CN"/>
        </w:rPr>
        <w:t>。</w:t>
      </w:r>
    </w:p>
    <w:p w14:paraId="552199A1">
      <w:pPr>
        <w:keepNext w:val="0"/>
        <w:keepLines w:val="0"/>
        <w:pageBreakBefore w:val="0"/>
        <w:kinsoku/>
        <w:overflowPunct/>
        <w:topLinePunct w:val="0"/>
        <w:autoSpaceDE/>
        <w:autoSpaceDN/>
        <w:bidi w:val="0"/>
        <w:spacing w:line="560" w:lineRule="exact"/>
        <w:jc w:val="center"/>
        <w:rPr>
          <w:rFonts w:hint="default" w:ascii="TimesNewRoman" w:hAnsi="TimesNewRoman" w:cs="TimesNewRoman"/>
          <w:kern w:val="0"/>
          <w:sz w:val="20"/>
        </w:rPr>
      </w:pPr>
      <w:r>
        <w:rPr>
          <w:rFonts w:hint="eastAsia" w:ascii="TimesNewRoman" w:hAnsi="TimesNewRoman" w:cs="TimesNewRoman"/>
          <w:kern w:val="0"/>
          <w:sz w:val="20"/>
          <w:lang w:val="en-US" w:eastAsia="zh-CN"/>
        </w:rPr>
        <w:t xml:space="preserve">                                                                                                          </w:t>
      </w:r>
      <w:r>
        <w:rPr>
          <w:rFonts w:hint="default" w:ascii="TimesNewRoman" w:hAnsi="TimesNewRoman" w:cs="TimesNewRoman"/>
          <w:kern w:val="0"/>
          <w:sz w:val="20"/>
        </w:rPr>
        <w:t>部门公开表9</w:t>
      </w:r>
    </w:p>
    <w:p w14:paraId="204F3F1B">
      <w:pPr>
        <w:keepNext w:val="0"/>
        <w:keepLines w:val="0"/>
        <w:pageBreakBefore w:val="0"/>
        <w:widowControl/>
        <w:kinsoku/>
        <w:overflowPunct/>
        <w:topLinePunct w:val="0"/>
        <w:autoSpaceDE/>
        <w:autoSpaceDN/>
        <w:bidi w:val="0"/>
        <w:spacing w:line="560" w:lineRule="exact"/>
        <w:jc w:val="center"/>
        <w:rPr>
          <w:rFonts w:hint="default" w:ascii="TimesNewRoman" w:hAnsi="TimesNewRoman" w:eastAsia="华文中宋" w:cs="TimesNewRoman"/>
          <w:b/>
          <w:bCs/>
          <w:kern w:val="0"/>
          <w:sz w:val="30"/>
          <w:szCs w:val="30"/>
        </w:rPr>
      </w:pPr>
      <w:r>
        <w:rPr>
          <w:rFonts w:hint="eastAsia" w:ascii="TimesNewRoman" w:hAnsi="TimesNewRoman" w:eastAsia="华文中宋" w:cs="TimesNewRoman"/>
          <w:b/>
          <w:bCs/>
          <w:kern w:val="0"/>
          <w:sz w:val="30"/>
          <w:szCs w:val="30"/>
          <w:lang w:eastAsia="zh-CN"/>
        </w:rPr>
        <w:t>淮北市相山区数据资源管理局</w:t>
      </w:r>
      <w:r>
        <w:rPr>
          <w:rFonts w:hint="eastAsia" w:ascii="TimesNewRoman" w:hAnsi="TimesNewRoman" w:eastAsia="华文中宋" w:cs="TimesNewRoman"/>
          <w:b/>
          <w:bCs/>
          <w:kern w:val="0"/>
          <w:sz w:val="30"/>
          <w:szCs w:val="30"/>
          <w:lang w:val="en" w:eastAsia="zh-CN"/>
        </w:rPr>
        <w:t>2026</w:t>
      </w:r>
      <w:r>
        <w:rPr>
          <w:rFonts w:hint="default" w:ascii="TimesNewRoman" w:hAnsi="TimesNewRoman" w:eastAsia="华文中宋" w:cs="TimesNewRoman"/>
          <w:b/>
          <w:bCs/>
          <w:kern w:val="0"/>
          <w:sz w:val="30"/>
          <w:szCs w:val="30"/>
        </w:rPr>
        <w:t>年项目支出表</w:t>
      </w:r>
    </w:p>
    <w:p w14:paraId="7806F43C">
      <w:pPr>
        <w:keepNext w:val="0"/>
        <w:keepLines w:val="0"/>
        <w:pageBreakBefore w:val="0"/>
        <w:kinsoku/>
        <w:overflowPunct/>
        <w:topLinePunct w:val="0"/>
        <w:autoSpaceDE/>
        <w:autoSpaceDN/>
        <w:bidi w:val="0"/>
        <w:spacing w:line="560" w:lineRule="exact"/>
        <w:ind w:left="7400" w:hanging="7807" w:hangingChars="3700"/>
        <w:rPr>
          <w:rFonts w:hint="default" w:ascii="TimesNewRoman" w:hAnsi="TimesNewRoman" w:cs="TimesNewRoman"/>
          <w:kern w:val="0"/>
          <w:sz w:val="20"/>
        </w:rPr>
      </w:pPr>
      <w:r>
        <w:rPr>
          <w:rFonts w:hint="default" w:ascii="TimesNewRoman" w:hAnsi="TimesNewRoman" w:cs="TimesNewRoman"/>
          <w:kern w:val="0"/>
          <w:sz w:val="20"/>
        </w:rPr>
        <w:t xml:space="preserve">                                                                                                                       单位：万元</w:t>
      </w:r>
    </w:p>
    <w:tbl>
      <w:tblPr>
        <w:tblStyle w:val="4"/>
        <w:tblW w:w="1343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181"/>
        <w:gridCol w:w="3285"/>
        <w:gridCol w:w="896"/>
        <w:gridCol w:w="896"/>
        <w:gridCol w:w="597"/>
        <w:gridCol w:w="597"/>
        <w:gridCol w:w="597"/>
        <w:gridCol w:w="597"/>
        <w:gridCol w:w="597"/>
        <w:gridCol w:w="597"/>
        <w:gridCol w:w="597"/>
      </w:tblGrid>
      <w:tr w14:paraId="545791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9CAA8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项目名称</w:t>
            </w:r>
          </w:p>
        </w:tc>
        <w:tc>
          <w:tcPr>
            <w:tcW w:w="328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EA823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项目单位</w:t>
            </w:r>
          </w:p>
        </w:tc>
        <w:tc>
          <w:tcPr>
            <w:tcW w:w="89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B72B7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总计</w:t>
            </w:r>
          </w:p>
        </w:tc>
        <w:tc>
          <w:tcPr>
            <w:tcW w:w="209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980AC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本年财政拨款</w:t>
            </w:r>
          </w:p>
        </w:tc>
        <w:tc>
          <w:tcPr>
            <w:tcW w:w="179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597E1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财政拨款结转结余</w:t>
            </w:r>
          </w:p>
        </w:tc>
        <w:tc>
          <w:tcPr>
            <w:tcW w:w="59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10256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财政专户管理资金</w:t>
            </w:r>
          </w:p>
        </w:tc>
        <w:tc>
          <w:tcPr>
            <w:tcW w:w="59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A0868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单位资金</w:t>
            </w:r>
          </w:p>
        </w:tc>
      </w:tr>
      <w:tr w14:paraId="46D5FB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EE9EFB">
            <w:pPr>
              <w:spacing w:beforeLines="0" w:afterLines="0"/>
              <w:rPr>
                <w:rFonts w:hint="default" w:ascii="FangSong_GB2312" w:hAnsi="FangSong_GB2312" w:eastAsia="FangSong_GB2312"/>
                <w:sz w:val="20"/>
                <w:szCs w:val="24"/>
              </w:rPr>
            </w:pPr>
          </w:p>
        </w:tc>
        <w:tc>
          <w:tcPr>
            <w:tcW w:w="328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B09B26">
            <w:pPr>
              <w:spacing w:beforeLines="0" w:afterLines="0"/>
              <w:rPr>
                <w:rFonts w:hint="default" w:ascii="FangSong_GB2312" w:hAnsi="FangSong_GB2312" w:eastAsia="FangSong_GB2312"/>
                <w:sz w:val="20"/>
                <w:szCs w:val="24"/>
              </w:rPr>
            </w:pPr>
          </w:p>
        </w:tc>
        <w:tc>
          <w:tcPr>
            <w:tcW w:w="89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3CAEBF">
            <w:pPr>
              <w:spacing w:beforeLines="0" w:afterLines="0"/>
              <w:rPr>
                <w:rFonts w:hint="default" w:ascii="FangSong_GB2312" w:hAnsi="FangSong_GB2312" w:eastAsia="FangSong_GB2312"/>
                <w:sz w:val="20"/>
                <w:szCs w:val="24"/>
              </w:rPr>
            </w:pP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1249A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一般公共预算</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2595E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政府性基金预算</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31ED6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国有资本经营预算</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0E1C0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一般公共预算</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E342B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政府性基金预算</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CFDDC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国有资本经营预算</w:t>
            </w:r>
          </w:p>
        </w:tc>
        <w:tc>
          <w:tcPr>
            <w:tcW w:w="59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C64A92">
            <w:pPr>
              <w:spacing w:beforeLines="0" w:afterLines="0"/>
              <w:rPr>
                <w:rFonts w:hint="default" w:ascii="FangSong_GB2312" w:hAnsi="FangSong_GB2312" w:eastAsia="FangSong_GB2312"/>
                <w:sz w:val="20"/>
                <w:szCs w:val="24"/>
              </w:rPr>
            </w:pPr>
          </w:p>
        </w:tc>
        <w:tc>
          <w:tcPr>
            <w:tcW w:w="59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7C4BFB">
            <w:pPr>
              <w:spacing w:beforeLines="0" w:afterLines="0"/>
              <w:rPr>
                <w:rFonts w:hint="default" w:ascii="FangSong_GB2312" w:hAnsi="FangSong_GB2312" w:eastAsia="FangSong_GB2312"/>
                <w:sz w:val="20"/>
                <w:szCs w:val="24"/>
              </w:rPr>
            </w:pPr>
          </w:p>
        </w:tc>
      </w:tr>
      <w:tr w14:paraId="729CF7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9D9FD9">
            <w:pPr>
              <w:spacing w:beforeLines="0" w:afterLines="0"/>
              <w:rPr>
                <w:rFonts w:hint="default"/>
                <w:sz w:val="24"/>
                <w:szCs w:val="24"/>
              </w:rPr>
            </w:pPr>
          </w:p>
        </w:tc>
        <w:tc>
          <w:tcPr>
            <w:tcW w:w="32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A1182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合计</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43CB9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119.43</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C6712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119.43</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59C49D">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A2F616">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A848FB">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F17D6B">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DA4BEF">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25A573">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4CBAD7">
            <w:pPr>
              <w:spacing w:beforeLines="0" w:afterLines="0"/>
              <w:jc w:val="center"/>
              <w:rPr>
                <w:rFonts w:hint="default"/>
                <w:sz w:val="24"/>
                <w:szCs w:val="24"/>
              </w:rPr>
            </w:pPr>
          </w:p>
        </w:tc>
      </w:tr>
      <w:tr w14:paraId="242F79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7B38B6">
            <w:pPr>
              <w:spacing w:beforeLines="0" w:afterLines="0"/>
              <w:rPr>
                <w:rFonts w:hint="default"/>
                <w:sz w:val="24"/>
                <w:szCs w:val="24"/>
              </w:rPr>
            </w:pPr>
          </w:p>
        </w:tc>
        <w:tc>
          <w:tcPr>
            <w:tcW w:w="32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B468E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淮北市相山区数据资源管理局（相山区政务服务管理局）</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794BF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119.43</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AFDB8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119.43</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99CAF6">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EDCF16">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2F39C6">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4647F3">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99A2B8">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64DEFA">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3333C7">
            <w:pPr>
              <w:spacing w:beforeLines="0" w:afterLines="0"/>
              <w:jc w:val="center"/>
              <w:rPr>
                <w:rFonts w:hint="default"/>
                <w:sz w:val="24"/>
                <w:szCs w:val="24"/>
              </w:rPr>
            </w:pPr>
          </w:p>
        </w:tc>
      </w:tr>
      <w:tr w14:paraId="2121A9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4559D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工作经费</w:t>
            </w:r>
          </w:p>
        </w:tc>
        <w:tc>
          <w:tcPr>
            <w:tcW w:w="32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E75D4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淮北市相山区数据资源管理局（相山区政务服务管理局）</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4BB08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7.5</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12B08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7.5</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CFC9BA">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559248">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B61006">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47C41F">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F560B7">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DB8D60">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B8A7C4">
            <w:pPr>
              <w:spacing w:beforeLines="0" w:afterLines="0"/>
              <w:jc w:val="center"/>
              <w:rPr>
                <w:rFonts w:hint="default"/>
                <w:sz w:val="24"/>
                <w:szCs w:val="24"/>
              </w:rPr>
            </w:pPr>
          </w:p>
        </w:tc>
      </w:tr>
      <w:tr w14:paraId="5AD057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01812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乡村振兴下派干部补助</w:t>
            </w:r>
          </w:p>
        </w:tc>
        <w:tc>
          <w:tcPr>
            <w:tcW w:w="32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0A3A2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淮北市相山区数据资源管理局（相山区政务服务管理局）</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C8742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3.83</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A7E05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3.83</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E4413F">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BBB654">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CB2439">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49AA8B">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CDC4B8">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DF6452">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372D50">
            <w:pPr>
              <w:spacing w:beforeLines="0" w:afterLines="0"/>
              <w:jc w:val="center"/>
              <w:rPr>
                <w:rFonts w:hint="default"/>
                <w:sz w:val="24"/>
                <w:szCs w:val="24"/>
              </w:rPr>
            </w:pPr>
          </w:p>
        </w:tc>
      </w:tr>
      <w:tr w14:paraId="021214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7A81E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体检费</w:t>
            </w:r>
          </w:p>
        </w:tc>
        <w:tc>
          <w:tcPr>
            <w:tcW w:w="32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42F50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淮北市相山区数据资源管理局（相山区政务服务管理局）</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A9A2E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2.9</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DDC41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2.9</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FDF3B2">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8995A3">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1CE51C">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2A8FD9">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9F5C69">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5D01AE">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900C9C">
            <w:pPr>
              <w:spacing w:beforeLines="0" w:afterLines="0"/>
              <w:jc w:val="center"/>
              <w:rPr>
                <w:rFonts w:hint="default"/>
                <w:sz w:val="24"/>
                <w:szCs w:val="24"/>
              </w:rPr>
            </w:pPr>
          </w:p>
        </w:tc>
      </w:tr>
      <w:tr w14:paraId="3590FF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C5DA7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劳务派遣人员工资</w:t>
            </w:r>
          </w:p>
        </w:tc>
        <w:tc>
          <w:tcPr>
            <w:tcW w:w="32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AFAED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淮北市相山区数据资源管理局（相山区政务服务管理局）</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A6406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43</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50140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43</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809B9C">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F404EF">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22A158">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ECE115">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BA2758">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2B80DD">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938F9D">
            <w:pPr>
              <w:spacing w:beforeLines="0" w:afterLines="0"/>
              <w:jc w:val="center"/>
              <w:rPr>
                <w:rFonts w:hint="default"/>
                <w:sz w:val="24"/>
                <w:szCs w:val="24"/>
              </w:rPr>
            </w:pPr>
          </w:p>
        </w:tc>
      </w:tr>
      <w:tr w14:paraId="7630D5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1433E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政务服务中心管理</w:t>
            </w:r>
          </w:p>
        </w:tc>
        <w:tc>
          <w:tcPr>
            <w:tcW w:w="32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17EF8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淮北市相山区数据资源管理局（相山区政务服务管理局）</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78312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55</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1372C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55</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B353CA">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28F081">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2F0AB8">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B622F4">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2DB4B1">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20EE05">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00FE38">
            <w:pPr>
              <w:spacing w:beforeLines="0" w:afterLines="0"/>
              <w:jc w:val="center"/>
              <w:rPr>
                <w:rFonts w:hint="default"/>
                <w:sz w:val="24"/>
                <w:szCs w:val="24"/>
              </w:rPr>
            </w:pPr>
          </w:p>
        </w:tc>
      </w:tr>
      <w:tr w14:paraId="018F6A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DC97A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工会补贴</w:t>
            </w:r>
          </w:p>
        </w:tc>
        <w:tc>
          <w:tcPr>
            <w:tcW w:w="32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8BF46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淮北市相山区数据资源管理局（相山区政务服务管理局）</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4215C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7.2</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D7D27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7.2</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9E6718">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141699">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363D55">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AF6F48">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4D2FB4">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6CE0C2">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7AEA8B">
            <w:pPr>
              <w:spacing w:beforeLines="0" w:afterLines="0"/>
              <w:jc w:val="center"/>
              <w:rPr>
                <w:rFonts w:hint="default"/>
                <w:sz w:val="24"/>
                <w:szCs w:val="24"/>
              </w:rPr>
            </w:pPr>
          </w:p>
        </w:tc>
      </w:tr>
    </w:tbl>
    <w:p w14:paraId="64A6B723">
      <w:pPr>
        <w:keepNext w:val="0"/>
        <w:keepLines w:val="0"/>
        <w:pageBreakBefore w:val="0"/>
        <w:kinsoku/>
        <w:overflowPunct/>
        <w:topLinePunct w:val="0"/>
        <w:autoSpaceDE/>
        <w:autoSpaceDN/>
        <w:bidi w:val="0"/>
        <w:spacing w:line="560" w:lineRule="exact"/>
        <w:rPr>
          <w:rFonts w:hint="default" w:ascii="TimesNewRoman" w:hAnsi="TimesNewRoman" w:cs="TimesNewRoman"/>
          <w:kern w:val="0"/>
          <w:sz w:val="22"/>
        </w:rPr>
        <w:sectPr>
          <w:pgSz w:w="16838" w:h="11906" w:orient="landscape"/>
          <w:pgMar w:top="1797" w:right="1440" w:bottom="1797" w:left="1440" w:header="850" w:footer="992" w:gutter="0"/>
          <w:pgBorders>
            <w:top w:val="none" w:sz="0" w:space="0"/>
            <w:left w:val="none" w:sz="0" w:space="0"/>
            <w:bottom w:val="none" w:sz="0" w:space="0"/>
            <w:right w:val="none" w:sz="0" w:space="0"/>
          </w:pgBorders>
          <w:pgNumType w:fmt="numberInDash"/>
          <w:cols w:space="720" w:num="1"/>
          <w:rtlGutter w:val="0"/>
          <w:docGrid w:type="linesAndChars" w:linePitch="437" w:charSpace="2457"/>
        </w:sectPr>
      </w:pPr>
    </w:p>
    <w:p w14:paraId="233DF113">
      <w:pPr>
        <w:pStyle w:val="3"/>
        <w:keepNext w:val="0"/>
        <w:keepLines w:val="0"/>
        <w:pageBreakBefore w:val="0"/>
        <w:widowControl w:val="0"/>
        <w:kinsoku/>
        <w:wordWrap w:val="0"/>
        <w:overflowPunct/>
        <w:topLinePunct w:val="0"/>
        <w:autoSpaceDE/>
        <w:autoSpaceDN/>
        <w:bidi w:val="0"/>
        <w:adjustRightInd w:val="0"/>
        <w:snapToGrid w:val="0"/>
        <w:spacing w:after="220" w:afterLines="50" w:line="560" w:lineRule="exact"/>
        <w:jc w:val="center"/>
        <w:textAlignment w:val="auto"/>
        <w:rPr>
          <w:rFonts w:hint="default" w:ascii="TimesNewRoman" w:hAnsi="TimesNewRoman" w:cs="TimesNewRoman"/>
          <w:sz w:val="20"/>
          <w:szCs w:val="20"/>
        </w:rPr>
      </w:pPr>
      <w:r>
        <w:rPr>
          <w:rFonts w:hint="eastAsia" w:ascii="TimesNewRoman" w:hAnsi="TimesNewRoman" w:cs="TimesNewRoman"/>
          <w:sz w:val="20"/>
          <w:szCs w:val="20"/>
          <w:lang w:val="en-US" w:eastAsia="zh-CN"/>
        </w:rPr>
        <w:t xml:space="preserve">                                                 </w:t>
      </w:r>
      <w:r>
        <w:rPr>
          <w:rFonts w:hint="default" w:ascii="TimesNewRoman" w:hAnsi="TimesNewRoman" w:cs="TimesNewRoman"/>
          <w:sz w:val="20"/>
          <w:szCs w:val="20"/>
        </w:rPr>
        <w:t xml:space="preserve">    部门公开表10</w:t>
      </w:r>
    </w:p>
    <w:tbl>
      <w:tblPr>
        <w:tblStyle w:val="4"/>
        <w:tblW w:w="850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236"/>
        <w:gridCol w:w="1571"/>
        <w:gridCol w:w="739"/>
        <w:gridCol w:w="739"/>
        <w:gridCol w:w="739"/>
        <w:gridCol w:w="739"/>
        <w:gridCol w:w="739"/>
      </w:tblGrid>
      <w:tr w14:paraId="379E40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2" w:type="dxa"/>
            <w:gridSpan w:val="7"/>
            <w:tcBorders>
              <w:top w:val="nil"/>
              <w:left w:val="nil"/>
              <w:bottom w:val="nil"/>
              <w:right w:val="nil"/>
              <w:tl2br w:val="nil"/>
              <w:tr2bl w:val="nil"/>
            </w:tcBorders>
            <w:shd w:val="clear" w:color="auto" w:fill="FFFFFF"/>
            <w:noWrap w:val="0"/>
            <w:vAlign w:val="center"/>
          </w:tcPr>
          <w:p w14:paraId="4C021D3F">
            <w:pPr>
              <w:spacing w:beforeLines="0" w:afterLines="0" w:line="320" w:lineRule="atLeast"/>
              <w:jc w:val="center"/>
              <w:rPr>
                <w:rFonts w:hint="default" w:ascii="STZhongsong" w:hAnsi="STZhongsong" w:eastAsia="STZhongsong"/>
                <w:sz w:val="30"/>
                <w:szCs w:val="24"/>
              </w:rPr>
            </w:pPr>
            <w:r>
              <w:rPr>
                <w:rFonts w:hint="default" w:ascii="STZhongsong" w:hAnsi="STZhongsong" w:eastAsia="STZhongsong"/>
                <w:b/>
                <w:sz w:val="30"/>
                <w:szCs w:val="24"/>
              </w:rPr>
              <w:t>淮北市相山区数据资源管理局</w:t>
            </w:r>
            <w:r>
              <w:rPr>
                <w:rFonts w:hint="default" w:ascii="TimesNewRoman" w:hAnsi="TimesNewRoman" w:eastAsia="华文中宋" w:cs="TimesNewRoman"/>
                <w:b/>
                <w:bCs/>
                <w:kern w:val="0"/>
                <w:sz w:val="30"/>
                <w:szCs w:val="30"/>
                <w:lang w:val="en" w:eastAsia="zh-CN"/>
              </w:rPr>
              <w:t>2026</w:t>
            </w:r>
            <w:r>
              <w:rPr>
                <w:rFonts w:hint="default" w:ascii="STZhongsong" w:hAnsi="STZhongsong" w:eastAsia="STZhongsong"/>
                <w:b/>
                <w:sz w:val="30"/>
                <w:szCs w:val="24"/>
              </w:rPr>
              <w:t>年政府采购支出表</w:t>
            </w:r>
          </w:p>
        </w:tc>
      </w:tr>
      <w:tr w14:paraId="4530DE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24" w:type="dxa"/>
            <w:gridSpan w:val="5"/>
            <w:tcBorders>
              <w:top w:val="nil"/>
              <w:left w:val="nil"/>
              <w:bottom w:val="nil"/>
              <w:right w:val="nil"/>
              <w:tl2br w:val="nil"/>
              <w:tr2bl w:val="nil"/>
            </w:tcBorders>
            <w:shd w:val="clear" w:color="auto" w:fill="FFFFFF"/>
            <w:noWrap w:val="0"/>
            <w:vAlign w:val="center"/>
          </w:tcPr>
          <w:p w14:paraId="033DC0DB">
            <w:pPr>
              <w:spacing w:beforeLines="0" w:afterLines="0"/>
              <w:rPr>
                <w:rFonts w:hint="default"/>
                <w:sz w:val="24"/>
                <w:szCs w:val="24"/>
              </w:rPr>
            </w:pPr>
          </w:p>
        </w:tc>
        <w:tc>
          <w:tcPr>
            <w:tcW w:w="1478" w:type="dxa"/>
            <w:gridSpan w:val="2"/>
            <w:tcBorders>
              <w:top w:val="nil"/>
              <w:left w:val="nil"/>
              <w:bottom w:val="nil"/>
              <w:right w:val="nil"/>
              <w:tl2br w:val="nil"/>
              <w:tr2bl w:val="nil"/>
            </w:tcBorders>
            <w:shd w:val="clear" w:color="auto" w:fill="FFFFFF"/>
            <w:noWrap w:val="0"/>
            <w:vAlign w:val="center"/>
          </w:tcPr>
          <w:p w14:paraId="28AB3CAA">
            <w:pPr>
              <w:spacing w:beforeLines="0" w:afterLines="0" w:line="320" w:lineRule="atLeast"/>
              <w:jc w:val="right"/>
              <w:rPr>
                <w:rFonts w:hint="default" w:ascii="FangSong_GB2312" w:hAnsi="FangSong_GB2312" w:eastAsia="FangSong_GB2312"/>
                <w:sz w:val="20"/>
                <w:szCs w:val="24"/>
              </w:rPr>
            </w:pPr>
            <w:r>
              <w:rPr>
                <w:rFonts w:hint="default" w:ascii="FangSong_GB2312" w:hAnsi="FangSong_GB2312" w:eastAsia="FangSong_GB2312"/>
                <w:sz w:val="20"/>
                <w:szCs w:val="24"/>
              </w:rPr>
              <w:t>单位：万元</w:t>
            </w:r>
          </w:p>
        </w:tc>
      </w:tr>
      <w:tr w14:paraId="2DA04E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323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B0F43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政府采购品目</w:t>
            </w:r>
          </w:p>
        </w:tc>
        <w:tc>
          <w:tcPr>
            <w:tcW w:w="157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B55EF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合计</w:t>
            </w:r>
          </w:p>
        </w:tc>
        <w:tc>
          <w:tcPr>
            <w:tcW w:w="73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FEF18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一般公共预算</w:t>
            </w:r>
          </w:p>
        </w:tc>
        <w:tc>
          <w:tcPr>
            <w:tcW w:w="73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1AEE5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政府性基金预算</w:t>
            </w:r>
          </w:p>
        </w:tc>
        <w:tc>
          <w:tcPr>
            <w:tcW w:w="73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1B513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国有资本经营预算</w:t>
            </w:r>
          </w:p>
        </w:tc>
        <w:tc>
          <w:tcPr>
            <w:tcW w:w="73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39F6D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财政专户管理资金</w:t>
            </w:r>
          </w:p>
        </w:tc>
        <w:tc>
          <w:tcPr>
            <w:tcW w:w="73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E1B72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单位资金</w:t>
            </w:r>
          </w:p>
        </w:tc>
      </w:tr>
      <w:tr w14:paraId="216173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323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06056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0</w:t>
            </w:r>
          </w:p>
        </w:tc>
        <w:tc>
          <w:tcPr>
            <w:tcW w:w="157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10F48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0</w:t>
            </w:r>
          </w:p>
        </w:tc>
        <w:tc>
          <w:tcPr>
            <w:tcW w:w="73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1002E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0</w:t>
            </w:r>
          </w:p>
        </w:tc>
        <w:tc>
          <w:tcPr>
            <w:tcW w:w="73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C9B95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0</w:t>
            </w:r>
          </w:p>
        </w:tc>
        <w:tc>
          <w:tcPr>
            <w:tcW w:w="73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81E6C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0</w:t>
            </w:r>
          </w:p>
        </w:tc>
        <w:tc>
          <w:tcPr>
            <w:tcW w:w="73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64152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0</w:t>
            </w:r>
          </w:p>
        </w:tc>
        <w:tc>
          <w:tcPr>
            <w:tcW w:w="73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4EB1B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0</w:t>
            </w:r>
          </w:p>
        </w:tc>
      </w:tr>
    </w:tbl>
    <w:p w14:paraId="6575AE08">
      <w:pPr>
        <w:spacing w:beforeLines="0" w:afterLines="0" w:line="320" w:lineRule="atLeast"/>
        <w:jc w:val="both"/>
        <w:rPr>
          <w:rFonts w:hint="eastAsia" w:ascii="TimesNewRoman" w:hAnsi="TimesNewRoman" w:eastAsia="FangSong_GB2312" w:cs="TimesNewRoman"/>
          <w:lang w:eastAsia="zh-CN"/>
        </w:rPr>
      </w:pPr>
      <w:r>
        <w:rPr>
          <w:rFonts w:hint="eastAsia" w:ascii="FangSong_GB2312" w:hAnsi="FangSong_GB2312" w:eastAsia="FangSong_GB2312"/>
          <w:sz w:val="24"/>
          <w:szCs w:val="24"/>
          <w:lang w:eastAsia="zh-CN"/>
        </w:rPr>
        <w:t>注</w:t>
      </w:r>
      <w:r>
        <w:rPr>
          <w:rFonts w:hint="default" w:ascii="FangSong_GB2312" w:hAnsi="FangSong_GB2312" w:eastAsia="FangSong_GB2312"/>
          <w:sz w:val="24"/>
          <w:szCs w:val="24"/>
        </w:rPr>
        <w:t>：淮北市相山区数据资源管理局没有使用一般公共预算拨款、政府性基金预算拨款、国有资本经营预算拨款、财政专户管理资金和单位资金安排的政府采购支出，故本表无数据</w:t>
      </w:r>
      <w:r>
        <w:rPr>
          <w:rFonts w:hint="eastAsia" w:ascii="FangSong_GB2312" w:hAnsi="FangSong_GB2312" w:eastAsia="FangSong_GB2312"/>
          <w:sz w:val="24"/>
          <w:szCs w:val="24"/>
          <w:lang w:eastAsia="zh-CN"/>
        </w:rPr>
        <w:t>。</w:t>
      </w:r>
    </w:p>
    <w:p w14:paraId="1963FFB2">
      <w:pPr>
        <w:keepNext w:val="0"/>
        <w:keepLines w:val="0"/>
        <w:pageBreakBefore w:val="0"/>
        <w:kinsoku/>
        <w:overflowPunct/>
        <w:topLinePunct w:val="0"/>
        <w:autoSpaceDE/>
        <w:autoSpaceDN/>
        <w:bidi w:val="0"/>
        <w:spacing w:line="560" w:lineRule="exact"/>
        <w:rPr>
          <w:rFonts w:hint="default" w:ascii="TimesNewRoman" w:hAnsi="TimesNewRoman" w:cs="TimesNewRoman"/>
        </w:rPr>
      </w:pPr>
    </w:p>
    <w:p w14:paraId="1FA5DC90">
      <w:pPr>
        <w:keepNext w:val="0"/>
        <w:keepLines w:val="0"/>
        <w:pageBreakBefore w:val="0"/>
        <w:kinsoku/>
        <w:overflowPunct/>
        <w:topLinePunct w:val="0"/>
        <w:autoSpaceDE/>
        <w:autoSpaceDN/>
        <w:bidi w:val="0"/>
        <w:spacing w:line="560" w:lineRule="exact"/>
        <w:rPr>
          <w:rFonts w:hint="default" w:ascii="TimesNewRoman" w:hAnsi="TimesNewRoman" w:cs="TimesNewRoman"/>
        </w:rPr>
      </w:pPr>
    </w:p>
    <w:p w14:paraId="144261CC">
      <w:pPr>
        <w:keepNext w:val="0"/>
        <w:keepLines w:val="0"/>
        <w:pageBreakBefore w:val="0"/>
        <w:kinsoku/>
        <w:overflowPunct/>
        <w:topLinePunct w:val="0"/>
        <w:autoSpaceDE/>
        <w:autoSpaceDN/>
        <w:bidi w:val="0"/>
        <w:spacing w:line="560" w:lineRule="exact"/>
        <w:rPr>
          <w:rFonts w:hint="default" w:ascii="TimesNewRoman" w:hAnsi="TimesNewRoman" w:cs="TimesNewRoman"/>
        </w:rPr>
      </w:pPr>
    </w:p>
    <w:p w14:paraId="77DF7926">
      <w:pPr>
        <w:keepNext w:val="0"/>
        <w:keepLines w:val="0"/>
        <w:pageBreakBefore w:val="0"/>
        <w:kinsoku/>
        <w:overflowPunct/>
        <w:topLinePunct w:val="0"/>
        <w:autoSpaceDE/>
        <w:autoSpaceDN/>
        <w:bidi w:val="0"/>
        <w:spacing w:line="560" w:lineRule="exact"/>
        <w:rPr>
          <w:rFonts w:hint="default" w:ascii="TimesNewRoman" w:hAnsi="TimesNewRoman" w:cs="TimesNewRoman"/>
        </w:rPr>
      </w:pPr>
    </w:p>
    <w:p w14:paraId="18583099">
      <w:pPr>
        <w:keepNext w:val="0"/>
        <w:keepLines w:val="0"/>
        <w:pageBreakBefore w:val="0"/>
        <w:kinsoku/>
        <w:overflowPunct/>
        <w:topLinePunct w:val="0"/>
        <w:autoSpaceDE/>
        <w:autoSpaceDN/>
        <w:bidi w:val="0"/>
        <w:spacing w:line="560" w:lineRule="exact"/>
        <w:rPr>
          <w:rFonts w:hint="default" w:ascii="TimesNewRoman" w:hAnsi="TimesNewRoman" w:cs="TimesNewRoman"/>
        </w:rPr>
      </w:pPr>
    </w:p>
    <w:p w14:paraId="5899F7BF">
      <w:pPr>
        <w:pStyle w:val="3"/>
        <w:keepNext w:val="0"/>
        <w:keepLines w:val="0"/>
        <w:pageBreakBefore w:val="0"/>
        <w:kinsoku/>
        <w:wordWrap w:val="0"/>
        <w:overflowPunct/>
        <w:topLinePunct w:val="0"/>
        <w:autoSpaceDE/>
        <w:autoSpaceDN/>
        <w:bidi w:val="0"/>
        <w:adjustRightInd w:val="0"/>
        <w:snapToGrid w:val="0"/>
        <w:spacing w:line="560" w:lineRule="exact"/>
        <w:jc w:val="right"/>
        <w:rPr>
          <w:rFonts w:hint="default" w:ascii="TimesNewRoman" w:hAnsi="TimesNewRoman" w:cs="TimesNewRoman"/>
          <w:sz w:val="20"/>
          <w:szCs w:val="20"/>
        </w:rPr>
        <w:sectPr>
          <w:pgSz w:w="11906" w:h="16838"/>
          <w:pgMar w:top="1440" w:right="1797" w:bottom="1440" w:left="1797" w:header="850" w:footer="992" w:gutter="0"/>
          <w:pgBorders>
            <w:top w:val="none" w:sz="0" w:space="0"/>
            <w:left w:val="none" w:sz="0" w:space="0"/>
            <w:bottom w:val="none" w:sz="0" w:space="0"/>
            <w:right w:val="none" w:sz="0" w:space="0"/>
          </w:pgBorders>
          <w:pgNumType w:fmt="numberInDash"/>
          <w:cols w:space="720" w:num="1"/>
          <w:rtlGutter w:val="0"/>
          <w:docGrid w:type="linesAndChars" w:linePitch="437" w:charSpace="2555"/>
        </w:sectPr>
      </w:pPr>
    </w:p>
    <w:p w14:paraId="26F97687">
      <w:pPr>
        <w:pStyle w:val="3"/>
        <w:keepNext w:val="0"/>
        <w:keepLines w:val="0"/>
        <w:pageBreakBefore w:val="0"/>
        <w:kinsoku/>
        <w:wordWrap w:val="0"/>
        <w:overflowPunct/>
        <w:topLinePunct w:val="0"/>
        <w:autoSpaceDE/>
        <w:autoSpaceDN/>
        <w:bidi w:val="0"/>
        <w:adjustRightInd w:val="0"/>
        <w:snapToGrid w:val="0"/>
        <w:spacing w:line="560" w:lineRule="exact"/>
        <w:jc w:val="center"/>
        <w:rPr>
          <w:rFonts w:hint="default" w:ascii="TimesNewRoman" w:hAnsi="TimesNewRoman" w:cs="TimesNewRoman"/>
          <w:sz w:val="20"/>
          <w:szCs w:val="20"/>
        </w:rPr>
      </w:pPr>
      <w:r>
        <w:rPr>
          <w:rFonts w:hint="eastAsia" w:ascii="TimesNewRoman" w:hAnsi="TimesNewRoman" w:cs="TimesNewRoman"/>
          <w:sz w:val="20"/>
          <w:szCs w:val="20"/>
          <w:lang w:val="en-US" w:eastAsia="zh-CN"/>
        </w:rPr>
        <w:t xml:space="preserve">                                                                                                          </w:t>
      </w:r>
      <w:r>
        <w:rPr>
          <w:rFonts w:hint="default" w:ascii="TimesNewRoman" w:hAnsi="TimesNewRoman" w:cs="TimesNewRoman"/>
          <w:sz w:val="20"/>
          <w:szCs w:val="20"/>
        </w:rPr>
        <w:t>部门公开表11</w:t>
      </w:r>
    </w:p>
    <w:tbl>
      <w:tblPr>
        <w:tblStyle w:val="4"/>
        <w:tblW w:w="1343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376"/>
        <w:gridCol w:w="1075"/>
        <w:gridCol w:w="1075"/>
        <w:gridCol w:w="1075"/>
        <w:gridCol w:w="2688"/>
        <w:gridCol w:w="1075"/>
        <w:gridCol w:w="1075"/>
      </w:tblGrid>
      <w:tr w14:paraId="22134C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3439" w:type="dxa"/>
            <w:gridSpan w:val="7"/>
            <w:tcBorders>
              <w:top w:val="nil"/>
              <w:left w:val="nil"/>
              <w:bottom w:val="nil"/>
              <w:right w:val="nil"/>
              <w:tl2br w:val="nil"/>
              <w:tr2bl w:val="nil"/>
            </w:tcBorders>
            <w:shd w:val="clear" w:color="auto" w:fill="FFFFFF"/>
            <w:noWrap w:val="0"/>
            <w:vAlign w:val="center"/>
          </w:tcPr>
          <w:p w14:paraId="39A63CDA">
            <w:pPr>
              <w:spacing w:beforeLines="0" w:afterLines="0" w:line="320" w:lineRule="atLeast"/>
              <w:jc w:val="center"/>
              <w:rPr>
                <w:rFonts w:hint="default" w:ascii="STZhongsong" w:hAnsi="STZhongsong" w:eastAsia="STZhongsong"/>
                <w:sz w:val="30"/>
                <w:szCs w:val="24"/>
              </w:rPr>
            </w:pPr>
            <w:r>
              <w:rPr>
                <w:rFonts w:hint="default" w:ascii="STZhongsong" w:hAnsi="STZhongsong" w:eastAsia="STZhongsong"/>
                <w:b/>
                <w:sz w:val="30"/>
                <w:szCs w:val="24"/>
              </w:rPr>
              <w:t>淮北市相山区数据资源管理局</w:t>
            </w:r>
            <w:r>
              <w:rPr>
                <w:rFonts w:hint="default" w:ascii="TimesNewRoman" w:hAnsi="TimesNewRoman" w:eastAsia="华文中宋" w:cs="TimesNewRoman"/>
                <w:b/>
                <w:bCs/>
                <w:kern w:val="0"/>
                <w:sz w:val="30"/>
                <w:szCs w:val="30"/>
                <w:lang w:val="en" w:eastAsia="zh-CN"/>
              </w:rPr>
              <w:t>2026</w:t>
            </w:r>
            <w:r>
              <w:rPr>
                <w:rFonts w:hint="default" w:ascii="STZhongsong" w:hAnsi="STZhongsong" w:eastAsia="STZhongsong"/>
                <w:b/>
                <w:sz w:val="30"/>
                <w:szCs w:val="24"/>
              </w:rPr>
              <w:t>年政府购买服务支出表</w:t>
            </w:r>
          </w:p>
        </w:tc>
      </w:tr>
      <w:tr w14:paraId="01D53E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601" w:type="dxa"/>
            <w:gridSpan w:val="4"/>
            <w:tcBorders>
              <w:top w:val="nil"/>
              <w:left w:val="nil"/>
              <w:bottom w:val="nil"/>
              <w:right w:val="nil"/>
              <w:tl2br w:val="nil"/>
              <w:tr2bl w:val="nil"/>
            </w:tcBorders>
            <w:shd w:val="clear" w:color="auto" w:fill="FFFFFF"/>
            <w:noWrap w:val="0"/>
            <w:vAlign w:val="center"/>
          </w:tcPr>
          <w:p w14:paraId="1100286A">
            <w:pPr>
              <w:spacing w:beforeLines="0" w:afterLines="0"/>
              <w:rPr>
                <w:rFonts w:hint="default"/>
                <w:sz w:val="24"/>
                <w:szCs w:val="24"/>
              </w:rPr>
            </w:pPr>
          </w:p>
        </w:tc>
        <w:tc>
          <w:tcPr>
            <w:tcW w:w="4838" w:type="dxa"/>
            <w:gridSpan w:val="3"/>
            <w:tcBorders>
              <w:top w:val="nil"/>
              <w:left w:val="nil"/>
              <w:bottom w:val="nil"/>
              <w:right w:val="nil"/>
              <w:tl2br w:val="nil"/>
              <w:tr2bl w:val="nil"/>
            </w:tcBorders>
            <w:shd w:val="clear" w:color="auto" w:fill="FFFFFF"/>
            <w:noWrap w:val="0"/>
            <w:vAlign w:val="center"/>
          </w:tcPr>
          <w:p w14:paraId="6F49F22A">
            <w:pPr>
              <w:spacing w:beforeLines="0" w:afterLines="0" w:line="320" w:lineRule="atLeast"/>
              <w:jc w:val="right"/>
              <w:rPr>
                <w:rFonts w:hint="default" w:ascii="FangSong_GB2312" w:hAnsi="FangSong_GB2312" w:eastAsia="FangSong_GB2312"/>
                <w:sz w:val="20"/>
                <w:szCs w:val="24"/>
              </w:rPr>
            </w:pPr>
            <w:r>
              <w:rPr>
                <w:rFonts w:hint="default" w:ascii="FangSong_GB2312" w:hAnsi="FangSong_GB2312" w:eastAsia="FangSong_GB2312"/>
                <w:sz w:val="20"/>
                <w:szCs w:val="24"/>
              </w:rPr>
              <w:t>单位：万元</w:t>
            </w:r>
          </w:p>
        </w:tc>
      </w:tr>
      <w:tr w14:paraId="772508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3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8DAE8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项目名称</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74405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一级目录名称</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FE330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二级目录名称</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88E84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三级目录名称</w:t>
            </w:r>
          </w:p>
        </w:tc>
        <w:tc>
          <w:tcPr>
            <w:tcW w:w="268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F7737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政府购买服务内容</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19C73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购买数量</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3CA09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购买金额</w:t>
            </w:r>
          </w:p>
        </w:tc>
      </w:tr>
      <w:tr w14:paraId="437EF5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3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6966F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0</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F4B8E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0</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0C2C2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0</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B7BFB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0</w:t>
            </w:r>
          </w:p>
        </w:tc>
        <w:tc>
          <w:tcPr>
            <w:tcW w:w="268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85F0C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0</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12925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0</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336EF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0</w:t>
            </w:r>
          </w:p>
        </w:tc>
      </w:tr>
    </w:tbl>
    <w:p w14:paraId="15809446">
      <w:pPr>
        <w:keepNext w:val="0"/>
        <w:keepLines w:val="0"/>
        <w:pageBreakBefore w:val="0"/>
        <w:kinsoku/>
        <w:overflowPunct/>
        <w:topLinePunct w:val="0"/>
        <w:autoSpaceDE/>
        <w:autoSpaceDN/>
        <w:bidi w:val="0"/>
        <w:spacing w:line="560" w:lineRule="exact"/>
        <w:rPr>
          <w:rFonts w:hint="eastAsia" w:ascii="TimesNewRoman" w:hAnsi="TimesNewRoman" w:eastAsia="仿宋_GB2312" w:cs="TimesNewRoman"/>
          <w:kern w:val="0"/>
          <w:sz w:val="22"/>
          <w:lang w:eastAsia="zh-CN"/>
        </w:rPr>
      </w:pPr>
      <w:r>
        <w:rPr>
          <w:rFonts w:hint="default" w:ascii="TimesNewRoman" w:hAnsi="TimesNewRoman" w:cs="TimesNewRoman"/>
          <w:kern w:val="0"/>
          <w:sz w:val="22"/>
        </w:rPr>
        <w:t>注：</w:t>
      </w:r>
      <w:r>
        <w:rPr>
          <w:rFonts w:hint="eastAsia" w:ascii="TimesNewRoman" w:hAnsi="TimesNewRoman" w:cs="TimesNewRoman"/>
          <w:kern w:val="0"/>
          <w:sz w:val="22"/>
          <w:lang w:eastAsia="zh-CN"/>
        </w:rPr>
        <w:t>淮北市相山区数据资源管理局</w:t>
      </w:r>
      <w:r>
        <w:rPr>
          <w:rFonts w:hint="default" w:ascii="TimesNewRoman" w:hAnsi="TimesNewRoman" w:cs="TimesNewRoman"/>
          <w:kern w:val="0"/>
          <w:sz w:val="22"/>
        </w:rPr>
        <w:t>没有安排政府购买服务支出，故本表无数据</w:t>
      </w:r>
      <w:r>
        <w:rPr>
          <w:rFonts w:hint="eastAsia" w:ascii="TimesNewRoman" w:hAnsi="TimesNewRoman" w:cs="TimesNewRoman"/>
          <w:kern w:val="0"/>
          <w:sz w:val="22"/>
          <w:lang w:eastAsia="zh-CN"/>
        </w:rPr>
        <w:t>。</w:t>
      </w:r>
    </w:p>
    <w:p w14:paraId="5C381A5F">
      <w:pPr>
        <w:pStyle w:val="3"/>
        <w:keepNext w:val="0"/>
        <w:keepLines w:val="0"/>
        <w:pageBreakBefore w:val="0"/>
        <w:kinsoku/>
        <w:overflowPunct/>
        <w:topLinePunct w:val="0"/>
        <w:autoSpaceDE/>
        <w:autoSpaceDN/>
        <w:bidi w:val="0"/>
        <w:adjustRightInd w:val="0"/>
        <w:snapToGrid w:val="0"/>
        <w:spacing w:line="560" w:lineRule="exact"/>
        <w:rPr>
          <w:rFonts w:hint="default" w:ascii="TimesNewRoman" w:hAnsi="TimesNewRoman" w:cs="TimesNewRoman"/>
        </w:rPr>
      </w:pPr>
    </w:p>
    <w:p w14:paraId="1770106F">
      <w:pPr>
        <w:pStyle w:val="3"/>
        <w:keepNext w:val="0"/>
        <w:keepLines w:val="0"/>
        <w:pageBreakBefore w:val="0"/>
        <w:kinsoku/>
        <w:overflowPunct/>
        <w:topLinePunct w:val="0"/>
        <w:autoSpaceDE/>
        <w:autoSpaceDN/>
        <w:bidi w:val="0"/>
        <w:adjustRightInd w:val="0"/>
        <w:snapToGrid w:val="0"/>
        <w:spacing w:line="560" w:lineRule="exact"/>
        <w:rPr>
          <w:rFonts w:hint="default" w:ascii="TimesNewRoman" w:hAnsi="TimesNewRoman" w:cs="TimesNewRoman"/>
        </w:rPr>
      </w:pPr>
    </w:p>
    <w:p w14:paraId="56EDBC74">
      <w:pPr>
        <w:pStyle w:val="3"/>
        <w:keepNext w:val="0"/>
        <w:keepLines w:val="0"/>
        <w:pageBreakBefore w:val="0"/>
        <w:kinsoku/>
        <w:overflowPunct/>
        <w:topLinePunct w:val="0"/>
        <w:autoSpaceDE/>
        <w:autoSpaceDN/>
        <w:bidi w:val="0"/>
        <w:adjustRightInd w:val="0"/>
        <w:snapToGrid w:val="0"/>
        <w:spacing w:line="560" w:lineRule="exact"/>
        <w:rPr>
          <w:rFonts w:hint="default" w:ascii="TimesNewRoman" w:hAnsi="TimesNewRoman" w:cs="TimesNewRoman"/>
        </w:rPr>
      </w:pPr>
    </w:p>
    <w:p w14:paraId="1E91E9B1">
      <w:pPr>
        <w:pStyle w:val="3"/>
        <w:keepNext w:val="0"/>
        <w:keepLines w:val="0"/>
        <w:pageBreakBefore w:val="0"/>
        <w:kinsoku/>
        <w:overflowPunct/>
        <w:topLinePunct w:val="0"/>
        <w:autoSpaceDE/>
        <w:autoSpaceDN/>
        <w:bidi w:val="0"/>
        <w:adjustRightInd w:val="0"/>
        <w:snapToGrid w:val="0"/>
        <w:spacing w:line="560" w:lineRule="exact"/>
        <w:rPr>
          <w:rFonts w:hint="default" w:ascii="TimesNewRoman" w:hAnsi="TimesNewRoman" w:cs="TimesNewRoman"/>
        </w:rPr>
      </w:pPr>
    </w:p>
    <w:p w14:paraId="4BB04986">
      <w:pPr>
        <w:pStyle w:val="3"/>
        <w:keepNext w:val="0"/>
        <w:keepLines w:val="0"/>
        <w:pageBreakBefore w:val="0"/>
        <w:kinsoku/>
        <w:overflowPunct/>
        <w:topLinePunct w:val="0"/>
        <w:autoSpaceDE/>
        <w:autoSpaceDN/>
        <w:bidi w:val="0"/>
        <w:adjustRightInd w:val="0"/>
        <w:snapToGrid w:val="0"/>
        <w:spacing w:line="560" w:lineRule="exact"/>
        <w:rPr>
          <w:rFonts w:hint="default" w:ascii="TimesNewRoman" w:hAnsi="TimesNewRoman" w:cs="TimesNewRoman"/>
        </w:rPr>
      </w:pPr>
    </w:p>
    <w:p w14:paraId="7D04242B">
      <w:pPr>
        <w:pStyle w:val="3"/>
        <w:keepNext w:val="0"/>
        <w:keepLines w:val="0"/>
        <w:pageBreakBefore w:val="0"/>
        <w:kinsoku/>
        <w:overflowPunct/>
        <w:topLinePunct w:val="0"/>
        <w:autoSpaceDE/>
        <w:autoSpaceDN/>
        <w:bidi w:val="0"/>
        <w:adjustRightInd w:val="0"/>
        <w:snapToGrid w:val="0"/>
        <w:spacing w:line="560" w:lineRule="exact"/>
        <w:rPr>
          <w:rFonts w:hint="default" w:ascii="TimesNewRoman" w:hAnsi="TimesNewRoman" w:cs="TimesNewRoman"/>
        </w:rPr>
      </w:pPr>
    </w:p>
    <w:p w14:paraId="32764F51">
      <w:pPr>
        <w:pStyle w:val="3"/>
        <w:keepNext w:val="0"/>
        <w:keepLines w:val="0"/>
        <w:pageBreakBefore w:val="0"/>
        <w:kinsoku/>
        <w:overflowPunct/>
        <w:topLinePunct w:val="0"/>
        <w:autoSpaceDE/>
        <w:autoSpaceDN/>
        <w:bidi w:val="0"/>
        <w:adjustRightInd w:val="0"/>
        <w:snapToGrid w:val="0"/>
        <w:spacing w:line="560" w:lineRule="exact"/>
        <w:rPr>
          <w:rFonts w:hint="default" w:ascii="TimesNewRoman" w:hAnsi="TimesNewRoman" w:cs="TimesNewRoman"/>
        </w:rPr>
      </w:pPr>
    </w:p>
    <w:p w14:paraId="631CD572">
      <w:pPr>
        <w:pStyle w:val="3"/>
        <w:keepNext w:val="0"/>
        <w:keepLines w:val="0"/>
        <w:pageBreakBefore w:val="0"/>
        <w:kinsoku/>
        <w:overflowPunct/>
        <w:topLinePunct w:val="0"/>
        <w:autoSpaceDE/>
        <w:autoSpaceDN/>
        <w:bidi w:val="0"/>
        <w:adjustRightInd w:val="0"/>
        <w:snapToGrid w:val="0"/>
        <w:spacing w:line="560" w:lineRule="exact"/>
        <w:rPr>
          <w:rFonts w:hint="default" w:ascii="TimesNewRoman" w:hAnsi="TimesNewRoman" w:cs="TimesNewRoman"/>
        </w:rPr>
      </w:pPr>
    </w:p>
    <w:p w14:paraId="499BF5F4">
      <w:pPr>
        <w:pStyle w:val="3"/>
        <w:keepNext w:val="0"/>
        <w:keepLines w:val="0"/>
        <w:pageBreakBefore w:val="0"/>
        <w:kinsoku/>
        <w:wordWrap w:val="0"/>
        <w:overflowPunct/>
        <w:topLinePunct w:val="0"/>
        <w:autoSpaceDE/>
        <w:autoSpaceDN/>
        <w:bidi w:val="0"/>
        <w:adjustRightInd w:val="0"/>
        <w:snapToGrid w:val="0"/>
        <w:spacing w:line="560" w:lineRule="exact"/>
        <w:jc w:val="right"/>
        <w:rPr>
          <w:rFonts w:hint="eastAsia" w:ascii="TimesNewRoman" w:hAnsi="TimesNewRoman" w:eastAsia="宋体" w:cs="TimesNewRoman"/>
          <w:sz w:val="20"/>
          <w:szCs w:val="20"/>
          <w:lang w:eastAsia="zh-CN"/>
        </w:rPr>
      </w:pPr>
      <w:r>
        <w:rPr>
          <w:rFonts w:hint="default" w:ascii="TimesNewRoman" w:hAnsi="TimesNewRoman" w:cs="TimesNewRoman"/>
          <w:sz w:val="20"/>
          <w:szCs w:val="20"/>
        </w:rPr>
        <w:t>部门公开表1</w:t>
      </w:r>
      <w:r>
        <w:rPr>
          <w:rFonts w:hint="eastAsia" w:ascii="TimesNewRoman" w:hAnsi="TimesNewRoman" w:cs="TimesNewRoman"/>
          <w:sz w:val="20"/>
          <w:szCs w:val="20"/>
          <w:lang w:val="en-US" w:eastAsia="zh-CN"/>
        </w:rPr>
        <w:t>2</w:t>
      </w:r>
    </w:p>
    <w:tbl>
      <w:tblPr>
        <w:tblStyle w:val="4"/>
        <w:tblW w:w="13743" w:type="dxa"/>
        <w:jc w:val="center"/>
        <w:tblLayout w:type="fixed"/>
        <w:tblCellMar>
          <w:top w:w="0" w:type="dxa"/>
          <w:left w:w="108" w:type="dxa"/>
          <w:bottom w:w="0" w:type="dxa"/>
          <w:right w:w="108" w:type="dxa"/>
        </w:tblCellMar>
      </w:tblPr>
      <w:tblGrid>
        <w:gridCol w:w="4026"/>
        <w:gridCol w:w="3717"/>
        <w:gridCol w:w="2483"/>
        <w:gridCol w:w="3500"/>
        <w:gridCol w:w="17"/>
      </w:tblGrid>
      <w:tr w14:paraId="07B5D904">
        <w:tblPrEx>
          <w:tblCellMar>
            <w:top w:w="0" w:type="dxa"/>
            <w:left w:w="108" w:type="dxa"/>
            <w:bottom w:w="0" w:type="dxa"/>
            <w:right w:w="108" w:type="dxa"/>
          </w:tblCellMar>
        </w:tblPrEx>
        <w:trPr>
          <w:gridAfter w:val="1"/>
          <w:wAfter w:w="17" w:type="dxa"/>
          <w:trHeight w:val="525" w:hRule="atLeast"/>
          <w:jc w:val="center"/>
        </w:trPr>
        <w:tc>
          <w:tcPr>
            <w:tcW w:w="13726" w:type="dxa"/>
            <w:gridSpan w:val="4"/>
            <w:tcBorders>
              <w:top w:val="nil"/>
              <w:left w:val="nil"/>
              <w:bottom w:val="nil"/>
              <w:right w:val="nil"/>
            </w:tcBorders>
            <w:noWrap w:val="0"/>
            <w:vAlign w:val="center"/>
          </w:tcPr>
          <w:p w14:paraId="492AFFED">
            <w:pPr>
              <w:keepNext w:val="0"/>
              <w:keepLines w:val="0"/>
              <w:pageBreakBefore w:val="0"/>
              <w:widowControl/>
              <w:kinsoku/>
              <w:overflowPunct/>
              <w:topLinePunct w:val="0"/>
              <w:autoSpaceDE/>
              <w:autoSpaceDN/>
              <w:bidi w:val="0"/>
              <w:spacing w:line="560" w:lineRule="exact"/>
              <w:jc w:val="center"/>
              <w:rPr>
                <w:rFonts w:hint="default" w:ascii="TimesNewRoman" w:hAnsi="TimesNewRoman" w:eastAsia="华文中宋" w:cs="TimesNewRoman"/>
                <w:b/>
                <w:bCs/>
                <w:kern w:val="0"/>
                <w:szCs w:val="32"/>
              </w:rPr>
            </w:pPr>
            <w:r>
              <w:rPr>
                <w:rFonts w:hint="eastAsia" w:ascii="TimesNewRoman" w:hAnsi="TimesNewRoman" w:eastAsia="华文中宋" w:cs="TimesNewRoman"/>
                <w:b/>
                <w:bCs/>
                <w:kern w:val="0"/>
                <w:szCs w:val="32"/>
                <w:lang w:eastAsia="zh-CN"/>
              </w:rPr>
              <w:t>淮北市相山区数据资源管理局</w:t>
            </w:r>
            <w:r>
              <w:rPr>
                <w:rFonts w:hint="eastAsia" w:ascii="TimesNewRoman" w:hAnsi="TimesNewRoman" w:eastAsia="华文中宋" w:cs="TimesNewRoman"/>
                <w:b/>
                <w:bCs/>
                <w:kern w:val="0"/>
                <w:szCs w:val="32"/>
                <w:lang w:val="en" w:eastAsia="zh-CN"/>
              </w:rPr>
              <w:t>2026</w:t>
            </w:r>
            <w:r>
              <w:rPr>
                <w:rFonts w:hint="default" w:ascii="TimesNewRoman" w:hAnsi="TimesNewRoman" w:eastAsia="华文中宋" w:cs="TimesNewRoman"/>
                <w:b/>
                <w:bCs/>
                <w:kern w:val="0"/>
                <w:szCs w:val="32"/>
                <w:lang w:val="en"/>
              </w:rPr>
              <w:t>年通用资产配置支出表</w:t>
            </w:r>
          </w:p>
          <w:p w14:paraId="604950CD">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kern w:val="0"/>
                <w:sz w:val="20"/>
              </w:rPr>
            </w:pPr>
            <w:r>
              <w:rPr>
                <w:rFonts w:hint="default" w:ascii="TimesNewRoman" w:hAnsi="TimesNewRoman" w:cs="TimesNewRoman"/>
                <w:kern w:val="0"/>
                <w:sz w:val="20"/>
              </w:rPr>
              <w:t xml:space="preserve">                                                                                                                    单位：万元</w:t>
            </w:r>
          </w:p>
        </w:tc>
      </w:tr>
      <w:tr w14:paraId="52B50AAD">
        <w:tblPrEx>
          <w:tblCellMar>
            <w:top w:w="15" w:type="dxa"/>
            <w:left w:w="15" w:type="dxa"/>
            <w:bottom w:w="15" w:type="dxa"/>
            <w:right w:w="15" w:type="dxa"/>
          </w:tblCellMar>
        </w:tblPrEx>
        <w:trPr>
          <w:trHeight w:val="720" w:hRule="atLeast"/>
          <w:jc w:val="center"/>
        </w:trPr>
        <w:tc>
          <w:tcPr>
            <w:tcW w:w="4026" w:type="dxa"/>
            <w:tcBorders>
              <w:top w:val="single" w:color="auto" w:sz="4" w:space="0"/>
              <w:left w:val="single" w:color="auto" w:sz="4" w:space="0"/>
              <w:bottom w:val="single" w:color="auto" w:sz="4" w:space="0"/>
              <w:right w:val="single" w:color="auto" w:sz="4" w:space="0"/>
            </w:tcBorders>
            <w:noWrap w:val="0"/>
            <w:vAlign w:val="center"/>
          </w:tcPr>
          <w:p w14:paraId="1479E58E">
            <w:pPr>
              <w:keepNext w:val="0"/>
              <w:keepLines w:val="0"/>
              <w:pageBreakBefore w:val="0"/>
              <w:widowControl/>
              <w:kinsoku/>
              <w:overflowPunct/>
              <w:topLinePunct w:val="0"/>
              <w:autoSpaceDE/>
              <w:autoSpaceDN/>
              <w:bidi w:val="0"/>
              <w:spacing w:line="560" w:lineRule="exact"/>
              <w:jc w:val="center"/>
              <w:textAlignment w:val="center"/>
              <w:rPr>
                <w:rFonts w:hint="default" w:ascii="TimesNewRoman" w:hAnsi="TimesNewRoman" w:cs="TimesNewRoman"/>
                <w:b/>
                <w:sz w:val="20"/>
              </w:rPr>
            </w:pPr>
            <w:r>
              <w:rPr>
                <w:rFonts w:hint="default" w:ascii="TimesNewRoman" w:hAnsi="TimesNewRoman" w:cs="TimesNewRoman"/>
                <w:b/>
                <w:kern w:val="0"/>
                <w:sz w:val="20"/>
                <w:lang w:bidi="ar"/>
              </w:rPr>
              <w:t>资产大类名称</w:t>
            </w:r>
          </w:p>
        </w:tc>
        <w:tc>
          <w:tcPr>
            <w:tcW w:w="3717" w:type="dxa"/>
            <w:tcBorders>
              <w:top w:val="single" w:color="000000" w:sz="4" w:space="0"/>
              <w:left w:val="single" w:color="auto" w:sz="4" w:space="0"/>
              <w:bottom w:val="single" w:color="000000" w:sz="4" w:space="0"/>
              <w:right w:val="single" w:color="000000" w:sz="4" w:space="0"/>
            </w:tcBorders>
            <w:noWrap w:val="0"/>
            <w:vAlign w:val="center"/>
          </w:tcPr>
          <w:p w14:paraId="70FEC5F8">
            <w:pPr>
              <w:keepNext w:val="0"/>
              <w:keepLines w:val="0"/>
              <w:pageBreakBefore w:val="0"/>
              <w:widowControl/>
              <w:kinsoku/>
              <w:overflowPunct/>
              <w:topLinePunct w:val="0"/>
              <w:autoSpaceDE/>
              <w:autoSpaceDN/>
              <w:bidi w:val="0"/>
              <w:spacing w:line="560" w:lineRule="exact"/>
              <w:jc w:val="center"/>
              <w:textAlignment w:val="center"/>
              <w:rPr>
                <w:rFonts w:hint="default" w:ascii="TimesNewRoman" w:hAnsi="TimesNewRoman" w:cs="TimesNewRoman"/>
                <w:b/>
                <w:sz w:val="20"/>
              </w:rPr>
            </w:pPr>
            <w:r>
              <w:rPr>
                <w:rFonts w:hint="default" w:ascii="TimesNewRoman" w:hAnsi="TimesNewRoman" w:cs="TimesNewRoman"/>
                <w:b/>
                <w:kern w:val="0"/>
                <w:sz w:val="20"/>
                <w:lang w:bidi="ar"/>
              </w:rPr>
              <w:t>资产分类名称</w:t>
            </w:r>
          </w:p>
        </w:tc>
        <w:tc>
          <w:tcPr>
            <w:tcW w:w="2483" w:type="dxa"/>
            <w:tcBorders>
              <w:top w:val="single" w:color="000000" w:sz="4" w:space="0"/>
              <w:left w:val="single" w:color="000000" w:sz="4" w:space="0"/>
              <w:bottom w:val="single" w:color="000000" w:sz="4" w:space="0"/>
              <w:right w:val="single" w:color="000000" w:sz="4" w:space="0"/>
            </w:tcBorders>
            <w:noWrap w:val="0"/>
            <w:vAlign w:val="center"/>
          </w:tcPr>
          <w:p w14:paraId="23BCFB1E">
            <w:pPr>
              <w:keepNext w:val="0"/>
              <w:keepLines w:val="0"/>
              <w:pageBreakBefore w:val="0"/>
              <w:widowControl/>
              <w:kinsoku/>
              <w:overflowPunct/>
              <w:topLinePunct w:val="0"/>
              <w:autoSpaceDE/>
              <w:autoSpaceDN/>
              <w:bidi w:val="0"/>
              <w:spacing w:line="560" w:lineRule="exact"/>
              <w:jc w:val="center"/>
              <w:textAlignment w:val="center"/>
              <w:rPr>
                <w:rFonts w:hint="default" w:ascii="TimesNewRoman" w:hAnsi="TimesNewRoman" w:cs="TimesNewRoman"/>
                <w:b/>
                <w:sz w:val="20"/>
              </w:rPr>
            </w:pPr>
            <w:r>
              <w:rPr>
                <w:rFonts w:hint="default" w:ascii="TimesNewRoman" w:hAnsi="TimesNewRoman" w:cs="TimesNewRoman"/>
                <w:b/>
                <w:kern w:val="0"/>
                <w:sz w:val="20"/>
                <w:lang w:bidi="ar"/>
              </w:rPr>
              <w:t>数量 （台、件）</w:t>
            </w:r>
          </w:p>
        </w:tc>
        <w:tc>
          <w:tcPr>
            <w:tcW w:w="3517" w:type="dxa"/>
            <w:gridSpan w:val="2"/>
            <w:tcBorders>
              <w:top w:val="single" w:color="000000" w:sz="4" w:space="0"/>
              <w:left w:val="single" w:color="000000" w:sz="4" w:space="0"/>
              <w:bottom w:val="single" w:color="000000" w:sz="4" w:space="0"/>
              <w:right w:val="single" w:color="000000" w:sz="4" w:space="0"/>
            </w:tcBorders>
            <w:noWrap w:val="0"/>
            <w:vAlign w:val="center"/>
          </w:tcPr>
          <w:p w14:paraId="795FCAAB">
            <w:pPr>
              <w:keepNext w:val="0"/>
              <w:keepLines w:val="0"/>
              <w:pageBreakBefore w:val="0"/>
              <w:widowControl/>
              <w:kinsoku/>
              <w:overflowPunct/>
              <w:topLinePunct w:val="0"/>
              <w:autoSpaceDE/>
              <w:autoSpaceDN/>
              <w:bidi w:val="0"/>
              <w:spacing w:line="560" w:lineRule="exact"/>
              <w:jc w:val="center"/>
              <w:textAlignment w:val="center"/>
              <w:rPr>
                <w:rFonts w:hint="default" w:ascii="TimesNewRoman" w:hAnsi="TimesNewRoman" w:cs="TimesNewRoman"/>
                <w:b/>
                <w:sz w:val="20"/>
              </w:rPr>
            </w:pPr>
            <w:r>
              <w:rPr>
                <w:rFonts w:hint="default" w:ascii="TimesNewRoman" w:hAnsi="TimesNewRoman" w:cs="TimesNewRoman"/>
                <w:b/>
                <w:kern w:val="0"/>
                <w:sz w:val="20"/>
                <w:lang w:bidi="ar"/>
              </w:rPr>
              <w:t>金额</w:t>
            </w:r>
          </w:p>
        </w:tc>
      </w:tr>
      <w:tr w14:paraId="20CE2546">
        <w:tblPrEx>
          <w:tblCellMar>
            <w:top w:w="15" w:type="dxa"/>
            <w:left w:w="15" w:type="dxa"/>
            <w:bottom w:w="15" w:type="dxa"/>
            <w:right w:w="15" w:type="dxa"/>
          </w:tblCellMar>
        </w:tblPrEx>
        <w:trPr>
          <w:trHeight w:val="555" w:hRule="atLeast"/>
          <w:jc w:val="center"/>
        </w:trPr>
        <w:tc>
          <w:tcPr>
            <w:tcW w:w="4026" w:type="dxa"/>
            <w:tcBorders>
              <w:top w:val="single" w:color="auto" w:sz="4" w:space="0"/>
              <w:left w:val="single" w:color="000000" w:sz="4" w:space="0"/>
              <w:bottom w:val="single" w:color="000000" w:sz="4" w:space="0"/>
              <w:right w:val="single" w:color="000000" w:sz="4" w:space="0"/>
            </w:tcBorders>
            <w:noWrap w:val="0"/>
            <w:vAlign w:val="center"/>
          </w:tcPr>
          <w:p w14:paraId="2DCE505B">
            <w:pPr>
              <w:keepNext w:val="0"/>
              <w:keepLines w:val="0"/>
              <w:pageBreakBefore w:val="0"/>
              <w:kinsoku/>
              <w:overflowPunct/>
              <w:topLinePunct w:val="0"/>
              <w:autoSpaceDE/>
              <w:autoSpaceDN/>
              <w:bidi w:val="0"/>
              <w:spacing w:line="560" w:lineRule="exact"/>
              <w:jc w:val="left"/>
              <w:rPr>
                <w:rFonts w:hint="eastAsia" w:ascii="TimesNewRoman" w:hAnsi="TimesNewRoman" w:eastAsia="仿宋_GB2312" w:cs="TimesNewRoman"/>
                <w:sz w:val="20"/>
                <w:lang w:eastAsia="zh-CN"/>
              </w:rPr>
            </w:pPr>
            <w:r>
              <w:rPr>
                <w:rFonts w:hint="eastAsia" w:ascii="TimesNewRoman" w:hAnsi="TimesNewRoman" w:cs="TimesNewRoman"/>
                <w:sz w:val="20"/>
                <w:lang w:eastAsia="zh-CN"/>
              </w:rPr>
              <w:t>无</w:t>
            </w:r>
          </w:p>
        </w:tc>
        <w:tc>
          <w:tcPr>
            <w:tcW w:w="3717" w:type="dxa"/>
            <w:tcBorders>
              <w:top w:val="single" w:color="000000" w:sz="4" w:space="0"/>
              <w:left w:val="single" w:color="000000" w:sz="4" w:space="0"/>
              <w:bottom w:val="single" w:color="000000" w:sz="4" w:space="0"/>
              <w:right w:val="single" w:color="000000" w:sz="4" w:space="0"/>
            </w:tcBorders>
            <w:noWrap w:val="0"/>
            <w:vAlign w:val="center"/>
          </w:tcPr>
          <w:p w14:paraId="4A6E4F72">
            <w:pPr>
              <w:keepNext w:val="0"/>
              <w:keepLines w:val="0"/>
              <w:pageBreakBefore w:val="0"/>
              <w:kinsoku/>
              <w:overflowPunct/>
              <w:topLinePunct w:val="0"/>
              <w:autoSpaceDE/>
              <w:autoSpaceDN/>
              <w:bidi w:val="0"/>
              <w:spacing w:line="560" w:lineRule="exact"/>
              <w:jc w:val="left"/>
              <w:rPr>
                <w:rFonts w:hint="default" w:ascii="TimesNewRoman" w:hAnsi="TimesNewRoman" w:cs="TimesNewRoman"/>
                <w:sz w:val="20"/>
              </w:rPr>
            </w:pPr>
          </w:p>
        </w:tc>
        <w:tc>
          <w:tcPr>
            <w:tcW w:w="2483" w:type="dxa"/>
            <w:tcBorders>
              <w:top w:val="single" w:color="000000" w:sz="4" w:space="0"/>
              <w:left w:val="single" w:color="000000" w:sz="4" w:space="0"/>
              <w:bottom w:val="single" w:color="000000" w:sz="4" w:space="0"/>
              <w:right w:val="single" w:color="000000" w:sz="4" w:space="0"/>
            </w:tcBorders>
            <w:noWrap w:val="0"/>
            <w:vAlign w:val="center"/>
          </w:tcPr>
          <w:p w14:paraId="394A9546">
            <w:pPr>
              <w:keepNext w:val="0"/>
              <w:keepLines w:val="0"/>
              <w:pageBreakBefore w:val="0"/>
              <w:kinsoku/>
              <w:overflowPunct/>
              <w:topLinePunct w:val="0"/>
              <w:autoSpaceDE/>
              <w:autoSpaceDN/>
              <w:bidi w:val="0"/>
              <w:spacing w:line="560" w:lineRule="exact"/>
              <w:jc w:val="left"/>
              <w:rPr>
                <w:rFonts w:hint="default" w:ascii="TimesNewRoman" w:hAnsi="TimesNewRoman" w:cs="TimesNewRoman"/>
                <w:sz w:val="20"/>
              </w:rPr>
            </w:pPr>
          </w:p>
        </w:tc>
        <w:tc>
          <w:tcPr>
            <w:tcW w:w="3517" w:type="dxa"/>
            <w:gridSpan w:val="2"/>
            <w:tcBorders>
              <w:top w:val="single" w:color="000000" w:sz="4" w:space="0"/>
              <w:left w:val="single" w:color="000000" w:sz="4" w:space="0"/>
              <w:bottom w:val="single" w:color="000000" w:sz="4" w:space="0"/>
              <w:right w:val="single" w:color="000000" w:sz="4" w:space="0"/>
            </w:tcBorders>
            <w:noWrap w:val="0"/>
            <w:vAlign w:val="center"/>
          </w:tcPr>
          <w:p w14:paraId="25FE68BD">
            <w:pPr>
              <w:keepNext w:val="0"/>
              <w:keepLines w:val="0"/>
              <w:pageBreakBefore w:val="0"/>
              <w:kinsoku/>
              <w:overflowPunct/>
              <w:topLinePunct w:val="0"/>
              <w:autoSpaceDE/>
              <w:autoSpaceDN/>
              <w:bidi w:val="0"/>
              <w:spacing w:line="560" w:lineRule="exact"/>
              <w:jc w:val="right"/>
              <w:rPr>
                <w:rFonts w:hint="default" w:ascii="TimesNewRoman" w:hAnsi="TimesNewRoman" w:cs="TimesNewRoman"/>
                <w:sz w:val="20"/>
              </w:rPr>
            </w:pPr>
          </w:p>
        </w:tc>
      </w:tr>
      <w:tr w14:paraId="5B5B369D">
        <w:tblPrEx>
          <w:tblCellMar>
            <w:top w:w="15" w:type="dxa"/>
            <w:left w:w="15" w:type="dxa"/>
            <w:bottom w:w="15" w:type="dxa"/>
            <w:right w:w="15" w:type="dxa"/>
          </w:tblCellMar>
        </w:tblPrEx>
        <w:trPr>
          <w:trHeight w:val="555" w:hRule="atLeast"/>
          <w:jc w:val="center"/>
        </w:trPr>
        <w:tc>
          <w:tcPr>
            <w:tcW w:w="4026" w:type="dxa"/>
            <w:tcBorders>
              <w:top w:val="single" w:color="000000" w:sz="4" w:space="0"/>
              <w:left w:val="single" w:color="000000" w:sz="4" w:space="0"/>
              <w:bottom w:val="single" w:color="000000" w:sz="4" w:space="0"/>
              <w:right w:val="single" w:color="000000" w:sz="4" w:space="0"/>
            </w:tcBorders>
            <w:noWrap w:val="0"/>
            <w:vAlign w:val="center"/>
          </w:tcPr>
          <w:p w14:paraId="3E52E94F">
            <w:pPr>
              <w:keepNext w:val="0"/>
              <w:keepLines w:val="0"/>
              <w:pageBreakBefore w:val="0"/>
              <w:kinsoku/>
              <w:overflowPunct/>
              <w:topLinePunct w:val="0"/>
              <w:autoSpaceDE/>
              <w:autoSpaceDN/>
              <w:bidi w:val="0"/>
              <w:spacing w:line="560" w:lineRule="exact"/>
              <w:rPr>
                <w:rFonts w:hint="default" w:ascii="TimesNewRoman" w:hAnsi="TimesNewRoman" w:cs="TimesNewRoman"/>
                <w:sz w:val="18"/>
                <w:szCs w:val="18"/>
              </w:rPr>
            </w:pPr>
          </w:p>
        </w:tc>
        <w:tc>
          <w:tcPr>
            <w:tcW w:w="3717" w:type="dxa"/>
            <w:tcBorders>
              <w:top w:val="single" w:color="000000" w:sz="4" w:space="0"/>
              <w:left w:val="single" w:color="000000" w:sz="4" w:space="0"/>
              <w:bottom w:val="single" w:color="000000" w:sz="4" w:space="0"/>
              <w:right w:val="single" w:color="000000" w:sz="4" w:space="0"/>
            </w:tcBorders>
            <w:noWrap w:val="0"/>
            <w:vAlign w:val="bottom"/>
          </w:tcPr>
          <w:p w14:paraId="6522E273">
            <w:pPr>
              <w:keepNext w:val="0"/>
              <w:keepLines w:val="0"/>
              <w:pageBreakBefore w:val="0"/>
              <w:kinsoku/>
              <w:overflowPunct/>
              <w:topLinePunct w:val="0"/>
              <w:autoSpaceDE/>
              <w:autoSpaceDN/>
              <w:bidi w:val="0"/>
              <w:spacing w:line="560" w:lineRule="exact"/>
              <w:rPr>
                <w:rFonts w:hint="default" w:ascii="TimesNewRoman" w:hAnsi="TimesNewRoman" w:cs="TimesNewRoman"/>
                <w:sz w:val="18"/>
                <w:szCs w:val="18"/>
              </w:rPr>
            </w:pPr>
          </w:p>
        </w:tc>
        <w:tc>
          <w:tcPr>
            <w:tcW w:w="2483" w:type="dxa"/>
            <w:tcBorders>
              <w:top w:val="single" w:color="000000" w:sz="4" w:space="0"/>
              <w:left w:val="single" w:color="000000" w:sz="4" w:space="0"/>
              <w:bottom w:val="single" w:color="000000" w:sz="4" w:space="0"/>
              <w:right w:val="single" w:color="000000" w:sz="4" w:space="0"/>
            </w:tcBorders>
            <w:noWrap w:val="0"/>
            <w:vAlign w:val="bottom"/>
          </w:tcPr>
          <w:p w14:paraId="59E44AE4">
            <w:pPr>
              <w:keepNext w:val="0"/>
              <w:keepLines w:val="0"/>
              <w:pageBreakBefore w:val="0"/>
              <w:kinsoku/>
              <w:overflowPunct/>
              <w:topLinePunct w:val="0"/>
              <w:autoSpaceDE/>
              <w:autoSpaceDN/>
              <w:bidi w:val="0"/>
              <w:spacing w:line="560" w:lineRule="exact"/>
              <w:rPr>
                <w:rFonts w:hint="default" w:ascii="TimesNewRoman" w:hAnsi="TimesNewRoman" w:cs="TimesNewRoman"/>
                <w:sz w:val="18"/>
                <w:szCs w:val="18"/>
              </w:rPr>
            </w:pPr>
          </w:p>
        </w:tc>
        <w:tc>
          <w:tcPr>
            <w:tcW w:w="3517" w:type="dxa"/>
            <w:gridSpan w:val="2"/>
            <w:tcBorders>
              <w:top w:val="single" w:color="000000" w:sz="4" w:space="0"/>
              <w:left w:val="single" w:color="000000" w:sz="4" w:space="0"/>
              <w:bottom w:val="single" w:color="000000" w:sz="4" w:space="0"/>
              <w:right w:val="single" w:color="000000" w:sz="4" w:space="0"/>
            </w:tcBorders>
            <w:noWrap w:val="0"/>
            <w:vAlign w:val="bottom"/>
          </w:tcPr>
          <w:p w14:paraId="576A4A22">
            <w:pPr>
              <w:keepNext w:val="0"/>
              <w:keepLines w:val="0"/>
              <w:pageBreakBefore w:val="0"/>
              <w:kinsoku/>
              <w:overflowPunct/>
              <w:topLinePunct w:val="0"/>
              <w:autoSpaceDE/>
              <w:autoSpaceDN/>
              <w:bidi w:val="0"/>
              <w:spacing w:line="560" w:lineRule="exact"/>
              <w:rPr>
                <w:rFonts w:hint="default" w:ascii="TimesNewRoman" w:hAnsi="TimesNewRoman" w:cs="TimesNewRoman"/>
                <w:sz w:val="18"/>
                <w:szCs w:val="18"/>
              </w:rPr>
            </w:pPr>
          </w:p>
        </w:tc>
      </w:tr>
      <w:tr w14:paraId="1412F130">
        <w:tblPrEx>
          <w:tblCellMar>
            <w:top w:w="15" w:type="dxa"/>
            <w:left w:w="15" w:type="dxa"/>
            <w:bottom w:w="15" w:type="dxa"/>
            <w:right w:w="15" w:type="dxa"/>
          </w:tblCellMar>
        </w:tblPrEx>
        <w:trPr>
          <w:trHeight w:val="555" w:hRule="atLeast"/>
          <w:jc w:val="center"/>
        </w:trPr>
        <w:tc>
          <w:tcPr>
            <w:tcW w:w="4026" w:type="dxa"/>
            <w:tcBorders>
              <w:top w:val="single" w:color="000000" w:sz="4" w:space="0"/>
              <w:left w:val="single" w:color="000000" w:sz="4" w:space="0"/>
              <w:bottom w:val="single" w:color="000000" w:sz="4" w:space="0"/>
              <w:right w:val="single" w:color="000000" w:sz="4" w:space="0"/>
            </w:tcBorders>
            <w:noWrap w:val="0"/>
            <w:vAlign w:val="center"/>
          </w:tcPr>
          <w:p w14:paraId="64998306">
            <w:pPr>
              <w:keepNext w:val="0"/>
              <w:keepLines w:val="0"/>
              <w:pageBreakBefore w:val="0"/>
              <w:kinsoku/>
              <w:overflowPunct/>
              <w:topLinePunct w:val="0"/>
              <w:autoSpaceDE/>
              <w:autoSpaceDN/>
              <w:bidi w:val="0"/>
              <w:spacing w:line="560" w:lineRule="exact"/>
              <w:rPr>
                <w:rFonts w:hint="default" w:ascii="TimesNewRoman" w:hAnsi="TimesNewRoman" w:cs="TimesNewRoman"/>
                <w:sz w:val="18"/>
                <w:szCs w:val="18"/>
              </w:rPr>
            </w:pPr>
          </w:p>
        </w:tc>
        <w:tc>
          <w:tcPr>
            <w:tcW w:w="3717" w:type="dxa"/>
            <w:tcBorders>
              <w:top w:val="single" w:color="000000" w:sz="4" w:space="0"/>
              <w:left w:val="single" w:color="000000" w:sz="4" w:space="0"/>
              <w:bottom w:val="single" w:color="000000" w:sz="4" w:space="0"/>
              <w:right w:val="single" w:color="000000" w:sz="4" w:space="0"/>
            </w:tcBorders>
            <w:noWrap w:val="0"/>
            <w:vAlign w:val="bottom"/>
          </w:tcPr>
          <w:p w14:paraId="1217FBA1">
            <w:pPr>
              <w:keepNext w:val="0"/>
              <w:keepLines w:val="0"/>
              <w:pageBreakBefore w:val="0"/>
              <w:kinsoku/>
              <w:overflowPunct/>
              <w:topLinePunct w:val="0"/>
              <w:autoSpaceDE/>
              <w:autoSpaceDN/>
              <w:bidi w:val="0"/>
              <w:spacing w:line="560" w:lineRule="exact"/>
              <w:rPr>
                <w:rFonts w:hint="default" w:ascii="TimesNewRoman" w:hAnsi="TimesNewRoman" w:cs="TimesNewRoman"/>
                <w:sz w:val="18"/>
                <w:szCs w:val="18"/>
              </w:rPr>
            </w:pPr>
          </w:p>
        </w:tc>
        <w:tc>
          <w:tcPr>
            <w:tcW w:w="2483" w:type="dxa"/>
            <w:tcBorders>
              <w:top w:val="single" w:color="000000" w:sz="4" w:space="0"/>
              <w:left w:val="single" w:color="000000" w:sz="4" w:space="0"/>
              <w:bottom w:val="single" w:color="000000" w:sz="4" w:space="0"/>
              <w:right w:val="single" w:color="000000" w:sz="4" w:space="0"/>
            </w:tcBorders>
            <w:noWrap w:val="0"/>
            <w:vAlign w:val="bottom"/>
          </w:tcPr>
          <w:p w14:paraId="70756ABE">
            <w:pPr>
              <w:keepNext w:val="0"/>
              <w:keepLines w:val="0"/>
              <w:pageBreakBefore w:val="0"/>
              <w:kinsoku/>
              <w:overflowPunct/>
              <w:topLinePunct w:val="0"/>
              <w:autoSpaceDE/>
              <w:autoSpaceDN/>
              <w:bidi w:val="0"/>
              <w:spacing w:line="560" w:lineRule="exact"/>
              <w:rPr>
                <w:rFonts w:hint="default" w:ascii="TimesNewRoman" w:hAnsi="TimesNewRoman" w:cs="TimesNewRoman"/>
                <w:sz w:val="18"/>
                <w:szCs w:val="18"/>
              </w:rPr>
            </w:pPr>
          </w:p>
        </w:tc>
        <w:tc>
          <w:tcPr>
            <w:tcW w:w="3517" w:type="dxa"/>
            <w:gridSpan w:val="2"/>
            <w:tcBorders>
              <w:top w:val="single" w:color="000000" w:sz="4" w:space="0"/>
              <w:left w:val="single" w:color="000000" w:sz="4" w:space="0"/>
              <w:bottom w:val="single" w:color="000000" w:sz="4" w:space="0"/>
              <w:right w:val="single" w:color="000000" w:sz="4" w:space="0"/>
            </w:tcBorders>
            <w:noWrap w:val="0"/>
            <w:vAlign w:val="bottom"/>
          </w:tcPr>
          <w:p w14:paraId="141DF4A4">
            <w:pPr>
              <w:keepNext w:val="0"/>
              <w:keepLines w:val="0"/>
              <w:pageBreakBefore w:val="0"/>
              <w:kinsoku/>
              <w:overflowPunct/>
              <w:topLinePunct w:val="0"/>
              <w:autoSpaceDE/>
              <w:autoSpaceDN/>
              <w:bidi w:val="0"/>
              <w:spacing w:line="560" w:lineRule="exact"/>
              <w:rPr>
                <w:rFonts w:hint="default" w:ascii="TimesNewRoman" w:hAnsi="TimesNewRoman" w:cs="TimesNewRoman"/>
                <w:sz w:val="18"/>
                <w:szCs w:val="18"/>
              </w:rPr>
            </w:pPr>
          </w:p>
        </w:tc>
      </w:tr>
      <w:tr w14:paraId="18E0B9D0">
        <w:tblPrEx>
          <w:tblCellMar>
            <w:top w:w="15" w:type="dxa"/>
            <w:left w:w="15" w:type="dxa"/>
            <w:bottom w:w="15" w:type="dxa"/>
            <w:right w:w="15" w:type="dxa"/>
          </w:tblCellMar>
        </w:tblPrEx>
        <w:trPr>
          <w:trHeight w:val="555" w:hRule="atLeast"/>
          <w:jc w:val="center"/>
        </w:trPr>
        <w:tc>
          <w:tcPr>
            <w:tcW w:w="4026" w:type="dxa"/>
            <w:tcBorders>
              <w:top w:val="single" w:color="000000" w:sz="4" w:space="0"/>
              <w:left w:val="single" w:color="000000" w:sz="4" w:space="0"/>
              <w:bottom w:val="single" w:color="000000" w:sz="4" w:space="0"/>
              <w:right w:val="single" w:color="000000" w:sz="4" w:space="0"/>
            </w:tcBorders>
            <w:noWrap w:val="0"/>
            <w:vAlign w:val="center"/>
          </w:tcPr>
          <w:p w14:paraId="63984AB6">
            <w:pPr>
              <w:keepNext w:val="0"/>
              <w:keepLines w:val="0"/>
              <w:pageBreakBefore w:val="0"/>
              <w:kinsoku/>
              <w:overflowPunct/>
              <w:topLinePunct w:val="0"/>
              <w:autoSpaceDE/>
              <w:autoSpaceDN/>
              <w:bidi w:val="0"/>
              <w:spacing w:line="560" w:lineRule="exact"/>
              <w:jc w:val="center"/>
              <w:rPr>
                <w:rFonts w:hint="default" w:ascii="TimesNewRoman" w:hAnsi="TimesNewRoman" w:cs="TimesNewRoman"/>
                <w:sz w:val="18"/>
                <w:szCs w:val="18"/>
              </w:rPr>
            </w:pPr>
            <w:r>
              <w:rPr>
                <w:rFonts w:hint="default" w:ascii="TimesNewRoman" w:hAnsi="TimesNewRoman" w:cs="TimesNewRoman"/>
                <w:b/>
                <w:sz w:val="20"/>
              </w:rPr>
              <w:t>合</w:t>
            </w:r>
            <w:r>
              <w:rPr>
                <w:rFonts w:hint="eastAsia" w:ascii="TimesNewRoman" w:hAnsi="TimesNewRoman" w:cs="TimesNewRoman"/>
                <w:b/>
                <w:sz w:val="20"/>
                <w:lang w:val="en-US" w:eastAsia="zh-CN"/>
              </w:rPr>
              <w:t xml:space="preserve"> </w:t>
            </w:r>
            <w:r>
              <w:rPr>
                <w:rFonts w:hint="default" w:ascii="TimesNewRoman" w:hAnsi="TimesNewRoman" w:cs="TimesNewRoman"/>
                <w:b/>
                <w:sz w:val="20"/>
              </w:rPr>
              <w:t>计</w:t>
            </w:r>
          </w:p>
        </w:tc>
        <w:tc>
          <w:tcPr>
            <w:tcW w:w="3717" w:type="dxa"/>
            <w:tcBorders>
              <w:top w:val="single" w:color="000000" w:sz="4" w:space="0"/>
              <w:left w:val="single" w:color="000000" w:sz="4" w:space="0"/>
              <w:bottom w:val="single" w:color="000000" w:sz="4" w:space="0"/>
              <w:right w:val="single" w:color="000000" w:sz="4" w:space="0"/>
            </w:tcBorders>
            <w:noWrap w:val="0"/>
            <w:vAlign w:val="bottom"/>
          </w:tcPr>
          <w:p w14:paraId="52158621">
            <w:pPr>
              <w:keepNext w:val="0"/>
              <w:keepLines w:val="0"/>
              <w:pageBreakBefore w:val="0"/>
              <w:kinsoku/>
              <w:overflowPunct/>
              <w:topLinePunct w:val="0"/>
              <w:autoSpaceDE/>
              <w:autoSpaceDN/>
              <w:bidi w:val="0"/>
              <w:spacing w:line="560" w:lineRule="exact"/>
              <w:rPr>
                <w:rFonts w:hint="default" w:ascii="TimesNewRoman" w:hAnsi="TimesNewRoman" w:cs="TimesNewRoman"/>
                <w:sz w:val="18"/>
                <w:szCs w:val="18"/>
              </w:rPr>
            </w:pPr>
          </w:p>
        </w:tc>
        <w:tc>
          <w:tcPr>
            <w:tcW w:w="2483" w:type="dxa"/>
            <w:tcBorders>
              <w:top w:val="single" w:color="000000" w:sz="4" w:space="0"/>
              <w:left w:val="single" w:color="000000" w:sz="4" w:space="0"/>
              <w:bottom w:val="single" w:color="000000" w:sz="4" w:space="0"/>
              <w:right w:val="single" w:color="000000" w:sz="4" w:space="0"/>
            </w:tcBorders>
            <w:noWrap w:val="0"/>
            <w:vAlign w:val="bottom"/>
          </w:tcPr>
          <w:p w14:paraId="428C3801">
            <w:pPr>
              <w:keepNext w:val="0"/>
              <w:keepLines w:val="0"/>
              <w:pageBreakBefore w:val="0"/>
              <w:kinsoku/>
              <w:overflowPunct/>
              <w:topLinePunct w:val="0"/>
              <w:autoSpaceDE/>
              <w:autoSpaceDN/>
              <w:bidi w:val="0"/>
              <w:spacing w:line="560" w:lineRule="exact"/>
              <w:rPr>
                <w:rFonts w:hint="default" w:ascii="TimesNewRoman" w:hAnsi="TimesNewRoman" w:cs="TimesNewRoman"/>
                <w:sz w:val="18"/>
                <w:szCs w:val="18"/>
              </w:rPr>
            </w:pPr>
          </w:p>
        </w:tc>
        <w:tc>
          <w:tcPr>
            <w:tcW w:w="3517" w:type="dxa"/>
            <w:gridSpan w:val="2"/>
            <w:tcBorders>
              <w:top w:val="single" w:color="000000" w:sz="4" w:space="0"/>
              <w:left w:val="single" w:color="000000" w:sz="4" w:space="0"/>
              <w:bottom w:val="single" w:color="000000" w:sz="4" w:space="0"/>
              <w:right w:val="single" w:color="000000" w:sz="4" w:space="0"/>
            </w:tcBorders>
            <w:noWrap w:val="0"/>
            <w:vAlign w:val="bottom"/>
          </w:tcPr>
          <w:p w14:paraId="10430EAB">
            <w:pPr>
              <w:keepNext w:val="0"/>
              <w:keepLines w:val="0"/>
              <w:pageBreakBefore w:val="0"/>
              <w:kinsoku/>
              <w:overflowPunct/>
              <w:topLinePunct w:val="0"/>
              <w:autoSpaceDE/>
              <w:autoSpaceDN/>
              <w:bidi w:val="0"/>
              <w:spacing w:line="560" w:lineRule="exact"/>
              <w:rPr>
                <w:rFonts w:hint="default" w:ascii="TimesNewRoman" w:hAnsi="TimesNewRoman" w:cs="TimesNewRoman"/>
                <w:sz w:val="18"/>
                <w:szCs w:val="18"/>
              </w:rPr>
            </w:pPr>
          </w:p>
        </w:tc>
      </w:tr>
    </w:tbl>
    <w:p w14:paraId="4B40F86F">
      <w:pPr>
        <w:keepNext w:val="0"/>
        <w:keepLines w:val="0"/>
        <w:pageBreakBefore w:val="0"/>
        <w:kinsoku/>
        <w:overflowPunct/>
        <w:topLinePunct w:val="0"/>
        <w:autoSpaceDE/>
        <w:autoSpaceDN/>
        <w:bidi w:val="0"/>
        <w:spacing w:line="560" w:lineRule="exact"/>
        <w:rPr>
          <w:rFonts w:hint="default" w:ascii="TimesNewRoman" w:hAnsi="TimesNewRoman" w:cs="TimesNewRoman"/>
          <w:kern w:val="0"/>
          <w:sz w:val="22"/>
        </w:rPr>
      </w:pPr>
      <w:r>
        <w:rPr>
          <w:rFonts w:hint="default" w:ascii="TimesNewRoman" w:hAnsi="TimesNewRoman" w:cs="TimesNewRoman"/>
          <w:kern w:val="0"/>
          <w:sz w:val="22"/>
        </w:rPr>
        <w:t>注：</w:t>
      </w:r>
      <w:r>
        <w:rPr>
          <w:rFonts w:hint="eastAsia" w:ascii="TimesNewRoman" w:hAnsi="TimesNewRoman" w:cs="TimesNewRoman"/>
          <w:kern w:val="0"/>
          <w:sz w:val="22"/>
          <w:lang w:eastAsia="zh-CN"/>
        </w:rPr>
        <w:t>淮北市相山区数据资源管理局</w:t>
      </w:r>
      <w:r>
        <w:rPr>
          <w:rFonts w:hint="default" w:ascii="TimesNewRoman" w:hAnsi="TimesNewRoman" w:cs="TimesNewRoman"/>
          <w:kern w:val="0"/>
          <w:sz w:val="22"/>
        </w:rPr>
        <w:t>没有安排通用</w:t>
      </w:r>
      <w:r>
        <w:rPr>
          <w:rFonts w:hint="eastAsia" w:ascii="TimesNewRoman" w:hAnsi="TimesNewRoman" w:cs="TimesNewRoman"/>
          <w:kern w:val="0"/>
          <w:sz w:val="22"/>
          <w:lang w:eastAsia="zh-CN"/>
        </w:rPr>
        <w:t>资产配置支出</w:t>
      </w:r>
      <w:r>
        <w:rPr>
          <w:rFonts w:hint="default" w:ascii="TimesNewRoman" w:hAnsi="TimesNewRoman" w:cs="TimesNewRoman"/>
          <w:kern w:val="0"/>
          <w:sz w:val="22"/>
        </w:rPr>
        <w:t>，故本表无数据。</w:t>
      </w:r>
    </w:p>
    <w:p w14:paraId="3DD162A4">
      <w:pPr>
        <w:pStyle w:val="3"/>
        <w:keepNext w:val="0"/>
        <w:keepLines w:val="0"/>
        <w:pageBreakBefore w:val="0"/>
        <w:kinsoku/>
        <w:overflowPunct/>
        <w:topLinePunct w:val="0"/>
        <w:autoSpaceDE/>
        <w:autoSpaceDN/>
        <w:bidi w:val="0"/>
        <w:adjustRightInd w:val="0"/>
        <w:snapToGrid w:val="0"/>
        <w:spacing w:line="560" w:lineRule="exact"/>
        <w:rPr>
          <w:rFonts w:hint="default" w:ascii="TimesNewRoman" w:hAnsi="TimesNewRoman" w:cs="TimesNewRoman"/>
        </w:rPr>
      </w:pPr>
    </w:p>
    <w:p w14:paraId="458D1848">
      <w:pPr>
        <w:pStyle w:val="3"/>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bCs/>
          <w:sz w:val="36"/>
          <w:szCs w:val="36"/>
        </w:rPr>
        <w:sectPr>
          <w:pgSz w:w="16838" w:h="11906" w:orient="landscape"/>
          <w:pgMar w:top="1797" w:right="1440" w:bottom="1797" w:left="1440" w:header="850" w:footer="992" w:gutter="0"/>
          <w:pgBorders>
            <w:top w:val="none" w:sz="0" w:space="0"/>
            <w:left w:val="none" w:sz="0" w:space="0"/>
            <w:bottom w:val="none" w:sz="0" w:space="0"/>
            <w:right w:val="none" w:sz="0" w:space="0"/>
          </w:pgBorders>
          <w:pgNumType w:fmt="numberInDash"/>
          <w:cols w:space="720" w:num="1"/>
          <w:rtlGutter w:val="0"/>
          <w:docGrid w:type="linesAndChars" w:linePitch="437" w:charSpace="2555"/>
        </w:sectPr>
      </w:pPr>
    </w:p>
    <w:p w14:paraId="2853B130">
      <w:pPr>
        <w:pStyle w:val="3"/>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bCs/>
          <w:sz w:val="36"/>
          <w:szCs w:val="36"/>
        </w:rPr>
      </w:pPr>
      <w:r>
        <w:rPr>
          <w:rFonts w:hint="default" w:ascii="TimesNewRoman" w:hAnsi="TimesNewRoman" w:eastAsia="黑体" w:cs="TimesNewRoman"/>
          <w:bCs/>
          <w:sz w:val="36"/>
          <w:szCs w:val="36"/>
        </w:rPr>
        <w:t xml:space="preserve">第三部分 </w:t>
      </w:r>
      <w:r>
        <w:rPr>
          <w:rFonts w:hint="eastAsia" w:ascii="TimesNewRoman" w:hAnsi="TimesNewRoman" w:eastAsia="黑体" w:cs="TimesNewRoman"/>
          <w:bCs/>
          <w:sz w:val="36"/>
          <w:szCs w:val="36"/>
          <w:lang w:val="en" w:eastAsia="zh-CN"/>
        </w:rPr>
        <w:t>2026</w:t>
      </w:r>
      <w:r>
        <w:rPr>
          <w:rFonts w:hint="default" w:ascii="TimesNewRoman" w:hAnsi="TimesNewRoman" w:eastAsia="黑体" w:cs="TimesNewRoman"/>
          <w:bCs/>
          <w:sz w:val="36"/>
          <w:szCs w:val="36"/>
        </w:rPr>
        <w:t>年部门预算情况说明</w:t>
      </w:r>
    </w:p>
    <w:p w14:paraId="468093DB">
      <w:pPr>
        <w:pStyle w:val="3"/>
        <w:keepNext w:val="0"/>
        <w:keepLines w:val="0"/>
        <w:pageBreakBefore w:val="0"/>
        <w:kinsoku/>
        <w:overflowPunct/>
        <w:topLinePunct w:val="0"/>
        <w:autoSpaceDE/>
        <w:autoSpaceDN/>
        <w:bidi w:val="0"/>
        <w:adjustRightInd w:val="0"/>
        <w:snapToGrid w:val="0"/>
        <w:spacing w:line="560" w:lineRule="exact"/>
        <w:rPr>
          <w:rFonts w:hint="default" w:ascii="TimesNewRoman" w:hAnsi="TimesNewRoman" w:eastAsia="黑体" w:cs="TimesNewRoman"/>
          <w:bCs/>
          <w:sz w:val="32"/>
          <w:szCs w:val="32"/>
        </w:rPr>
      </w:pPr>
    </w:p>
    <w:p w14:paraId="37753F7D">
      <w:pPr>
        <w:pStyle w:val="3"/>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eastAsia="黑体" w:cs="TimesNewRoman"/>
          <w:sz w:val="32"/>
          <w:szCs w:val="32"/>
        </w:rPr>
      </w:pPr>
      <w:r>
        <w:rPr>
          <w:rFonts w:hint="default" w:ascii="TimesNewRoman" w:hAnsi="TimesNewRoman" w:eastAsia="黑体" w:cs="TimesNewRoman"/>
          <w:sz w:val="32"/>
          <w:szCs w:val="32"/>
        </w:rPr>
        <w:t>一、关于</w:t>
      </w:r>
      <w:r>
        <w:rPr>
          <w:rFonts w:hint="eastAsia" w:ascii="TimesNewRoman" w:hAnsi="TimesNewRoman" w:eastAsia="黑体" w:cs="TimesNewRoman"/>
          <w:sz w:val="32"/>
          <w:szCs w:val="32"/>
          <w:lang w:val="en" w:eastAsia="zh-CN"/>
        </w:rPr>
        <w:t>2026</w:t>
      </w:r>
      <w:r>
        <w:rPr>
          <w:rFonts w:hint="default" w:ascii="TimesNewRoman" w:hAnsi="TimesNewRoman" w:eastAsia="黑体" w:cs="TimesNewRoman"/>
          <w:sz w:val="32"/>
          <w:szCs w:val="32"/>
        </w:rPr>
        <w:t>年收支总表的说明</w:t>
      </w:r>
    </w:p>
    <w:p w14:paraId="4648A8B6">
      <w:pPr>
        <w:pStyle w:val="3"/>
        <w:keepNext w:val="0"/>
        <w:keepLines w:val="0"/>
        <w:pageBreakBefore w:val="0"/>
        <w:kinsoku/>
        <w:overflowPunct/>
        <w:topLinePunct w:val="0"/>
        <w:autoSpaceDE/>
        <w:autoSpaceDN/>
        <w:bidi w:val="0"/>
        <w:adjustRightInd w:val="0"/>
        <w:snapToGrid w:val="0"/>
        <w:spacing w:line="560" w:lineRule="exact"/>
        <w:ind w:firstLine="627" w:firstLineChars="196"/>
        <w:rPr>
          <w:rFonts w:hint="default" w:ascii="TimesNewRoman" w:hAnsi="TimesNewRoman" w:eastAsia="仿宋_GB2312" w:cs="TimesNewRoman"/>
          <w:sz w:val="32"/>
          <w:szCs w:val="32"/>
        </w:rPr>
      </w:pPr>
      <w:r>
        <w:rPr>
          <w:rFonts w:hint="default" w:ascii="TimesNewRoman" w:hAnsi="TimesNewRoman" w:eastAsia="仿宋_GB2312" w:cs="TimesNewRoman"/>
          <w:sz w:val="32"/>
          <w:szCs w:val="32"/>
        </w:rPr>
        <w:t>按照综合预算的原则，</w:t>
      </w:r>
      <w:r>
        <w:rPr>
          <w:rFonts w:hint="eastAsia" w:ascii="TimesNewRoman" w:hAnsi="TimesNewRoman" w:eastAsia="仿宋_GB2312" w:cs="TimesNewRoman"/>
          <w:sz w:val="32"/>
          <w:szCs w:val="32"/>
          <w:lang w:eastAsia="zh-CN"/>
        </w:rPr>
        <w:t>淮北市相山区数据资源管理局</w:t>
      </w:r>
      <w:r>
        <w:rPr>
          <w:rFonts w:hint="default" w:ascii="TimesNewRoman" w:hAnsi="TimesNewRoman" w:eastAsia="仿宋_GB2312" w:cs="TimesNewRoman"/>
          <w:sz w:val="32"/>
          <w:szCs w:val="32"/>
        </w:rPr>
        <w:t>所有收入和支出均纳入部门预算管理。</w:t>
      </w:r>
      <w:r>
        <w:rPr>
          <w:rFonts w:hint="eastAsia" w:ascii="TimesNewRoman" w:hAnsi="TimesNewRoman" w:eastAsia="仿宋_GB2312" w:cs="TimesNewRoman"/>
          <w:sz w:val="32"/>
          <w:szCs w:val="32"/>
          <w:lang w:eastAsia="zh-CN"/>
        </w:rPr>
        <w:t>淮北市相山区数据资源管理局</w:t>
      </w:r>
      <w:r>
        <w:rPr>
          <w:rFonts w:hint="eastAsia" w:ascii="TimesNewRoman" w:hAnsi="TimesNewRoman" w:eastAsia="仿宋_GB2312" w:cs="TimesNewRoman"/>
          <w:sz w:val="32"/>
          <w:szCs w:val="32"/>
          <w:lang w:val="en" w:eastAsia="zh-CN"/>
        </w:rPr>
        <w:t>2026</w:t>
      </w:r>
      <w:r>
        <w:rPr>
          <w:rFonts w:hint="default" w:ascii="TimesNewRoman" w:hAnsi="TimesNewRoman" w:eastAsia="仿宋_GB2312" w:cs="TimesNewRoman"/>
          <w:sz w:val="32"/>
          <w:szCs w:val="32"/>
        </w:rPr>
        <w:t>年收支总预算334.81万元，收入全部是一般公共预算收入，支出包括：科学技术支出、社会保障和就业支出、卫生健康支出、住房保障支出。</w:t>
      </w:r>
    </w:p>
    <w:p w14:paraId="6BDB776B">
      <w:pPr>
        <w:pStyle w:val="3"/>
        <w:keepNext w:val="0"/>
        <w:keepLines w:val="0"/>
        <w:pageBreakBefore w:val="0"/>
        <w:kinsoku/>
        <w:overflowPunct/>
        <w:topLinePunct w:val="0"/>
        <w:autoSpaceDE/>
        <w:autoSpaceDN/>
        <w:bidi w:val="0"/>
        <w:adjustRightInd w:val="0"/>
        <w:snapToGrid w:val="0"/>
        <w:spacing w:line="560" w:lineRule="exact"/>
        <w:ind w:firstLine="627" w:firstLineChars="196"/>
        <w:rPr>
          <w:rFonts w:hint="default" w:ascii="TimesNewRoman" w:hAnsi="TimesNewRoman" w:eastAsia="楷体_GB2312" w:cs="TimesNewRoman"/>
          <w:sz w:val="32"/>
          <w:szCs w:val="32"/>
        </w:rPr>
      </w:pPr>
    </w:p>
    <w:p w14:paraId="2F7E8411">
      <w:pPr>
        <w:pStyle w:val="3"/>
        <w:keepNext w:val="0"/>
        <w:keepLines w:val="0"/>
        <w:pageBreakBefore w:val="0"/>
        <w:kinsoku/>
        <w:overflowPunct/>
        <w:topLinePunct w:val="0"/>
        <w:autoSpaceDE/>
        <w:autoSpaceDN/>
        <w:bidi w:val="0"/>
        <w:adjustRightInd w:val="0"/>
        <w:snapToGrid w:val="0"/>
        <w:spacing w:line="560" w:lineRule="exact"/>
        <w:ind w:firstLine="627" w:firstLineChars="196"/>
        <w:rPr>
          <w:rFonts w:hint="default" w:ascii="TimesNewRoman" w:hAnsi="TimesNewRoman" w:eastAsia="黑体" w:cs="TimesNewRoman"/>
          <w:sz w:val="32"/>
          <w:szCs w:val="32"/>
        </w:rPr>
      </w:pPr>
      <w:r>
        <w:rPr>
          <w:rFonts w:hint="default" w:ascii="TimesNewRoman" w:hAnsi="TimesNewRoman" w:eastAsia="黑体" w:cs="TimesNewRoman"/>
          <w:sz w:val="32"/>
          <w:szCs w:val="32"/>
        </w:rPr>
        <w:t>二、关于</w:t>
      </w:r>
      <w:r>
        <w:rPr>
          <w:rFonts w:hint="eastAsia" w:ascii="TimesNewRoman" w:hAnsi="TimesNewRoman" w:eastAsia="黑体" w:cs="TimesNewRoman"/>
          <w:sz w:val="32"/>
          <w:szCs w:val="32"/>
          <w:lang w:val="en" w:eastAsia="zh-CN"/>
        </w:rPr>
        <w:t>2026</w:t>
      </w:r>
      <w:r>
        <w:rPr>
          <w:rFonts w:hint="default" w:ascii="TimesNewRoman" w:hAnsi="TimesNewRoman" w:eastAsia="黑体" w:cs="TimesNewRoman"/>
          <w:sz w:val="32"/>
          <w:szCs w:val="32"/>
        </w:rPr>
        <w:t>年收入总表的说明</w:t>
      </w:r>
    </w:p>
    <w:p w14:paraId="494E76CB">
      <w:pPr>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cs="TimesNewRoman"/>
          <w:szCs w:val="32"/>
        </w:rPr>
      </w:pPr>
      <w:r>
        <w:rPr>
          <w:rFonts w:hint="eastAsia" w:ascii="TimesNewRoman" w:hAnsi="TimesNewRoman" w:cs="TimesNewRoman"/>
          <w:kern w:val="0"/>
          <w:szCs w:val="32"/>
          <w:lang w:eastAsia="zh-CN"/>
        </w:rPr>
        <w:t>淮北市相山区数据资源管理局</w:t>
      </w:r>
      <w:r>
        <w:rPr>
          <w:rFonts w:hint="eastAsia" w:ascii="TimesNewRoman" w:hAnsi="TimesNewRoman" w:cs="TimesNewRoman"/>
          <w:szCs w:val="32"/>
          <w:lang w:val="en" w:eastAsia="zh-CN"/>
        </w:rPr>
        <w:t>2026</w:t>
      </w:r>
      <w:r>
        <w:rPr>
          <w:rFonts w:hint="default" w:ascii="TimesNewRoman" w:hAnsi="TimesNewRoman" w:cs="TimesNewRoman"/>
          <w:szCs w:val="32"/>
        </w:rPr>
        <w:t>年收入预算334.81万元，其中，本年收入334.81万元，上年结转收入0万元。</w:t>
      </w:r>
    </w:p>
    <w:p w14:paraId="5FA5A2CB">
      <w:pPr>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cs="TimesNewRoman"/>
          <w:szCs w:val="32"/>
        </w:rPr>
      </w:pPr>
      <w:r>
        <w:rPr>
          <w:rFonts w:hint="default" w:ascii="TimesNewRoman" w:hAnsi="TimesNewRoman" w:cs="TimesNewRoman"/>
          <w:szCs w:val="32"/>
        </w:rPr>
        <w:t>（一）本年收入334.81万元，收入全部为一般公共预算拨款收入，比2025年预算减少127.42万元，下降27.57%，下降原因主要是厉行节俭，严格控制非必要开支，实现财政资金的节约。</w:t>
      </w:r>
    </w:p>
    <w:p w14:paraId="09F57D1B">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TimesNewRoman" w:hAnsi="TimesNewRoman" w:eastAsia="仿宋_GB2312" w:cs="TimesNewRoman"/>
          <w:szCs w:val="32"/>
          <w:lang w:eastAsia="zh-CN"/>
        </w:rPr>
      </w:pPr>
      <w:r>
        <w:rPr>
          <w:rFonts w:hint="default" w:ascii="TimesNewRoman" w:hAnsi="TimesNewRoman" w:cs="TimesNewRoman"/>
          <w:szCs w:val="32"/>
        </w:rPr>
        <w:t>（二）上年结转</w:t>
      </w:r>
      <w:r>
        <w:rPr>
          <w:rFonts w:hint="eastAsia" w:ascii="TimesNewRoman" w:hAnsi="TimesNewRoman" w:cs="TimesNewRoman"/>
          <w:szCs w:val="32"/>
          <w:lang w:eastAsia="zh-CN"/>
        </w:rPr>
        <w:t>收入</w:t>
      </w:r>
      <w:r>
        <w:rPr>
          <w:rFonts w:hint="eastAsia" w:ascii="TimesNewRoman" w:hAnsi="TimesNewRoman" w:cs="TimesNewRoman"/>
          <w:szCs w:val="32"/>
          <w:lang w:val="en-US" w:eastAsia="zh-CN"/>
        </w:rPr>
        <w:t>0</w:t>
      </w:r>
      <w:r>
        <w:rPr>
          <w:rFonts w:hint="default" w:ascii="TimesNewRoman" w:hAnsi="TimesNewRoman" w:cs="TimesNewRoman"/>
          <w:szCs w:val="32"/>
        </w:rPr>
        <w:t>万元</w:t>
      </w:r>
      <w:r>
        <w:rPr>
          <w:rFonts w:hint="eastAsia" w:ascii="TimesNewRoman" w:hAnsi="TimesNewRoman" w:cs="TimesNewRoman"/>
          <w:szCs w:val="32"/>
          <w:lang w:eastAsia="zh-CN"/>
        </w:rPr>
        <w:t>。</w:t>
      </w:r>
    </w:p>
    <w:p w14:paraId="0AD82189">
      <w:pPr>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eastAsia="楷体_GB2312" w:cs="TimesNewRoman"/>
          <w:szCs w:val="32"/>
        </w:rPr>
      </w:pPr>
    </w:p>
    <w:p w14:paraId="7459F5C2">
      <w:pPr>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eastAsia="黑体" w:cs="TimesNewRoman"/>
          <w:kern w:val="0"/>
          <w:szCs w:val="32"/>
        </w:rPr>
      </w:pPr>
      <w:r>
        <w:rPr>
          <w:rFonts w:hint="default" w:ascii="TimesNewRoman" w:hAnsi="TimesNewRoman" w:eastAsia="黑体" w:cs="TimesNewRoman"/>
          <w:kern w:val="0"/>
          <w:szCs w:val="32"/>
        </w:rPr>
        <w:t>三、关于</w:t>
      </w:r>
      <w:r>
        <w:rPr>
          <w:rFonts w:hint="eastAsia" w:ascii="TimesNewRoman" w:hAnsi="TimesNewRoman" w:eastAsia="黑体" w:cs="TimesNewRoman"/>
          <w:kern w:val="0"/>
          <w:szCs w:val="32"/>
          <w:lang w:val="en" w:eastAsia="zh-CN"/>
        </w:rPr>
        <w:t>2026</w:t>
      </w:r>
      <w:r>
        <w:rPr>
          <w:rFonts w:hint="default" w:ascii="TimesNewRoman" w:hAnsi="TimesNewRoman" w:eastAsia="黑体" w:cs="TimesNewRoman"/>
          <w:kern w:val="0"/>
          <w:szCs w:val="32"/>
        </w:rPr>
        <w:t>年支出总表的说明</w:t>
      </w:r>
    </w:p>
    <w:p w14:paraId="6B3277C6">
      <w:pPr>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cs="TimesNewRoman"/>
          <w:szCs w:val="32"/>
        </w:rPr>
      </w:pPr>
      <w:r>
        <w:rPr>
          <w:rFonts w:hint="eastAsia" w:ascii="TimesNewRoman" w:hAnsi="TimesNewRoman" w:cs="TimesNewRoman"/>
          <w:szCs w:val="32"/>
          <w:lang w:eastAsia="zh-CN"/>
        </w:rPr>
        <w:t>淮北市相山区数据资源管理局</w:t>
      </w:r>
      <w:r>
        <w:rPr>
          <w:rFonts w:hint="eastAsia" w:ascii="TimesNewRoman" w:hAnsi="TimesNewRoman" w:cs="TimesNewRoman"/>
          <w:szCs w:val="32"/>
          <w:lang w:val="en" w:eastAsia="zh-CN"/>
        </w:rPr>
        <w:t>2026</w:t>
      </w:r>
      <w:r>
        <w:rPr>
          <w:rFonts w:hint="default" w:ascii="TimesNewRoman" w:hAnsi="TimesNewRoman" w:cs="TimesNewRoman"/>
          <w:szCs w:val="32"/>
        </w:rPr>
        <w:t>年支出预算334.81万元，比2025年预算减少127.42万元，下降27.57%，下降原因主要是厉行节俭，严格控制非必要开支，实现财政资金的节约。其中，基本支出215.38万元，占64.33%，主要用于人员经费支出和大厅运转所需的水电费等常规支出；项目支出119.43万元，占35.67%，主要用于劳务派遣人员工资、政务中心管理所需经费、工会经费等；事业单位经营支出0.0万元，占0%；上缴上级支出0.0万元，占0%；对附属单位补助支出0.0万元，占0%。</w:t>
      </w:r>
    </w:p>
    <w:p w14:paraId="5D6392C3">
      <w:pPr>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eastAsia="黑体" w:cs="TimesNewRoman"/>
          <w:kern w:val="0"/>
          <w:szCs w:val="32"/>
        </w:rPr>
      </w:pPr>
      <w:r>
        <w:rPr>
          <w:rFonts w:hint="default" w:ascii="TimesNewRoman" w:hAnsi="TimesNewRoman" w:eastAsia="黑体" w:cs="TimesNewRoman"/>
          <w:kern w:val="0"/>
          <w:szCs w:val="32"/>
        </w:rPr>
        <w:t>四、关于</w:t>
      </w:r>
      <w:r>
        <w:rPr>
          <w:rFonts w:hint="eastAsia" w:ascii="TimesNewRoman" w:hAnsi="TimesNewRoman" w:eastAsia="黑体" w:cs="TimesNewRoman"/>
          <w:kern w:val="0"/>
          <w:szCs w:val="32"/>
          <w:lang w:val="en" w:eastAsia="zh-CN"/>
        </w:rPr>
        <w:t>2026</w:t>
      </w:r>
      <w:r>
        <w:rPr>
          <w:rFonts w:hint="default" w:ascii="TimesNewRoman" w:hAnsi="TimesNewRoman" w:eastAsia="黑体" w:cs="TimesNewRoman"/>
          <w:kern w:val="0"/>
          <w:szCs w:val="32"/>
        </w:rPr>
        <w:t>年财政拨款收支总表的说明</w:t>
      </w:r>
    </w:p>
    <w:p w14:paraId="27387BDD">
      <w:pPr>
        <w:pStyle w:val="3"/>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eastAsia="楷体_GB2312" w:cs="TimesNewRoman"/>
          <w:sz w:val="32"/>
          <w:szCs w:val="32"/>
        </w:rPr>
      </w:pPr>
      <w:r>
        <w:rPr>
          <w:rFonts w:hint="eastAsia" w:ascii="TimesNewRoman" w:hAnsi="TimesNewRoman" w:eastAsia="仿宋_GB2312" w:cs="TimesNewRoman"/>
          <w:sz w:val="32"/>
          <w:szCs w:val="32"/>
          <w:lang w:eastAsia="zh-CN"/>
        </w:rPr>
        <w:t>淮北市相山区数据资源管理局</w:t>
      </w:r>
      <w:r>
        <w:rPr>
          <w:rFonts w:hint="eastAsia" w:ascii="TimesNewRoman" w:hAnsi="TimesNewRoman" w:eastAsia="仿宋_GB2312" w:cs="TimesNewRoman"/>
          <w:sz w:val="32"/>
          <w:szCs w:val="32"/>
          <w:lang w:val="en" w:eastAsia="zh-CN"/>
        </w:rPr>
        <w:t>2026</w:t>
      </w:r>
      <w:r>
        <w:rPr>
          <w:rFonts w:hint="default" w:ascii="TimesNewRoman" w:hAnsi="TimesNewRoman" w:eastAsia="仿宋_GB2312" w:cs="TimesNewRoman"/>
          <w:sz w:val="32"/>
          <w:szCs w:val="32"/>
        </w:rPr>
        <w:t>年财政拨款收支预算334.81万元。收入按资金来源分全部为一般公共预算拨款334.81万元；按资金年度分全部为当年财政拨款收入334.81万元。支出按功能分类分为：科学技术支出279.21万元，占83.</w:t>
      </w:r>
      <w:r>
        <w:rPr>
          <w:rFonts w:hint="eastAsia" w:ascii="TimesNewRoman" w:hAnsi="TimesNewRoman" w:eastAsia="仿宋_GB2312" w:cs="TimesNewRoman"/>
          <w:sz w:val="32"/>
          <w:szCs w:val="32"/>
          <w:lang w:val="en-US" w:eastAsia="zh-CN"/>
        </w:rPr>
        <w:t>40</w:t>
      </w:r>
      <w:r>
        <w:rPr>
          <w:rFonts w:hint="default" w:ascii="TimesNewRoman" w:hAnsi="TimesNewRoman" w:eastAsia="仿宋_GB2312" w:cs="TimesNewRoman"/>
          <w:sz w:val="32"/>
          <w:szCs w:val="32"/>
        </w:rPr>
        <w:t>%；社会保障和就业支出26.59万元，占7.94%；卫生健康支出6.3万元，占1.88%；住房保障支出22.71万元，占6.78%。</w:t>
      </w:r>
    </w:p>
    <w:p w14:paraId="330059D9">
      <w:pPr>
        <w:pStyle w:val="3"/>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eastAsia="黑体" w:cs="TimesNewRoman"/>
          <w:sz w:val="32"/>
          <w:szCs w:val="32"/>
        </w:rPr>
      </w:pPr>
      <w:r>
        <w:rPr>
          <w:rFonts w:hint="default" w:ascii="TimesNewRoman" w:hAnsi="TimesNewRoman" w:eastAsia="黑体" w:cs="TimesNewRoman"/>
          <w:sz w:val="32"/>
          <w:szCs w:val="32"/>
        </w:rPr>
        <w:t>五、关于</w:t>
      </w:r>
      <w:r>
        <w:rPr>
          <w:rFonts w:hint="eastAsia" w:ascii="TimesNewRoman" w:hAnsi="TimesNewRoman" w:eastAsia="黑体" w:cs="TimesNewRoman"/>
          <w:sz w:val="32"/>
          <w:szCs w:val="32"/>
          <w:lang w:val="en" w:eastAsia="zh-CN"/>
        </w:rPr>
        <w:t>2026</w:t>
      </w:r>
      <w:r>
        <w:rPr>
          <w:rFonts w:hint="default" w:ascii="TimesNewRoman" w:hAnsi="TimesNewRoman" w:eastAsia="黑体" w:cs="TimesNewRoman"/>
          <w:sz w:val="32"/>
          <w:szCs w:val="32"/>
        </w:rPr>
        <w:t>年一般公共预算支出表的说明</w:t>
      </w:r>
    </w:p>
    <w:p w14:paraId="31F3CC80">
      <w:pPr>
        <w:pStyle w:val="3"/>
        <w:keepNext w:val="0"/>
        <w:keepLines w:val="0"/>
        <w:pageBreakBefore w:val="0"/>
        <w:kinsoku/>
        <w:overflowPunct/>
        <w:topLinePunct w:val="0"/>
        <w:autoSpaceDE/>
        <w:autoSpaceDN/>
        <w:bidi w:val="0"/>
        <w:adjustRightInd w:val="0"/>
        <w:snapToGrid w:val="0"/>
        <w:spacing w:line="560" w:lineRule="exact"/>
        <w:ind w:firstLine="630" w:firstLineChars="196"/>
        <w:rPr>
          <w:rFonts w:hint="default" w:ascii="TimesNewRoman" w:hAnsi="TimesNewRoman" w:eastAsia="楷体_GB2312" w:cs="TimesNewRoman"/>
          <w:b/>
          <w:sz w:val="32"/>
          <w:szCs w:val="32"/>
        </w:rPr>
      </w:pPr>
      <w:r>
        <w:rPr>
          <w:rFonts w:hint="default" w:ascii="TimesNewRoman" w:hAnsi="TimesNewRoman" w:eastAsia="楷体_GB2312" w:cs="TimesNewRoman"/>
          <w:b/>
          <w:sz w:val="32"/>
          <w:szCs w:val="32"/>
        </w:rPr>
        <w:t>（一）一般公共预算支出规模变化情况。</w:t>
      </w:r>
    </w:p>
    <w:p w14:paraId="21A88880">
      <w:pPr>
        <w:pStyle w:val="3"/>
        <w:keepNext w:val="0"/>
        <w:keepLines w:val="0"/>
        <w:pageBreakBefore w:val="0"/>
        <w:kinsoku/>
        <w:overflowPunct/>
        <w:topLinePunct w:val="0"/>
        <w:autoSpaceDE/>
        <w:autoSpaceDN/>
        <w:bidi w:val="0"/>
        <w:adjustRightInd w:val="0"/>
        <w:snapToGrid w:val="0"/>
        <w:spacing w:line="560" w:lineRule="exact"/>
        <w:ind w:firstLine="627" w:firstLineChars="196"/>
        <w:rPr>
          <w:rFonts w:hint="default" w:ascii="TimesNewRoman" w:hAnsi="TimesNewRoman" w:eastAsia="仿宋_GB2312" w:cs="TimesNewRoman"/>
          <w:sz w:val="32"/>
          <w:szCs w:val="32"/>
        </w:rPr>
      </w:pPr>
      <w:r>
        <w:rPr>
          <w:rFonts w:hint="eastAsia" w:ascii="TimesNewRoman" w:hAnsi="TimesNewRoman" w:eastAsia="仿宋_GB2312" w:cs="TimesNewRoman"/>
          <w:sz w:val="32"/>
          <w:szCs w:val="32"/>
          <w:lang w:eastAsia="zh-CN"/>
        </w:rPr>
        <w:t>淮北市相山区数据资源管理局</w:t>
      </w:r>
      <w:r>
        <w:rPr>
          <w:rFonts w:hint="eastAsia" w:ascii="TimesNewRoman" w:hAnsi="TimesNewRoman" w:eastAsia="仿宋_GB2312" w:cs="TimesNewRoman"/>
          <w:sz w:val="32"/>
          <w:szCs w:val="32"/>
          <w:lang w:val="en" w:eastAsia="zh-CN"/>
        </w:rPr>
        <w:t>2026</w:t>
      </w:r>
      <w:r>
        <w:rPr>
          <w:rFonts w:hint="default" w:ascii="TimesNewRoman" w:hAnsi="TimesNewRoman" w:eastAsia="仿宋_GB2312" w:cs="TimesNewRoman"/>
          <w:sz w:val="32"/>
          <w:szCs w:val="32"/>
        </w:rPr>
        <w:t>年一般公共预算支出334.81万元，比2025年预算减少127.42万元，下降27.57%，主要原因：厉行节俭，严格控制非必要开支，实现财政资金的节约。</w:t>
      </w:r>
    </w:p>
    <w:p w14:paraId="2DEAC498">
      <w:pPr>
        <w:pStyle w:val="3"/>
        <w:keepNext w:val="0"/>
        <w:keepLines w:val="0"/>
        <w:pageBreakBefore w:val="0"/>
        <w:kinsoku/>
        <w:overflowPunct/>
        <w:topLinePunct w:val="0"/>
        <w:autoSpaceDE/>
        <w:autoSpaceDN/>
        <w:bidi w:val="0"/>
        <w:adjustRightInd w:val="0"/>
        <w:snapToGrid w:val="0"/>
        <w:spacing w:line="560" w:lineRule="exact"/>
        <w:ind w:firstLine="630" w:firstLineChars="196"/>
        <w:rPr>
          <w:rFonts w:hint="default" w:ascii="TimesNewRoman" w:hAnsi="TimesNewRoman" w:eastAsia="楷体_GB2312" w:cs="TimesNewRoman"/>
          <w:b/>
          <w:sz w:val="32"/>
          <w:szCs w:val="32"/>
        </w:rPr>
      </w:pPr>
      <w:r>
        <w:rPr>
          <w:rFonts w:hint="default" w:ascii="TimesNewRoman" w:hAnsi="TimesNewRoman" w:eastAsia="楷体_GB2312" w:cs="TimesNewRoman"/>
          <w:b/>
          <w:sz w:val="32"/>
          <w:szCs w:val="32"/>
        </w:rPr>
        <w:t>（二）一般公共预算支出结构情况。</w:t>
      </w:r>
    </w:p>
    <w:p w14:paraId="20BAA093">
      <w:pPr>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eastAsia="仿宋_GB2312" w:cs="TimesNewRoman"/>
          <w:sz w:val="32"/>
          <w:szCs w:val="32"/>
        </w:rPr>
      </w:pPr>
      <w:r>
        <w:rPr>
          <w:rFonts w:hint="default" w:ascii="TimesNewRoman" w:hAnsi="TimesNewRoman" w:eastAsia="仿宋_GB2312" w:cs="TimesNewRoman"/>
          <w:sz w:val="32"/>
          <w:szCs w:val="32"/>
        </w:rPr>
        <w:t>科学技术支出279.21万元，占83.</w:t>
      </w:r>
      <w:r>
        <w:rPr>
          <w:rFonts w:hint="eastAsia" w:ascii="TimesNewRoman" w:hAnsi="TimesNewRoman" w:cs="TimesNewRoman"/>
          <w:sz w:val="32"/>
          <w:szCs w:val="32"/>
          <w:lang w:val="en-US" w:eastAsia="zh-CN"/>
        </w:rPr>
        <w:t>40</w:t>
      </w:r>
      <w:r>
        <w:rPr>
          <w:rFonts w:hint="default" w:ascii="TimesNewRoman" w:hAnsi="TimesNewRoman" w:eastAsia="仿宋_GB2312" w:cs="TimesNewRoman"/>
          <w:sz w:val="32"/>
          <w:szCs w:val="32"/>
        </w:rPr>
        <w:t>%；社会保障和就业支出26.59万元，占7.94%；卫生健康支出6.3万元，占1.88%；住房保障支出22.71万元，占6.78%。</w:t>
      </w:r>
    </w:p>
    <w:p w14:paraId="6D5EDDE3">
      <w:pPr>
        <w:keepNext w:val="0"/>
        <w:keepLines w:val="0"/>
        <w:pageBreakBefore w:val="0"/>
        <w:kinsoku/>
        <w:overflowPunct/>
        <w:topLinePunct w:val="0"/>
        <w:autoSpaceDE/>
        <w:autoSpaceDN/>
        <w:bidi w:val="0"/>
        <w:adjustRightInd w:val="0"/>
        <w:snapToGrid w:val="0"/>
        <w:spacing w:line="560" w:lineRule="exact"/>
        <w:ind w:firstLine="643" w:firstLineChars="200"/>
        <w:rPr>
          <w:rFonts w:hint="default" w:ascii="TimesNewRoman" w:hAnsi="TimesNewRoman" w:eastAsia="楷体_GB2312" w:cs="TimesNewRoman"/>
          <w:b/>
          <w:szCs w:val="32"/>
        </w:rPr>
      </w:pPr>
      <w:r>
        <w:rPr>
          <w:rFonts w:hint="default" w:ascii="TimesNewRoman" w:hAnsi="TimesNewRoman" w:eastAsia="楷体_GB2312" w:cs="TimesNewRoman"/>
          <w:b/>
          <w:szCs w:val="32"/>
        </w:rPr>
        <w:t>（三）一般公共预算支出具体使用情况。</w:t>
      </w:r>
    </w:p>
    <w:p w14:paraId="438D1E1D">
      <w:pPr>
        <w:keepNext w:val="0"/>
        <w:keepLines w:val="0"/>
        <w:pageBreakBefore w:val="0"/>
        <w:kinsoku/>
        <w:overflowPunct/>
        <w:topLinePunct w:val="0"/>
        <w:autoSpaceDE/>
        <w:autoSpaceDN/>
        <w:bidi w:val="0"/>
        <w:adjustRightInd w:val="0"/>
        <w:snapToGrid w:val="0"/>
        <w:spacing w:line="560" w:lineRule="exact"/>
        <w:ind w:firstLine="643" w:firstLineChars="200"/>
        <w:rPr>
          <w:rFonts w:hint="eastAsia" w:ascii="TimesNewRoman" w:hAnsi="TimesNewRoman" w:cs="TimesNewRoman"/>
          <w:szCs w:val="32"/>
          <w:lang w:val="en" w:eastAsia="zh-CN"/>
        </w:rPr>
      </w:pPr>
      <w:r>
        <w:rPr>
          <w:rFonts w:hint="default" w:ascii="TimesNewRoman" w:hAnsi="TimesNewRoman" w:cs="TimesNewRoman"/>
          <w:b/>
          <w:szCs w:val="32"/>
        </w:rPr>
        <w:t>1.科学技术（类）科学技术管理事务（款）行政运行（项）</w:t>
      </w:r>
      <w:r>
        <w:rPr>
          <w:rFonts w:hint="eastAsia" w:ascii="TimesNewRoman" w:hAnsi="TimesNewRoman" w:cs="TimesNewRoman"/>
          <w:szCs w:val="32"/>
          <w:lang w:val="en" w:eastAsia="zh-CN"/>
        </w:rPr>
        <w:t>2026年预算220.41万元，比2025年预算减少179.21万元，下降44.85%，下降原因主要是调整预算支出结构，提高资金使用率。</w:t>
      </w:r>
    </w:p>
    <w:p w14:paraId="2A9A52EC">
      <w:pPr>
        <w:keepNext w:val="0"/>
        <w:keepLines w:val="0"/>
        <w:pageBreakBefore w:val="0"/>
        <w:kinsoku/>
        <w:overflowPunct/>
        <w:topLinePunct w:val="0"/>
        <w:autoSpaceDE/>
        <w:autoSpaceDN/>
        <w:bidi w:val="0"/>
        <w:adjustRightInd w:val="0"/>
        <w:snapToGrid w:val="0"/>
        <w:spacing w:line="560" w:lineRule="exact"/>
        <w:ind w:firstLine="643" w:firstLineChars="200"/>
        <w:rPr>
          <w:rFonts w:hint="eastAsia" w:ascii="TimesNewRoman" w:hAnsi="TimesNewRoman" w:cs="TimesNewRoman"/>
          <w:szCs w:val="32"/>
          <w:lang w:val="en" w:eastAsia="zh-CN"/>
        </w:rPr>
      </w:pPr>
      <w:r>
        <w:rPr>
          <w:rFonts w:hint="default" w:ascii="TimesNewRoman" w:hAnsi="TimesNewRoman" w:cs="TimesNewRoman"/>
          <w:b/>
          <w:szCs w:val="32"/>
        </w:rPr>
        <w:t>2.科学技术（类）科学技术管理事务（款）一般行政管理事务（项）</w:t>
      </w:r>
      <w:r>
        <w:rPr>
          <w:rFonts w:hint="eastAsia" w:ascii="TimesNewRoman" w:hAnsi="TimesNewRoman" w:cs="TimesNewRoman"/>
          <w:szCs w:val="32"/>
          <w:lang w:val="en" w:eastAsia="zh-CN"/>
        </w:rPr>
        <w:t>2026年预算58.8万元，比2025年预算增加43.19万元，增长276.68%，增长原因主要是调整预算支出结构，提高资金使用率。</w:t>
      </w:r>
    </w:p>
    <w:p w14:paraId="3ADE5290">
      <w:pPr>
        <w:keepNext w:val="0"/>
        <w:keepLines w:val="0"/>
        <w:pageBreakBefore w:val="0"/>
        <w:kinsoku/>
        <w:overflowPunct/>
        <w:topLinePunct w:val="0"/>
        <w:autoSpaceDE/>
        <w:autoSpaceDN/>
        <w:bidi w:val="0"/>
        <w:adjustRightInd w:val="0"/>
        <w:snapToGrid w:val="0"/>
        <w:spacing w:line="560" w:lineRule="exact"/>
        <w:ind w:firstLine="643" w:firstLineChars="200"/>
        <w:rPr>
          <w:rFonts w:hint="eastAsia" w:ascii="TimesNewRoman" w:hAnsi="TimesNewRoman" w:cs="TimesNewRoman"/>
          <w:szCs w:val="32"/>
          <w:lang w:val="en" w:eastAsia="zh-CN"/>
        </w:rPr>
      </w:pPr>
      <w:r>
        <w:rPr>
          <w:rFonts w:hint="default" w:ascii="TimesNewRoman" w:hAnsi="TimesNewRoman" w:cs="TimesNewRoman"/>
          <w:b/>
          <w:szCs w:val="32"/>
        </w:rPr>
        <w:t>3.社会保障和就业（类）行政事业单位养老支出（款）机关事业单位基本养老保险缴费支出（项）</w:t>
      </w:r>
      <w:r>
        <w:rPr>
          <w:rFonts w:hint="eastAsia" w:ascii="TimesNewRoman" w:hAnsi="TimesNewRoman" w:cs="TimesNewRoman"/>
          <w:szCs w:val="32"/>
          <w:lang w:val="en" w:eastAsia="zh-CN"/>
        </w:rPr>
        <w:t>2026年预算9.89万元，比2025年预算减少0.27万元，下降2.66%，下降原因主要是人员减少，相应预算支出缩减。</w:t>
      </w:r>
    </w:p>
    <w:p w14:paraId="0392F2A6">
      <w:pPr>
        <w:keepNext w:val="0"/>
        <w:keepLines w:val="0"/>
        <w:pageBreakBefore w:val="0"/>
        <w:kinsoku/>
        <w:overflowPunct/>
        <w:topLinePunct w:val="0"/>
        <w:autoSpaceDE/>
        <w:autoSpaceDN/>
        <w:bidi w:val="0"/>
        <w:adjustRightInd w:val="0"/>
        <w:snapToGrid w:val="0"/>
        <w:spacing w:line="560" w:lineRule="exact"/>
        <w:ind w:firstLine="643" w:firstLineChars="200"/>
        <w:rPr>
          <w:rFonts w:hint="eastAsia" w:ascii="TimesNewRoman" w:hAnsi="TimesNewRoman" w:cs="TimesNewRoman"/>
          <w:szCs w:val="32"/>
          <w:lang w:val="en" w:eastAsia="zh-CN"/>
        </w:rPr>
      </w:pPr>
      <w:r>
        <w:rPr>
          <w:rFonts w:hint="default" w:ascii="TimesNewRoman" w:hAnsi="TimesNewRoman" w:cs="TimesNewRoman"/>
          <w:b/>
          <w:szCs w:val="32"/>
        </w:rPr>
        <w:t>4</w:t>
      </w:r>
      <w:r>
        <w:rPr>
          <w:rFonts w:hint="eastAsia" w:ascii="TimesNewRoman" w:hAnsi="TimesNewRoman" w:cs="TimesNewRoman"/>
          <w:b/>
          <w:szCs w:val="32"/>
          <w:lang w:eastAsia="zh-CN"/>
        </w:rPr>
        <w:t>.</w:t>
      </w:r>
      <w:r>
        <w:rPr>
          <w:rFonts w:hint="default" w:ascii="TimesNewRoman" w:hAnsi="TimesNewRoman" w:cs="TimesNewRoman"/>
          <w:b/>
          <w:szCs w:val="32"/>
        </w:rPr>
        <w:t>社会保障和就业（类）行政事业单位养老支出（款）机关事业单位职业年金缴费支出（项）</w:t>
      </w:r>
      <w:r>
        <w:rPr>
          <w:rFonts w:hint="eastAsia" w:ascii="TimesNewRoman" w:hAnsi="TimesNewRoman" w:cs="TimesNewRoman"/>
          <w:szCs w:val="32"/>
          <w:lang w:val="en" w:eastAsia="zh-CN"/>
        </w:rPr>
        <w:t>2026年预算4.94万元，比2025年预算减少0.14万元，下降2.76%，下降原因主要是人员减少，相应预算支出缩减。</w:t>
      </w:r>
    </w:p>
    <w:p w14:paraId="047468AC">
      <w:pPr>
        <w:keepNext w:val="0"/>
        <w:keepLines w:val="0"/>
        <w:pageBreakBefore w:val="0"/>
        <w:kinsoku/>
        <w:overflowPunct/>
        <w:topLinePunct w:val="0"/>
        <w:autoSpaceDE/>
        <w:autoSpaceDN/>
        <w:bidi w:val="0"/>
        <w:adjustRightInd w:val="0"/>
        <w:snapToGrid w:val="0"/>
        <w:spacing w:line="560" w:lineRule="exact"/>
        <w:ind w:firstLine="643" w:firstLineChars="200"/>
        <w:rPr>
          <w:rFonts w:hint="default" w:ascii="TimesNewRoman" w:hAnsi="TimesNewRoman" w:cs="TimesNewRoman"/>
          <w:b/>
          <w:szCs w:val="32"/>
        </w:rPr>
      </w:pPr>
      <w:r>
        <w:rPr>
          <w:rFonts w:hint="default" w:ascii="TimesNewRoman" w:hAnsi="TimesNewRoman" w:cs="TimesNewRoman"/>
          <w:b/>
          <w:szCs w:val="32"/>
        </w:rPr>
        <w:t>5.社会保障和就业（类）其他社会保障和就业支出（款）其他社会保障和就业支出（项）</w:t>
      </w:r>
      <w:r>
        <w:rPr>
          <w:rFonts w:hint="default" w:ascii="TimesNewRoman" w:hAnsi="TimesNewRoman" w:cs="TimesNewRoman"/>
          <w:szCs w:val="32"/>
          <w:lang w:val="en" w:eastAsia="zh-CN"/>
        </w:rPr>
        <w:t>2026年预算11.76万元，比2025年预算减少3.73万元，下降24.08%，下降原因主要是人员减少，相应预算支出缩减。</w:t>
      </w:r>
    </w:p>
    <w:p w14:paraId="167AA48E">
      <w:pPr>
        <w:keepNext w:val="0"/>
        <w:keepLines w:val="0"/>
        <w:pageBreakBefore w:val="0"/>
        <w:kinsoku/>
        <w:overflowPunct/>
        <w:topLinePunct w:val="0"/>
        <w:autoSpaceDE/>
        <w:autoSpaceDN/>
        <w:bidi w:val="0"/>
        <w:adjustRightInd w:val="0"/>
        <w:snapToGrid w:val="0"/>
        <w:spacing w:line="560" w:lineRule="exact"/>
        <w:ind w:firstLine="643" w:firstLineChars="200"/>
        <w:rPr>
          <w:rFonts w:hint="default" w:ascii="TimesNewRoman" w:hAnsi="TimesNewRoman" w:cs="TimesNewRoman"/>
          <w:szCs w:val="32"/>
          <w:lang w:val="en" w:eastAsia="zh-CN"/>
        </w:rPr>
      </w:pPr>
      <w:r>
        <w:rPr>
          <w:rFonts w:hint="default" w:ascii="TimesNewRoman" w:hAnsi="TimesNewRoman" w:cs="TimesNewRoman"/>
          <w:b/>
          <w:szCs w:val="32"/>
        </w:rPr>
        <w:t>6.卫生健康（类）行政事业单位医疗（款）行政单位医疗（项）</w:t>
      </w:r>
      <w:r>
        <w:rPr>
          <w:rFonts w:hint="default" w:ascii="TimesNewRoman" w:hAnsi="TimesNewRoman" w:cs="TimesNewRoman"/>
          <w:szCs w:val="32"/>
          <w:lang w:val="en" w:eastAsia="zh-CN"/>
        </w:rPr>
        <w:t>2026年预算4.45万元，比2025年预算减少1.04万元，下降18.94%，下降原因主要是人员减少，相应预算支出缩减。</w:t>
      </w:r>
    </w:p>
    <w:p w14:paraId="779DDD60">
      <w:pPr>
        <w:keepNext w:val="0"/>
        <w:keepLines w:val="0"/>
        <w:pageBreakBefore w:val="0"/>
        <w:kinsoku/>
        <w:overflowPunct/>
        <w:topLinePunct w:val="0"/>
        <w:autoSpaceDE/>
        <w:autoSpaceDN/>
        <w:bidi w:val="0"/>
        <w:adjustRightInd w:val="0"/>
        <w:snapToGrid w:val="0"/>
        <w:spacing w:line="560" w:lineRule="exact"/>
        <w:ind w:firstLine="643" w:firstLineChars="200"/>
        <w:rPr>
          <w:rFonts w:hint="default" w:ascii="TimesNewRoman" w:hAnsi="TimesNewRoman" w:cs="TimesNewRoman"/>
          <w:szCs w:val="32"/>
          <w:lang w:val="en" w:eastAsia="zh-CN"/>
        </w:rPr>
      </w:pPr>
      <w:r>
        <w:rPr>
          <w:rFonts w:hint="default" w:ascii="TimesNewRoman" w:hAnsi="TimesNewRoman" w:cs="TimesNewRoman"/>
          <w:b/>
          <w:szCs w:val="32"/>
        </w:rPr>
        <w:t>7.卫生健康（类）行政事业单位医疗（款）公务员医疗补助（项）</w:t>
      </w:r>
      <w:r>
        <w:rPr>
          <w:rFonts w:hint="default" w:ascii="TimesNewRoman" w:hAnsi="TimesNewRoman" w:cs="TimesNewRoman"/>
          <w:szCs w:val="32"/>
          <w:lang w:val="en" w:eastAsia="zh-CN"/>
        </w:rPr>
        <w:t>2026年预算1.85万元，比2025年预算减少0.06万元，下降3.14%，下降原因主要是人员减少，相应预算支出缩减。</w:t>
      </w:r>
    </w:p>
    <w:p w14:paraId="0E492FBC">
      <w:pPr>
        <w:keepNext w:val="0"/>
        <w:keepLines w:val="0"/>
        <w:pageBreakBefore w:val="0"/>
        <w:kinsoku/>
        <w:overflowPunct/>
        <w:topLinePunct w:val="0"/>
        <w:autoSpaceDE/>
        <w:autoSpaceDN/>
        <w:bidi w:val="0"/>
        <w:adjustRightInd w:val="0"/>
        <w:snapToGrid w:val="0"/>
        <w:spacing w:line="560" w:lineRule="exact"/>
        <w:ind w:firstLine="643" w:firstLineChars="200"/>
        <w:rPr>
          <w:rFonts w:hint="default" w:ascii="TimesNewRoman" w:hAnsi="TimesNewRoman" w:cs="TimesNewRoman"/>
          <w:szCs w:val="32"/>
          <w:lang w:val="en" w:eastAsia="zh-CN"/>
        </w:rPr>
      </w:pPr>
      <w:r>
        <w:rPr>
          <w:rFonts w:hint="default" w:ascii="TimesNewRoman" w:hAnsi="TimesNewRoman" w:cs="TimesNewRoman"/>
          <w:b/>
          <w:szCs w:val="32"/>
        </w:rPr>
        <w:t>8.住房保障（类）住房改革支出（款）住房公积金（项）</w:t>
      </w:r>
      <w:r>
        <w:rPr>
          <w:rFonts w:hint="default" w:ascii="TimesNewRoman" w:hAnsi="TimesNewRoman" w:cs="TimesNewRoman"/>
          <w:szCs w:val="32"/>
          <w:lang w:val="en" w:eastAsia="zh-CN"/>
        </w:rPr>
        <w:t>2026年预算13.62万元，比2025年预算减少3.43万元，下降20.12%，下降原因主要是人员减少，相应预算支出缩减。</w:t>
      </w:r>
    </w:p>
    <w:p w14:paraId="0B3E139D">
      <w:pPr>
        <w:keepNext w:val="0"/>
        <w:keepLines w:val="0"/>
        <w:pageBreakBefore w:val="0"/>
        <w:kinsoku/>
        <w:overflowPunct/>
        <w:topLinePunct w:val="0"/>
        <w:autoSpaceDE/>
        <w:autoSpaceDN/>
        <w:bidi w:val="0"/>
        <w:adjustRightInd w:val="0"/>
        <w:snapToGrid w:val="0"/>
        <w:spacing w:line="560" w:lineRule="exact"/>
        <w:ind w:firstLine="643" w:firstLineChars="200"/>
        <w:rPr>
          <w:rFonts w:hint="default" w:ascii="TimesNewRoman" w:hAnsi="TimesNewRoman" w:cs="TimesNewRoman"/>
          <w:szCs w:val="32"/>
          <w:lang w:val="en" w:eastAsia="zh-CN"/>
        </w:rPr>
      </w:pPr>
      <w:r>
        <w:rPr>
          <w:rFonts w:hint="default" w:ascii="TimesNewRoman" w:hAnsi="TimesNewRoman" w:cs="TimesNewRoman"/>
          <w:b/>
          <w:szCs w:val="32"/>
        </w:rPr>
        <w:t>9.住房保障（类）住房改革支出（款）提租补贴（项）</w:t>
      </w:r>
      <w:r>
        <w:rPr>
          <w:rFonts w:hint="default" w:ascii="TimesNewRoman" w:hAnsi="TimesNewRoman" w:cs="TimesNewRoman"/>
          <w:szCs w:val="32"/>
          <w:lang w:val="en" w:eastAsia="zh-CN"/>
        </w:rPr>
        <w:t>2026年预算3.41万元，比2025年预算减少3.69万元，下降51.97%，下降原因主要是人员减少，相应预算支出缩减。</w:t>
      </w:r>
    </w:p>
    <w:p w14:paraId="570A0F50">
      <w:pPr>
        <w:keepNext w:val="0"/>
        <w:keepLines w:val="0"/>
        <w:pageBreakBefore w:val="0"/>
        <w:kinsoku/>
        <w:overflowPunct/>
        <w:topLinePunct w:val="0"/>
        <w:autoSpaceDE/>
        <w:autoSpaceDN/>
        <w:bidi w:val="0"/>
        <w:adjustRightInd w:val="0"/>
        <w:snapToGrid w:val="0"/>
        <w:spacing w:line="560" w:lineRule="exact"/>
        <w:ind w:firstLine="643" w:firstLineChars="200"/>
        <w:rPr>
          <w:rFonts w:hint="default" w:ascii="TimesNewRoman" w:hAnsi="TimesNewRoman" w:cs="TimesNewRoman"/>
          <w:szCs w:val="32"/>
          <w:lang w:val="en" w:eastAsia="zh-CN"/>
        </w:rPr>
      </w:pPr>
      <w:r>
        <w:rPr>
          <w:rFonts w:hint="default" w:ascii="TimesNewRoman" w:hAnsi="TimesNewRoman" w:cs="TimesNewRoman"/>
          <w:b/>
          <w:szCs w:val="32"/>
        </w:rPr>
        <w:t>10.住房保障（类）住房改革支出（款）购房补贴（项）</w:t>
      </w:r>
      <w:r>
        <w:rPr>
          <w:rFonts w:hint="default" w:ascii="TimesNewRoman" w:hAnsi="TimesNewRoman" w:cs="TimesNewRoman"/>
          <w:szCs w:val="32"/>
          <w:lang w:val="en" w:eastAsia="zh-CN"/>
        </w:rPr>
        <w:t>2026年预算5.68万元，比2025年预算增加5.68万元，增长100%，增长原因主要是2025年为列支该项经费支出。</w:t>
      </w:r>
    </w:p>
    <w:p w14:paraId="4F00DD8D">
      <w:pPr>
        <w:pStyle w:val="3"/>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eastAsia="黑体" w:cs="TimesNewRoman"/>
        </w:rPr>
      </w:pPr>
      <w:r>
        <w:rPr>
          <w:rFonts w:hint="default" w:ascii="TimesNewRoman" w:hAnsi="TimesNewRoman" w:eastAsia="黑体" w:cs="TimesNewRoman"/>
          <w:sz w:val="32"/>
          <w:szCs w:val="32"/>
        </w:rPr>
        <w:t>六、关于</w:t>
      </w:r>
      <w:r>
        <w:rPr>
          <w:rFonts w:hint="eastAsia" w:ascii="TimesNewRoman" w:hAnsi="TimesNewRoman" w:eastAsia="黑体" w:cs="TimesNewRoman"/>
          <w:sz w:val="32"/>
          <w:szCs w:val="32"/>
          <w:lang w:val="en" w:eastAsia="zh-CN"/>
        </w:rPr>
        <w:t>2026</w:t>
      </w:r>
      <w:r>
        <w:rPr>
          <w:rFonts w:hint="default" w:ascii="TimesNewRoman" w:hAnsi="TimesNewRoman" w:eastAsia="黑体" w:cs="TimesNewRoman"/>
          <w:sz w:val="32"/>
          <w:szCs w:val="32"/>
        </w:rPr>
        <w:t>年一般公共预算基本支出表的说明</w:t>
      </w:r>
    </w:p>
    <w:p w14:paraId="41960887">
      <w:pPr>
        <w:keepNext w:val="0"/>
        <w:keepLines w:val="0"/>
        <w:pageBreakBefore w:val="0"/>
        <w:kinsoku/>
        <w:overflowPunct/>
        <w:topLinePunct w:val="0"/>
        <w:autoSpaceDE/>
        <w:autoSpaceDN/>
        <w:bidi w:val="0"/>
        <w:spacing w:line="560" w:lineRule="exact"/>
        <w:ind w:firstLine="640" w:firstLineChars="200"/>
        <w:rPr>
          <w:rFonts w:hint="default" w:ascii="TimesNewRoman" w:hAnsi="TimesNewRoman" w:cs="TimesNewRoman"/>
          <w:szCs w:val="32"/>
        </w:rPr>
      </w:pPr>
      <w:r>
        <w:rPr>
          <w:rFonts w:hint="eastAsia" w:ascii="TimesNewRoman" w:hAnsi="TimesNewRoman" w:cs="TimesNewRoman"/>
          <w:szCs w:val="32"/>
          <w:lang w:eastAsia="zh-CN"/>
        </w:rPr>
        <w:t>淮北市相山区数据资源管理局</w:t>
      </w:r>
      <w:r>
        <w:rPr>
          <w:rFonts w:hint="eastAsia" w:ascii="TimesNewRoman" w:hAnsi="TimesNewRoman" w:cs="TimesNewRoman"/>
          <w:szCs w:val="32"/>
          <w:lang w:val="en" w:eastAsia="zh-CN"/>
        </w:rPr>
        <w:t>2026</w:t>
      </w:r>
      <w:r>
        <w:rPr>
          <w:rFonts w:hint="default" w:ascii="TimesNewRoman" w:hAnsi="TimesNewRoman" w:cs="TimesNewRoman"/>
          <w:szCs w:val="32"/>
        </w:rPr>
        <w:t>年一般公共预算基本支出215.38万元，其中，人员经费165.01万元，公用经费50.37万元。</w:t>
      </w:r>
    </w:p>
    <w:p w14:paraId="36E4C141">
      <w:pPr>
        <w:keepNext w:val="0"/>
        <w:keepLines w:val="0"/>
        <w:pageBreakBefore w:val="0"/>
        <w:kinsoku/>
        <w:overflowPunct/>
        <w:topLinePunct w:val="0"/>
        <w:autoSpaceDE/>
        <w:autoSpaceDN/>
        <w:bidi w:val="0"/>
        <w:spacing w:line="560" w:lineRule="exact"/>
        <w:ind w:firstLine="640" w:firstLineChars="200"/>
        <w:rPr>
          <w:rFonts w:hint="default" w:ascii="TimesNewRoman" w:hAnsi="TimesNewRoman" w:cs="TimesNewRoman"/>
          <w:szCs w:val="32"/>
        </w:rPr>
      </w:pPr>
      <w:r>
        <w:rPr>
          <w:rFonts w:hint="default" w:ascii="TimesNewRoman" w:hAnsi="TimesNewRoman" w:cs="TimesNewRoman"/>
          <w:szCs w:val="32"/>
        </w:rPr>
        <w:t>（一）人员经费165.01万元，主要包括：基本工资、津贴补贴、奖金、绩效工资、机关事业单位基本养老保险缴费、职业年金缴费、职工基本医疗保险缴费、公务员医疗补助缴费、其他社会保障缴费、住房公积金、其他工资福利支出、培训费、工会经费、其他商品和服务支出。</w:t>
      </w:r>
    </w:p>
    <w:p w14:paraId="726916D6">
      <w:pPr>
        <w:keepNext w:val="0"/>
        <w:keepLines w:val="0"/>
        <w:pageBreakBefore w:val="0"/>
        <w:kinsoku/>
        <w:overflowPunct/>
        <w:topLinePunct w:val="0"/>
        <w:autoSpaceDE/>
        <w:autoSpaceDN/>
        <w:bidi w:val="0"/>
        <w:spacing w:line="560" w:lineRule="exact"/>
        <w:ind w:firstLine="640" w:firstLineChars="200"/>
        <w:rPr>
          <w:rFonts w:hint="eastAsia" w:ascii="TimesNewRoman" w:hAnsi="TimesNewRoman" w:eastAsia="仿宋_GB2312" w:cs="TimesNewRoman"/>
          <w:szCs w:val="32"/>
          <w:lang w:eastAsia="zh-CN"/>
        </w:rPr>
      </w:pPr>
      <w:r>
        <w:rPr>
          <w:rFonts w:hint="default" w:ascii="TimesNewRoman" w:hAnsi="TimesNewRoman" w:cs="TimesNewRoman"/>
          <w:szCs w:val="32"/>
        </w:rPr>
        <w:t>（二）公用经费50.37万元，主要包括：水费、电费、工会经费、其他交通费用。本年度未安排委托业务费。</w:t>
      </w:r>
    </w:p>
    <w:p w14:paraId="78CDAF11">
      <w:pPr>
        <w:pStyle w:val="3"/>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eastAsia="楷体_GB2312" w:cs="TimesNewRoman"/>
          <w:sz w:val="32"/>
          <w:szCs w:val="32"/>
        </w:rPr>
      </w:pPr>
      <w:r>
        <w:rPr>
          <w:rFonts w:hint="default" w:ascii="TimesNewRoman" w:hAnsi="TimesNewRoman" w:eastAsia="黑体" w:cs="TimesNewRoman"/>
          <w:sz w:val="32"/>
          <w:szCs w:val="32"/>
        </w:rPr>
        <w:t>七、关于</w:t>
      </w:r>
      <w:r>
        <w:rPr>
          <w:rFonts w:hint="eastAsia" w:ascii="TimesNewRoman" w:hAnsi="TimesNewRoman" w:eastAsia="黑体" w:cs="TimesNewRoman"/>
          <w:sz w:val="32"/>
          <w:szCs w:val="32"/>
          <w:lang w:val="en" w:eastAsia="zh-CN"/>
        </w:rPr>
        <w:t>2026</w:t>
      </w:r>
      <w:r>
        <w:rPr>
          <w:rFonts w:hint="default" w:ascii="TimesNewRoman" w:hAnsi="TimesNewRoman" w:eastAsia="黑体" w:cs="TimesNewRoman"/>
          <w:sz w:val="32"/>
          <w:szCs w:val="32"/>
        </w:rPr>
        <w:t>年政府性基金预算支出表的说明</w:t>
      </w:r>
    </w:p>
    <w:p w14:paraId="13B33937">
      <w:pPr>
        <w:pStyle w:val="3"/>
        <w:keepNext w:val="0"/>
        <w:keepLines w:val="0"/>
        <w:pageBreakBefore w:val="0"/>
        <w:kinsoku/>
        <w:overflowPunct/>
        <w:topLinePunct w:val="0"/>
        <w:autoSpaceDE/>
        <w:autoSpaceDN/>
        <w:bidi w:val="0"/>
        <w:adjustRightInd w:val="0"/>
        <w:snapToGrid w:val="0"/>
        <w:spacing w:line="560" w:lineRule="exact"/>
        <w:ind w:firstLine="480" w:firstLineChars="150"/>
        <w:outlineLvl w:val="0"/>
        <w:rPr>
          <w:rFonts w:hint="default" w:ascii="TimesNewRoman" w:hAnsi="TimesNewRoman" w:eastAsia="仿宋_GB2312" w:cs="TimesNewRoman"/>
          <w:sz w:val="32"/>
          <w:szCs w:val="32"/>
        </w:rPr>
      </w:pPr>
      <w:r>
        <w:rPr>
          <w:rFonts w:hint="eastAsia" w:ascii="TimesNewRoman" w:hAnsi="TimesNewRoman" w:eastAsia="仿宋_GB2312" w:cs="TimesNewRoman"/>
          <w:sz w:val="32"/>
          <w:szCs w:val="32"/>
          <w:lang w:eastAsia="zh-CN"/>
        </w:rPr>
        <w:t>淮北市相山区数据资源管理局</w:t>
      </w:r>
      <w:r>
        <w:rPr>
          <w:rFonts w:hint="eastAsia" w:ascii="TimesNewRoman" w:hAnsi="TimesNewRoman" w:eastAsia="仿宋_GB2312" w:cs="TimesNewRoman"/>
          <w:sz w:val="32"/>
          <w:szCs w:val="32"/>
          <w:lang w:val="en" w:eastAsia="zh-CN"/>
        </w:rPr>
        <w:t>2026</w:t>
      </w:r>
      <w:r>
        <w:rPr>
          <w:rFonts w:hint="default" w:ascii="TimesNewRoman" w:hAnsi="TimesNewRoman" w:eastAsia="仿宋_GB2312" w:cs="TimesNewRoman"/>
          <w:sz w:val="32"/>
          <w:szCs w:val="32"/>
        </w:rPr>
        <w:t>年没有政府性基金预算拨款收入，也没有使用政府性基金预算拨款安排的支出。</w:t>
      </w:r>
    </w:p>
    <w:p w14:paraId="5F13208B">
      <w:pPr>
        <w:pStyle w:val="3"/>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eastAsia="楷体_GB2312" w:cs="TimesNewRoman"/>
          <w:sz w:val="32"/>
          <w:szCs w:val="32"/>
        </w:rPr>
      </w:pPr>
      <w:r>
        <w:rPr>
          <w:rFonts w:hint="default" w:ascii="TimesNewRoman" w:hAnsi="TimesNewRoman" w:eastAsia="黑体" w:cs="TimesNewRoman"/>
          <w:sz w:val="32"/>
          <w:szCs w:val="32"/>
        </w:rPr>
        <w:t>八、关于</w:t>
      </w:r>
      <w:r>
        <w:rPr>
          <w:rFonts w:hint="eastAsia" w:ascii="TimesNewRoman" w:hAnsi="TimesNewRoman" w:eastAsia="黑体" w:cs="TimesNewRoman"/>
          <w:sz w:val="32"/>
          <w:szCs w:val="32"/>
          <w:lang w:val="en" w:eastAsia="zh-CN"/>
        </w:rPr>
        <w:t>2026</w:t>
      </w:r>
      <w:r>
        <w:rPr>
          <w:rFonts w:hint="default" w:ascii="TimesNewRoman" w:hAnsi="TimesNewRoman" w:eastAsia="黑体" w:cs="TimesNewRoman"/>
          <w:sz w:val="32"/>
          <w:szCs w:val="32"/>
        </w:rPr>
        <w:t>年国有资本经营预算支出表的说明</w:t>
      </w:r>
    </w:p>
    <w:p w14:paraId="4E5D3595">
      <w:pPr>
        <w:pStyle w:val="3"/>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NewRoman" w:hAnsi="TimesNewRoman" w:eastAsia="仿宋_GB2312" w:cs="TimesNewRoman"/>
          <w:sz w:val="32"/>
          <w:szCs w:val="32"/>
        </w:rPr>
      </w:pPr>
      <w:r>
        <w:rPr>
          <w:rFonts w:hint="eastAsia" w:ascii="TimesNewRoman" w:hAnsi="TimesNewRoman" w:eastAsia="仿宋_GB2312" w:cs="TimesNewRoman"/>
          <w:sz w:val="32"/>
          <w:szCs w:val="32"/>
          <w:lang w:eastAsia="zh-CN"/>
        </w:rPr>
        <w:t>淮北市相山区数据资源管理局</w:t>
      </w:r>
      <w:r>
        <w:rPr>
          <w:rFonts w:hint="eastAsia" w:ascii="TimesNewRoman" w:hAnsi="TimesNewRoman" w:eastAsia="仿宋_GB2312" w:cs="TimesNewRoman"/>
          <w:sz w:val="32"/>
          <w:szCs w:val="32"/>
          <w:lang w:val="en" w:eastAsia="zh-CN"/>
        </w:rPr>
        <w:t>2026</w:t>
      </w:r>
      <w:r>
        <w:rPr>
          <w:rFonts w:hint="default" w:ascii="TimesNewRoman" w:hAnsi="TimesNewRoman" w:eastAsia="仿宋_GB2312" w:cs="TimesNewRoman"/>
          <w:sz w:val="32"/>
          <w:szCs w:val="32"/>
        </w:rPr>
        <w:t>年没有国有资本经营预算拨款收入，也没有使用国有资本经营预算拨款安排的支出。</w:t>
      </w:r>
    </w:p>
    <w:p w14:paraId="44E8DA7A">
      <w:pPr>
        <w:pStyle w:val="3"/>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eastAsia="楷体_GB2312" w:cs="TimesNewRoman"/>
          <w:sz w:val="32"/>
          <w:szCs w:val="32"/>
        </w:rPr>
      </w:pPr>
      <w:r>
        <w:rPr>
          <w:rFonts w:hint="default" w:ascii="TimesNewRoman" w:hAnsi="TimesNewRoman" w:eastAsia="黑体" w:cs="TimesNewRoman"/>
          <w:sz w:val="32"/>
          <w:szCs w:val="32"/>
        </w:rPr>
        <w:t>九、关于</w:t>
      </w:r>
      <w:r>
        <w:rPr>
          <w:rFonts w:hint="eastAsia" w:ascii="TimesNewRoman" w:hAnsi="TimesNewRoman" w:eastAsia="黑体" w:cs="TimesNewRoman"/>
          <w:sz w:val="32"/>
          <w:szCs w:val="32"/>
          <w:lang w:val="en" w:eastAsia="zh-CN"/>
        </w:rPr>
        <w:t>2026</w:t>
      </w:r>
      <w:r>
        <w:rPr>
          <w:rFonts w:hint="default" w:ascii="TimesNewRoman" w:hAnsi="TimesNewRoman" w:eastAsia="黑体" w:cs="TimesNewRoman"/>
          <w:sz w:val="32"/>
          <w:szCs w:val="32"/>
        </w:rPr>
        <w:t>年项目支出表的说明</w:t>
      </w:r>
    </w:p>
    <w:p w14:paraId="2A8A4A10">
      <w:pPr>
        <w:pStyle w:val="3"/>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eastAsia="仿宋_GB2312" w:cs="TimesNewRoman"/>
          <w:sz w:val="32"/>
          <w:szCs w:val="32"/>
        </w:rPr>
      </w:pPr>
      <w:r>
        <w:rPr>
          <w:rFonts w:hint="eastAsia" w:ascii="TimesNewRoman" w:hAnsi="TimesNewRoman" w:eastAsia="仿宋_GB2312" w:cs="TimesNewRoman"/>
          <w:sz w:val="32"/>
          <w:szCs w:val="32"/>
          <w:lang w:eastAsia="zh-CN"/>
        </w:rPr>
        <w:t>淮北市相山区数据资源管理局</w:t>
      </w:r>
      <w:r>
        <w:rPr>
          <w:rFonts w:hint="eastAsia" w:ascii="TimesNewRoman" w:hAnsi="TimesNewRoman" w:eastAsia="仿宋_GB2312" w:cs="TimesNewRoman"/>
          <w:sz w:val="32"/>
          <w:szCs w:val="32"/>
          <w:lang w:val="en" w:eastAsia="zh-CN"/>
        </w:rPr>
        <w:t>2026</w:t>
      </w:r>
      <w:r>
        <w:rPr>
          <w:rFonts w:hint="default" w:ascii="TimesNewRoman" w:hAnsi="TimesNewRoman" w:eastAsia="仿宋_GB2312" w:cs="TimesNewRoman"/>
          <w:sz w:val="32"/>
          <w:szCs w:val="32"/>
        </w:rPr>
        <w:t>年预算共安排项目支出119.43万元，比2025年预算减少60.57万元，下降33.65%，下降原因主要是厉行节俭，严格控制非必要开支，实现财政资金的节约。主要包括：本年财政拨款安排119.43万元（其中，一般公共预算拨款安排119.43万元，政府性基金预算拨款安排0万元，国有资本经营预算拨款安排0万元），财政拨款上年结转安排0万元（其中，一般公共预算拨款安排0万元，政府性基金预算拨款安排0万元，国有资本经营预算拨款安排0万元）、财政专户管理资金安排0万元和单位资金安排0万元。</w:t>
      </w:r>
    </w:p>
    <w:p w14:paraId="4CF835D5">
      <w:pPr>
        <w:pStyle w:val="3"/>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eastAsia="黑体" w:cs="TimesNewRoman"/>
          <w:sz w:val="32"/>
          <w:szCs w:val="32"/>
        </w:rPr>
      </w:pPr>
      <w:r>
        <w:rPr>
          <w:rFonts w:hint="default" w:ascii="TimesNewRoman" w:hAnsi="TimesNewRoman" w:eastAsia="黑体" w:cs="TimesNewRoman"/>
          <w:sz w:val="32"/>
          <w:szCs w:val="32"/>
        </w:rPr>
        <w:t>十、关于</w:t>
      </w:r>
      <w:r>
        <w:rPr>
          <w:rFonts w:hint="eastAsia" w:ascii="TimesNewRoman" w:hAnsi="TimesNewRoman" w:eastAsia="黑体" w:cs="TimesNewRoman"/>
          <w:sz w:val="32"/>
          <w:szCs w:val="32"/>
          <w:lang w:val="en" w:eastAsia="zh-CN"/>
        </w:rPr>
        <w:t>2026</w:t>
      </w:r>
      <w:r>
        <w:rPr>
          <w:rFonts w:hint="default" w:ascii="TimesNewRoman" w:hAnsi="TimesNewRoman" w:eastAsia="黑体" w:cs="TimesNewRoman"/>
          <w:sz w:val="32"/>
          <w:szCs w:val="32"/>
        </w:rPr>
        <w:t>年政府采购支出表的说明</w:t>
      </w:r>
    </w:p>
    <w:p w14:paraId="0BC19548">
      <w:pPr>
        <w:pStyle w:val="3"/>
        <w:keepNext w:val="0"/>
        <w:keepLines w:val="0"/>
        <w:pageBreakBefore w:val="0"/>
        <w:kinsoku/>
        <w:overflowPunct/>
        <w:topLinePunct w:val="0"/>
        <w:autoSpaceDE/>
        <w:autoSpaceDN/>
        <w:bidi w:val="0"/>
        <w:adjustRightInd w:val="0"/>
        <w:snapToGrid w:val="0"/>
        <w:spacing w:line="560" w:lineRule="exact"/>
        <w:ind w:firstLine="640" w:firstLineChars="200"/>
        <w:outlineLvl w:val="0"/>
        <w:rPr>
          <w:rFonts w:hint="default" w:ascii="TimesNewRoman" w:hAnsi="TimesNewRoman" w:eastAsia="仿宋_GB2312" w:cs="TimesNewRoman"/>
          <w:sz w:val="32"/>
          <w:szCs w:val="32"/>
        </w:rPr>
      </w:pPr>
      <w:r>
        <w:rPr>
          <w:rFonts w:hint="eastAsia" w:ascii="TimesNewRoman" w:hAnsi="TimesNewRoman" w:eastAsia="仿宋_GB2312" w:cs="TimesNewRoman"/>
          <w:sz w:val="32"/>
          <w:szCs w:val="32"/>
          <w:lang w:eastAsia="zh-CN"/>
        </w:rPr>
        <w:t>淮北市相山区数据资源管理局</w:t>
      </w:r>
      <w:r>
        <w:rPr>
          <w:rFonts w:hint="eastAsia" w:ascii="TimesNewRoman" w:hAnsi="TimesNewRoman" w:eastAsia="仿宋_GB2312" w:cs="TimesNewRoman"/>
          <w:sz w:val="32"/>
          <w:szCs w:val="32"/>
          <w:lang w:val="en" w:eastAsia="zh-CN"/>
        </w:rPr>
        <w:t>2026</w:t>
      </w:r>
      <w:r>
        <w:rPr>
          <w:rFonts w:hint="default" w:ascii="TimesNewRoman" w:hAnsi="TimesNewRoman" w:eastAsia="仿宋_GB2312" w:cs="TimesNewRoman"/>
          <w:sz w:val="32"/>
          <w:szCs w:val="32"/>
        </w:rPr>
        <w:t>年没有使用一般公共预算拨款、政府性基金预算拨款、国有资本经营预算拨款、财政专户管理资金和单位资金安排的政府采购支出。</w:t>
      </w:r>
    </w:p>
    <w:p w14:paraId="712A3E12">
      <w:pPr>
        <w:pStyle w:val="3"/>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eastAsia="黑体" w:cs="TimesNewRoman"/>
          <w:sz w:val="32"/>
          <w:szCs w:val="32"/>
        </w:rPr>
      </w:pPr>
      <w:r>
        <w:rPr>
          <w:rFonts w:hint="default" w:ascii="TimesNewRoman" w:hAnsi="TimesNewRoman" w:eastAsia="黑体" w:cs="TimesNewRoman"/>
          <w:sz w:val="32"/>
          <w:szCs w:val="32"/>
        </w:rPr>
        <w:t>十一、关于</w:t>
      </w:r>
      <w:r>
        <w:rPr>
          <w:rFonts w:hint="eastAsia" w:ascii="TimesNewRoman" w:hAnsi="TimesNewRoman" w:eastAsia="黑体" w:cs="TimesNewRoman"/>
          <w:sz w:val="32"/>
          <w:szCs w:val="32"/>
          <w:lang w:val="en" w:eastAsia="zh-CN"/>
        </w:rPr>
        <w:t>2026</w:t>
      </w:r>
      <w:r>
        <w:rPr>
          <w:rFonts w:hint="default" w:ascii="TimesNewRoman" w:hAnsi="TimesNewRoman" w:eastAsia="黑体" w:cs="TimesNewRoman"/>
          <w:sz w:val="32"/>
          <w:szCs w:val="32"/>
        </w:rPr>
        <w:t>年政府购买服务支出表的说明</w:t>
      </w:r>
    </w:p>
    <w:p w14:paraId="438CE71C">
      <w:pPr>
        <w:pStyle w:val="3"/>
        <w:keepNext w:val="0"/>
        <w:keepLines w:val="0"/>
        <w:pageBreakBefore w:val="0"/>
        <w:kinsoku/>
        <w:overflowPunct/>
        <w:topLinePunct w:val="0"/>
        <w:autoSpaceDE/>
        <w:autoSpaceDN/>
        <w:bidi w:val="0"/>
        <w:adjustRightInd w:val="0"/>
        <w:snapToGrid w:val="0"/>
        <w:spacing w:line="560" w:lineRule="exact"/>
        <w:ind w:firstLine="640" w:firstLineChars="200"/>
        <w:outlineLvl w:val="0"/>
        <w:rPr>
          <w:rFonts w:hint="default" w:ascii="TimesNewRoman" w:hAnsi="TimesNewRoman" w:eastAsia="仿宋_GB2312" w:cs="TimesNewRoman"/>
          <w:sz w:val="32"/>
          <w:szCs w:val="32"/>
        </w:rPr>
      </w:pPr>
      <w:r>
        <w:rPr>
          <w:rFonts w:hint="eastAsia" w:ascii="TimesNewRoman" w:hAnsi="TimesNewRoman" w:eastAsia="仿宋_GB2312" w:cs="TimesNewRoman"/>
          <w:sz w:val="32"/>
          <w:szCs w:val="32"/>
          <w:lang w:eastAsia="zh-CN"/>
        </w:rPr>
        <w:t>淮北市相山区数据资源管理局</w:t>
      </w:r>
      <w:r>
        <w:rPr>
          <w:rFonts w:hint="eastAsia" w:ascii="TimesNewRoman" w:hAnsi="TimesNewRoman" w:eastAsia="仿宋_GB2312" w:cs="TimesNewRoman"/>
          <w:sz w:val="32"/>
          <w:szCs w:val="32"/>
          <w:lang w:val="en" w:eastAsia="zh-CN"/>
        </w:rPr>
        <w:t>2026</w:t>
      </w:r>
      <w:r>
        <w:rPr>
          <w:rFonts w:hint="default" w:ascii="TimesNewRoman" w:hAnsi="TimesNewRoman" w:eastAsia="仿宋_GB2312" w:cs="TimesNewRoman"/>
          <w:sz w:val="32"/>
          <w:szCs w:val="32"/>
        </w:rPr>
        <w:t>年没有安排政府购买服务支出。</w:t>
      </w:r>
    </w:p>
    <w:p w14:paraId="5B00CDA9">
      <w:pPr>
        <w:pStyle w:val="3"/>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eastAsia="黑体" w:cs="TimesNewRoman"/>
          <w:sz w:val="32"/>
          <w:szCs w:val="32"/>
        </w:rPr>
      </w:pPr>
      <w:r>
        <w:rPr>
          <w:rFonts w:hint="default" w:ascii="TimesNewRoman" w:hAnsi="TimesNewRoman" w:eastAsia="黑体" w:cs="TimesNewRoman"/>
          <w:sz w:val="32"/>
          <w:szCs w:val="32"/>
        </w:rPr>
        <w:t>十</w:t>
      </w:r>
      <w:r>
        <w:rPr>
          <w:rFonts w:hint="eastAsia" w:ascii="TimesNewRoman" w:hAnsi="TimesNewRoman" w:eastAsia="黑体" w:cs="TimesNewRoman"/>
          <w:sz w:val="32"/>
          <w:szCs w:val="32"/>
          <w:lang w:eastAsia="zh-CN"/>
        </w:rPr>
        <w:t>二</w:t>
      </w:r>
      <w:r>
        <w:rPr>
          <w:rFonts w:hint="default" w:ascii="TimesNewRoman" w:hAnsi="TimesNewRoman" w:eastAsia="黑体" w:cs="TimesNewRoman"/>
          <w:sz w:val="32"/>
          <w:szCs w:val="32"/>
        </w:rPr>
        <w:t>、关于</w:t>
      </w:r>
      <w:r>
        <w:rPr>
          <w:rFonts w:hint="eastAsia" w:ascii="TimesNewRoman" w:hAnsi="TimesNewRoman" w:eastAsia="黑体" w:cs="TimesNewRoman"/>
          <w:sz w:val="32"/>
          <w:szCs w:val="32"/>
          <w:lang w:val="en" w:eastAsia="zh-CN"/>
        </w:rPr>
        <w:t>2026</w:t>
      </w:r>
      <w:r>
        <w:rPr>
          <w:rFonts w:hint="default" w:ascii="TimesNewRoman" w:hAnsi="TimesNewRoman" w:eastAsia="黑体" w:cs="TimesNewRoman"/>
          <w:sz w:val="32"/>
          <w:szCs w:val="32"/>
          <w:lang w:val="en"/>
        </w:rPr>
        <w:t>年通用资产配置支出表</w:t>
      </w:r>
      <w:r>
        <w:rPr>
          <w:rFonts w:hint="default" w:ascii="TimesNewRoman" w:hAnsi="TimesNewRoman" w:eastAsia="黑体" w:cs="TimesNewRoman"/>
          <w:sz w:val="32"/>
          <w:szCs w:val="32"/>
        </w:rPr>
        <w:t>的说明</w:t>
      </w:r>
    </w:p>
    <w:p w14:paraId="3D32E38C">
      <w:pPr>
        <w:pStyle w:val="3"/>
        <w:keepNext w:val="0"/>
        <w:keepLines w:val="0"/>
        <w:pageBreakBefore w:val="0"/>
        <w:kinsoku/>
        <w:overflowPunct/>
        <w:topLinePunct w:val="0"/>
        <w:autoSpaceDE/>
        <w:autoSpaceDN/>
        <w:bidi w:val="0"/>
        <w:adjustRightInd w:val="0"/>
        <w:snapToGrid w:val="0"/>
        <w:spacing w:line="560" w:lineRule="exact"/>
        <w:ind w:firstLine="640" w:firstLineChars="200"/>
        <w:outlineLvl w:val="0"/>
        <w:rPr>
          <w:rFonts w:hint="default" w:ascii="TimesNewRoman" w:hAnsi="TimesNewRoman" w:eastAsia="仿宋_GB2312" w:cs="TimesNewRoman"/>
          <w:sz w:val="32"/>
          <w:szCs w:val="32"/>
        </w:rPr>
      </w:pPr>
      <w:r>
        <w:rPr>
          <w:rFonts w:hint="eastAsia" w:ascii="TimesNewRoman" w:hAnsi="TimesNewRoman" w:eastAsia="仿宋_GB2312" w:cs="TimesNewRoman"/>
          <w:sz w:val="32"/>
          <w:szCs w:val="32"/>
          <w:lang w:eastAsia="zh-CN"/>
        </w:rPr>
        <w:t>淮北市相山区数据资源管理局</w:t>
      </w:r>
      <w:r>
        <w:rPr>
          <w:rFonts w:hint="eastAsia" w:ascii="TimesNewRoman" w:hAnsi="TimesNewRoman" w:eastAsia="仿宋_GB2312" w:cs="TimesNewRoman"/>
          <w:sz w:val="32"/>
          <w:szCs w:val="32"/>
          <w:lang w:val="en" w:eastAsia="zh-CN"/>
        </w:rPr>
        <w:t>2026</w:t>
      </w:r>
      <w:r>
        <w:rPr>
          <w:rFonts w:hint="default" w:ascii="TimesNewRoman" w:hAnsi="TimesNewRoman" w:eastAsia="仿宋_GB2312" w:cs="TimesNewRoman"/>
          <w:sz w:val="32"/>
          <w:szCs w:val="32"/>
        </w:rPr>
        <w:t>年没有安排通用资产配置支出。</w:t>
      </w:r>
    </w:p>
    <w:p w14:paraId="7DA051F2">
      <w:pPr>
        <w:adjustRightInd w:val="0"/>
        <w:snapToGrid w:val="0"/>
        <w:spacing w:line="58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十</w:t>
      </w:r>
      <w:r>
        <w:rPr>
          <w:rFonts w:hint="eastAsia" w:ascii="黑体" w:hAnsi="黑体" w:eastAsia="黑体"/>
          <w:sz w:val="32"/>
          <w:szCs w:val="32"/>
          <w:highlight w:val="none"/>
          <w:lang w:eastAsia="zh-CN"/>
        </w:rPr>
        <w:t>三</w:t>
      </w:r>
      <w:r>
        <w:rPr>
          <w:rFonts w:hint="eastAsia" w:ascii="黑体" w:hAnsi="黑体" w:eastAsia="黑体"/>
          <w:sz w:val="32"/>
          <w:szCs w:val="32"/>
          <w:highlight w:val="none"/>
        </w:rPr>
        <w:t>、其他重要事项情况说明</w:t>
      </w:r>
    </w:p>
    <w:p w14:paraId="62705C3E">
      <w:pPr>
        <w:adjustRightInd w:val="0"/>
        <w:snapToGrid w:val="0"/>
        <w:spacing w:line="580" w:lineRule="exact"/>
        <w:ind w:firstLine="643" w:firstLineChars="200"/>
        <w:rPr>
          <w:rFonts w:hint="default" w:ascii="TimesNewRoman" w:hAnsi="TimesNewRoman" w:eastAsia="仿宋_GB2312" w:cs="TimesNewRoman"/>
          <w:b/>
          <w:kern w:val="2"/>
          <w:sz w:val="32"/>
          <w:szCs w:val="32"/>
          <w:lang w:val="en-US" w:eastAsia="zh-CN" w:bidi="ar-SA"/>
        </w:rPr>
      </w:pPr>
      <w:r>
        <w:rPr>
          <w:rFonts w:hint="eastAsia" w:ascii="TimesNewRoman" w:hAnsi="TimesNewRoman" w:eastAsia="仿宋_GB2312" w:cs="TimesNewRoman"/>
          <w:b/>
          <w:kern w:val="2"/>
          <w:sz w:val="32"/>
          <w:szCs w:val="32"/>
          <w:lang w:val="en-US" w:eastAsia="zh-CN" w:bidi="ar-SA"/>
        </w:rPr>
        <w:t>（一）项目及绩效目标情况。</w:t>
      </w:r>
    </w:p>
    <w:p w14:paraId="28A116A6">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1.“乡村振兴下派干部补助”项目。</w:t>
      </w:r>
    </w:p>
    <w:p w14:paraId="78B5E4DC">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（1）项目概述。</w:t>
      </w:r>
      <w:r>
        <w:rPr>
          <w:rFonts w:hint="eastAsia" w:ascii="FangSong_GB2312" w:hAnsi="FangSong_GB2312" w:eastAsia="FangSong_GB2312"/>
          <w:sz w:val="32"/>
          <w:szCs w:val="24"/>
          <w:lang w:eastAsia="zh-CN"/>
        </w:rPr>
        <w:t>均为</w:t>
      </w:r>
      <w:r>
        <w:rPr>
          <w:rFonts w:hint="default" w:ascii="FangSong_GB2312" w:hAnsi="FangSong_GB2312" w:eastAsia="FangSong_GB2312"/>
          <w:sz w:val="32"/>
          <w:szCs w:val="24"/>
        </w:rPr>
        <w:t>驻村干部生活补助、交通补助和通信补贴费用支出。</w:t>
      </w:r>
    </w:p>
    <w:p w14:paraId="4236E495">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（2）立项依据。淮组字〔2024〕10号《淮北市选派干部管理办法》。</w:t>
      </w:r>
    </w:p>
    <w:p w14:paraId="79DEA2D6">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（3）实施主体。淮北市相山区数据资源管理局（相山区政务服务管理局）。</w:t>
      </w:r>
    </w:p>
    <w:p w14:paraId="0687C89A">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（4）起止时间。2026年1月1日至2026年12月31日。</w:t>
      </w:r>
    </w:p>
    <w:p w14:paraId="5422D4F4">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（5）项目内容。用于单位驻村干部生活补助等。</w:t>
      </w:r>
    </w:p>
    <w:p w14:paraId="72D74A54">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（6）年度预算安排。项目预算安排资金3.83万元。</w:t>
      </w:r>
    </w:p>
    <w:p w14:paraId="546C317C">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（7）绩效目标。年底完成项目的100％</w:t>
      </w:r>
    </w:p>
    <w:tbl>
      <w:tblPr>
        <w:tblStyle w:val="4"/>
        <w:tblW w:w="850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50"/>
        <w:gridCol w:w="850"/>
        <w:gridCol w:w="850"/>
        <w:gridCol w:w="850"/>
        <w:gridCol w:w="1700"/>
        <w:gridCol w:w="850"/>
        <w:gridCol w:w="850"/>
        <w:gridCol w:w="850"/>
        <w:gridCol w:w="850"/>
      </w:tblGrid>
      <w:tr w14:paraId="2EB43A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4128F02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项目支出绩效目标表</w:t>
            </w:r>
          </w:p>
        </w:tc>
      </w:tr>
      <w:tr w14:paraId="5138A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7CB025B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（2026年度）</w:t>
            </w:r>
          </w:p>
        </w:tc>
      </w:tr>
      <w:tr w14:paraId="41ABF8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23504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5950"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85F87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乡村振兴下派干部补助</w:t>
            </w:r>
          </w:p>
        </w:tc>
      </w:tr>
      <w:tr w14:paraId="6B4EDA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76820EF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主管部门及代码</w:t>
            </w:r>
          </w:p>
        </w:tc>
        <w:tc>
          <w:tcPr>
            <w:tcW w:w="255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433D2B6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[171]淮北市相山区数据资源管理局</w:t>
            </w:r>
          </w:p>
        </w:tc>
        <w:tc>
          <w:tcPr>
            <w:tcW w:w="170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173F5A5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170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766960A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淮北市相山区数据资源管理局（相山区政务服务管理局）</w:t>
            </w:r>
          </w:p>
        </w:tc>
      </w:tr>
      <w:tr w14:paraId="0CC3C1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DFA87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项目来源</w:t>
            </w: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FDACB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本级申报项目</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7CAD2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资金投向领域</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3C864E">
            <w:pPr>
              <w:spacing w:beforeLines="0" w:afterLines="0"/>
              <w:jc w:val="center"/>
              <w:rPr>
                <w:rFonts w:hint="default"/>
                <w:sz w:val="24"/>
                <w:szCs w:val="24"/>
              </w:rPr>
            </w:pPr>
          </w:p>
        </w:tc>
      </w:tr>
      <w:tr w14:paraId="7A8149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A8FFE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AB406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1年</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98820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其中：建设期限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5DB2A1">
            <w:pPr>
              <w:spacing w:beforeLines="0" w:afterLines="0"/>
              <w:jc w:val="center"/>
              <w:rPr>
                <w:rFonts w:hint="default"/>
                <w:sz w:val="24"/>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AC257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运营期限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4C94EE">
            <w:pPr>
              <w:spacing w:beforeLines="0" w:afterLines="0"/>
              <w:jc w:val="center"/>
              <w:rPr>
                <w:rFonts w:hint="default"/>
                <w:sz w:val="24"/>
                <w:szCs w:val="24"/>
              </w:rPr>
            </w:pPr>
          </w:p>
        </w:tc>
      </w:tr>
      <w:tr w14:paraId="1DE5E1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2E266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w:t>
            </w:r>
          </w:p>
          <w:p w14:paraId="2E0355B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（万元）</w:t>
            </w: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CBDD52">
            <w:pPr>
              <w:spacing w:beforeLines="0" w:afterLines="0" w:line="320" w:lineRule="atLeast"/>
              <w:rPr>
                <w:rFonts w:hint="default" w:ascii="宋体" w:hAnsi="宋体" w:eastAsia="宋体"/>
                <w:sz w:val="20"/>
                <w:szCs w:val="24"/>
              </w:rPr>
            </w:pPr>
            <w:r>
              <w:rPr>
                <w:rFonts w:hint="default" w:ascii="宋体" w:hAnsi="宋体" w:eastAsia="宋体"/>
                <w:sz w:val="20"/>
                <w:szCs w:val="24"/>
              </w:rPr>
              <w:t>年度资金总额：</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CDAEC5">
            <w:pPr>
              <w:spacing w:beforeLines="0" w:afterLines="0" w:line="320" w:lineRule="atLeast"/>
              <w:rPr>
                <w:rFonts w:hint="default" w:ascii="宋体" w:hAnsi="宋体" w:eastAsia="宋体"/>
                <w:sz w:val="20"/>
                <w:szCs w:val="24"/>
              </w:rPr>
            </w:pPr>
            <w:r>
              <w:rPr>
                <w:rFonts w:hint="default" w:ascii="宋体" w:hAnsi="宋体" w:eastAsia="宋体"/>
                <w:sz w:val="20"/>
                <w:szCs w:val="24"/>
              </w:rPr>
              <w:t>3.83</w:t>
            </w:r>
          </w:p>
        </w:tc>
      </w:tr>
      <w:tr w14:paraId="37FBC4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FF0EFA">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9F6C22">
            <w:pPr>
              <w:spacing w:beforeLines="0" w:afterLines="0" w:line="320" w:lineRule="atLeast"/>
              <w:rPr>
                <w:rFonts w:hint="default" w:ascii="宋体" w:hAnsi="宋体" w:eastAsia="宋体"/>
                <w:sz w:val="20"/>
                <w:szCs w:val="24"/>
              </w:rPr>
            </w:pPr>
            <w:r>
              <w:rPr>
                <w:rFonts w:hint="default" w:ascii="宋体" w:hAnsi="宋体" w:eastAsia="宋体"/>
                <w:sz w:val="20"/>
                <w:szCs w:val="24"/>
              </w:rPr>
              <w:t>其中：财政拨款</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9C5608">
            <w:pPr>
              <w:spacing w:beforeLines="0" w:afterLines="0" w:line="320" w:lineRule="atLeast"/>
              <w:rPr>
                <w:rFonts w:hint="default" w:ascii="宋体" w:hAnsi="宋体" w:eastAsia="宋体"/>
                <w:sz w:val="20"/>
                <w:szCs w:val="24"/>
              </w:rPr>
            </w:pPr>
            <w:r>
              <w:rPr>
                <w:rFonts w:hint="default" w:ascii="宋体" w:hAnsi="宋体" w:eastAsia="宋体"/>
                <w:sz w:val="20"/>
                <w:szCs w:val="24"/>
              </w:rPr>
              <w:t>3.83</w:t>
            </w:r>
          </w:p>
        </w:tc>
      </w:tr>
      <w:tr w14:paraId="7E632C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A1B247">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DD1125">
            <w:pPr>
              <w:spacing w:beforeLines="0" w:afterLines="0" w:line="320" w:lineRule="atLeast"/>
              <w:rPr>
                <w:rFonts w:hint="default" w:ascii="宋体" w:hAnsi="宋体" w:eastAsia="宋体"/>
                <w:sz w:val="20"/>
                <w:szCs w:val="24"/>
              </w:rPr>
            </w:pPr>
            <w:r>
              <w:rPr>
                <w:rFonts w:hint="default" w:ascii="宋体" w:hAnsi="宋体" w:eastAsia="宋体"/>
                <w:sz w:val="20"/>
                <w:szCs w:val="24"/>
              </w:rPr>
              <w:t>专项债券</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8F4DB6">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5A7949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507900">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C90A8F">
            <w:pPr>
              <w:spacing w:beforeLines="0" w:afterLines="0" w:line="320" w:lineRule="atLeast"/>
              <w:rPr>
                <w:rFonts w:hint="default" w:ascii="宋体" w:hAnsi="宋体" w:eastAsia="宋体"/>
                <w:sz w:val="20"/>
                <w:szCs w:val="24"/>
              </w:rPr>
            </w:pPr>
            <w:r>
              <w:rPr>
                <w:rFonts w:hint="default" w:ascii="宋体" w:hAnsi="宋体" w:eastAsia="宋体"/>
                <w:sz w:val="20"/>
                <w:szCs w:val="24"/>
              </w:rPr>
              <w:t>上年结转</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0E6178">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088C62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7CE6C4">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489DBF">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F08A2A">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50AEF6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DBF42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w:t>
            </w:r>
          </w:p>
          <w:p w14:paraId="3A6FED7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目标</w:t>
            </w:r>
          </w:p>
        </w:tc>
        <w:tc>
          <w:tcPr>
            <w:tcW w:w="7650"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FB2449">
            <w:pPr>
              <w:spacing w:beforeLines="0" w:afterLines="0" w:line="320" w:lineRule="atLeast"/>
              <w:rPr>
                <w:rFonts w:hint="default" w:ascii="宋体" w:hAnsi="宋体" w:eastAsia="宋体"/>
                <w:sz w:val="20"/>
                <w:szCs w:val="24"/>
              </w:rPr>
            </w:pPr>
            <w:r>
              <w:rPr>
                <w:rFonts w:hint="default" w:ascii="宋体" w:hAnsi="宋体" w:eastAsia="宋体"/>
                <w:sz w:val="20"/>
                <w:szCs w:val="24"/>
              </w:rPr>
              <w:t>年底完成项目的100％</w:t>
            </w:r>
          </w:p>
        </w:tc>
      </w:tr>
      <w:tr w14:paraId="7D14D6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6C714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w:t>
            </w:r>
          </w:p>
          <w:p w14:paraId="3158502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w:t>
            </w:r>
          </w:p>
          <w:p w14:paraId="7E617AE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w:t>
            </w:r>
          </w:p>
          <w:p w14:paraId="4884D83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标</w:t>
            </w:r>
          </w:p>
        </w:tc>
        <w:tc>
          <w:tcPr>
            <w:tcW w:w="850" w:type="dxa"/>
            <w:tcBorders>
              <w:top w:val="single" w:color="000000" w:sz="4" w:space="0"/>
              <w:left w:val="nil"/>
              <w:bottom w:val="single" w:color="000000" w:sz="4" w:space="0"/>
              <w:right w:val="nil"/>
              <w:tl2br w:val="nil"/>
              <w:tr2bl w:val="nil"/>
            </w:tcBorders>
            <w:shd w:val="clear" w:color="auto" w:fill="FFFFFF"/>
            <w:noWrap w:val="0"/>
            <w:vAlign w:val="center"/>
          </w:tcPr>
          <w:p w14:paraId="11203CE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w:t>
            </w:r>
          </w:p>
          <w:p w14:paraId="54F6C9C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4F64B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97AD6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C43EF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指标值</w:t>
            </w:r>
          </w:p>
        </w:tc>
      </w:tr>
      <w:tr w14:paraId="165D0A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A41D01">
            <w:pPr>
              <w:spacing w:beforeLines="0" w:afterLines="0"/>
              <w:rPr>
                <w:rFonts w:hint="default" w:ascii="宋体" w:hAnsi="宋体" w:eastAsia="宋体"/>
                <w:sz w:val="20"/>
                <w:szCs w:val="24"/>
              </w:rPr>
            </w:pPr>
          </w:p>
        </w:tc>
        <w:tc>
          <w:tcPr>
            <w:tcW w:w="850" w:type="dxa"/>
            <w:vMerge w:val="restart"/>
            <w:tcBorders>
              <w:top w:val="single" w:color="000000" w:sz="4" w:space="0"/>
              <w:left w:val="nil"/>
              <w:bottom w:val="single" w:color="000000" w:sz="4" w:space="0"/>
              <w:right w:val="nil"/>
              <w:tl2br w:val="nil"/>
              <w:tr2bl w:val="nil"/>
            </w:tcBorders>
            <w:shd w:val="clear" w:color="auto" w:fill="FFFFFF"/>
            <w:noWrap w:val="0"/>
            <w:vAlign w:val="center"/>
          </w:tcPr>
          <w:p w14:paraId="611878E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35523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07067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项目成本</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19C49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50900元</w:t>
            </w:r>
          </w:p>
        </w:tc>
      </w:tr>
      <w:tr w14:paraId="6ECB5A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B263FF">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379D5A29">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122E1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4FA2C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完成质量</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7B8E4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240061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1D1C78">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515950C1">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E9043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5AB16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完成时效</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C1758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≤12月</w:t>
            </w:r>
          </w:p>
        </w:tc>
      </w:tr>
      <w:tr w14:paraId="63CD11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977DB6">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46F46804">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F37C1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2ADAF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完成成本</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B67DC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≤50900元</w:t>
            </w:r>
          </w:p>
        </w:tc>
      </w:tr>
      <w:tr w14:paraId="357109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3D48AC">
            <w:pPr>
              <w:spacing w:beforeLines="0" w:afterLines="0"/>
              <w:rPr>
                <w:rFonts w:hint="default" w:ascii="宋体" w:hAnsi="宋体" w:eastAsia="宋体"/>
                <w:sz w:val="20"/>
                <w:szCs w:val="24"/>
              </w:rPr>
            </w:pPr>
          </w:p>
        </w:tc>
        <w:tc>
          <w:tcPr>
            <w:tcW w:w="850" w:type="dxa"/>
            <w:vMerge w:val="restart"/>
            <w:tcBorders>
              <w:top w:val="single" w:color="000000" w:sz="4" w:space="0"/>
              <w:left w:val="nil"/>
              <w:bottom w:val="single" w:color="000000" w:sz="4" w:space="0"/>
              <w:right w:val="nil"/>
              <w:tl2br w:val="nil"/>
              <w:tr2bl w:val="nil"/>
            </w:tcBorders>
            <w:shd w:val="clear" w:color="auto" w:fill="FFFFFF"/>
            <w:noWrap w:val="0"/>
            <w:vAlign w:val="center"/>
          </w:tcPr>
          <w:p w14:paraId="16D8CEB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E4A7B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99F4D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D86FB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6E7AD6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B2FA23">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55818F7C">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6FF63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5B732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B6580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243A2F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10B96C">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2AC1C035">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8B1BB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7F517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85123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218D6B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1DD43D">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491BC499">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B17FC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2B2C4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3C721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57401B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70F24A">
            <w:pPr>
              <w:spacing w:beforeLines="0" w:afterLines="0"/>
              <w:rPr>
                <w:rFonts w:hint="default" w:ascii="宋体" w:hAnsi="宋体" w:eastAsia="宋体"/>
                <w:sz w:val="20"/>
                <w:szCs w:val="24"/>
              </w:rPr>
            </w:pPr>
          </w:p>
        </w:tc>
        <w:tc>
          <w:tcPr>
            <w:tcW w:w="850" w:type="dxa"/>
            <w:tcBorders>
              <w:top w:val="single" w:color="000000" w:sz="4" w:space="0"/>
              <w:left w:val="nil"/>
              <w:bottom w:val="single" w:color="000000" w:sz="4" w:space="0"/>
              <w:right w:val="nil"/>
              <w:tl2br w:val="nil"/>
              <w:tr2bl w:val="nil"/>
            </w:tcBorders>
            <w:shd w:val="clear" w:color="auto" w:fill="FFFFFF"/>
            <w:noWrap w:val="0"/>
            <w:vAlign w:val="center"/>
          </w:tcPr>
          <w:p w14:paraId="11F9BF6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9464F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A8F1D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49976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bl>
    <w:p w14:paraId="2E31E9AC">
      <w:pPr>
        <w:spacing w:beforeLines="0" w:afterLines="0" w:line="560" w:lineRule="atLeast"/>
        <w:ind w:firstLine="600"/>
        <w:jc w:val="both"/>
        <w:rPr>
          <w:rFonts w:hint="default" w:ascii="FangSong_GB2312" w:hAnsi="FangSong_GB2312" w:eastAsia="FangSong_GB2312"/>
          <w:b/>
          <w:sz w:val="32"/>
          <w:szCs w:val="24"/>
        </w:rPr>
      </w:pPr>
    </w:p>
    <w:p w14:paraId="68939DE4">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2.“政务服务中心管理”项目。</w:t>
      </w:r>
    </w:p>
    <w:p w14:paraId="06AD47E5">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（1）项目概述。项目资金主要用于大厅日常运转和管理工作支出。</w:t>
      </w:r>
    </w:p>
    <w:p w14:paraId="60CF41ED">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（2）立项依据。依据单位三定方案及往年政务中心运转所需经费。</w:t>
      </w:r>
    </w:p>
    <w:p w14:paraId="60E7A426">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（3）实施主体。淮北市相山区数据资源管理局（相山区政务服务管理局）。</w:t>
      </w:r>
    </w:p>
    <w:p w14:paraId="5D0814FB">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（4）起止时间。2026年1月1日至2026年12月31日。</w:t>
      </w:r>
    </w:p>
    <w:p w14:paraId="3651CA6D">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（5）项目内容。主要用于大厅日常运转和管理工作支出。</w:t>
      </w:r>
    </w:p>
    <w:p w14:paraId="228FD561">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（6）年度预算安排。项目预算安排资金55.0万元。</w:t>
      </w:r>
    </w:p>
    <w:p w14:paraId="00712EF7">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（7）绩效目标。年底完成项目的90％</w:t>
      </w:r>
    </w:p>
    <w:p w14:paraId="0522FFCE">
      <w:pPr>
        <w:spacing w:beforeLines="0" w:afterLines="0" w:line="560" w:lineRule="atLeast"/>
        <w:ind w:firstLine="600"/>
        <w:jc w:val="both"/>
        <w:rPr>
          <w:rFonts w:hint="default" w:ascii="FangSong_GB2312" w:hAnsi="FangSong_GB2312" w:eastAsia="FangSong_GB2312"/>
          <w:sz w:val="32"/>
          <w:szCs w:val="24"/>
        </w:rPr>
      </w:pPr>
    </w:p>
    <w:tbl>
      <w:tblPr>
        <w:tblStyle w:val="4"/>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50"/>
        <w:gridCol w:w="850"/>
        <w:gridCol w:w="850"/>
        <w:gridCol w:w="850"/>
        <w:gridCol w:w="1700"/>
        <w:gridCol w:w="850"/>
        <w:gridCol w:w="850"/>
        <w:gridCol w:w="850"/>
        <w:gridCol w:w="850"/>
      </w:tblGrid>
      <w:tr w14:paraId="1892FF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541B4468">
            <w:pPr>
              <w:spacing w:beforeLines="0" w:afterLines="0"/>
              <w:rPr>
                <w:rFonts w:hint="default"/>
                <w:sz w:val="24"/>
                <w:szCs w:val="24"/>
              </w:rPr>
            </w:pPr>
          </w:p>
        </w:tc>
      </w:tr>
      <w:tr w14:paraId="409228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4919A3C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项目支出绩效目标表</w:t>
            </w:r>
          </w:p>
        </w:tc>
      </w:tr>
      <w:tr w14:paraId="11BF15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5736CD0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（2026年度）</w:t>
            </w:r>
          </w:p>
        </w:tc>
      </w:tr>
      <w:tr w14:paraId="462B99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890D9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5950"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CC8D8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政务服务中心管理</w:t>
            </w:r>
          </w:p>
        </w:tc>
      </w:tr>
      <w:tr w14:paraId="5F37BF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005F2CA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主管部门及代码</w:t>
            </w:r>
          </w:p>
        </w:tc>
        <w:tc>
          <w:tcPr>
            <w:tcW w:w="255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4846CF7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[171]淮北市相山区数据资源管理局</w:t>
            </w:r>
          </w:p>
        </w:tc>
        <w:tc>
          <w:tcPr>
            <w:tcW w:w="170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6E19C79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170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1DB264F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淮北市相山区数据资源管理局（相山区政务服务管理局）</w:t>
            </w:r>
          </w:p>
        </w:tc>
      </w:tr>
      <w:tr w14:paraId="707FCA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3DB98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项目来源</w:t>
            </w: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6BAB4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本级申报项目</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54AD2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资金投向领域</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3A410B">
            <w:pPr>
              <w:spacing w:beforeLines="0" w:afterLines="0"/>
              <w:jc w:val="center"/>
              <w:rPr>
                <w:rFonts w:hint="default"/>
                <w:sz w:val="24"/>
                <w:szCs w:val="24"/>
              </w:rPr>
            </w:pPr>
          </w:p>
        </w:tc>
      </w:tr>
      <w:tr w14:paraId="38C408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CA058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30879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1年</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5A8EA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其中：建设期限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D27EB5">
            <w:pPr>
              <w:spacing w:beforeLines="0" w:afterLines="0"/>
              <w:jc w:val="center"/>
              <w:rPr>
                <w:rFonts w:hint="default"/>
                <w:sz w:val="24"/>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7C7C9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运营期限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B97AB8">
            <w:pPr>
              <w:spacing w:beforeLines="0" w:afterLines="0"/>
              <w:jc w:val="center"/>
              <w:rPr>
                <w:rFonts w:hint="default"/>
                <w:sz w:val="24"/>
                <w:szCs w:val="24"/>
              </w:rPr>
            </w:pPr>
          </w:p>
        </w:tc>
      </w:tr>
      <w:tr w14:paraId="10E2BF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D971D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w:t>
            </w:r>
          </w:p>
          <w:p w14:paraId="52081F2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（万元）</w:t>
            </w: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B84695">
            <w:pPr>
              <w:spacing w:beforeLines="0" w:afterLines="0" w:line="320" w:lineRule="atLeast"/>
              <w:rPr>
                <w:rFonts w:hint="default" w:ascii="宋体" w:hAnsi="宋体" w:eastAsia="宋体"/>
                <w:sz w:val="20"/>
                <w:szCs w:val="24"/>
              </w:rPr>
            </w:pPr>
            <w:r>
              <w:rPr>
                <w:rFonts w:hint="default" w:ascii="宋体" w:hAnsi="宋体" w:eastAsia="宋体"/>
                <w:sz w:val="20"/>
                <w:szCs w:val="24"/>
              </w:rPr>
              <w:t>年度资金总额：</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2A4F41">
            <w:pPr>
              <w:spacing w:beforeLines="0" w:afterLines="0" w:line="320" w:lineRule="atLeast"/>
              <w:rPr>
                <w:rFonts w:hint="default" w:ascii="宋体" w:hAnsi="宋体" w:eastAsia="宋体"/>
                <w:sz w:val="20"/>
                <w:szCs w:val="24"/>
              </w:rPr>
            </w:pPr>
            <w:r>
              <w:rPr>
                <w:rFonts w:hint="default" w:ascii="宋体" w:hAnsi="宋体" w:eastAsia="宋体"/>
                <w:sz w:val="20"/>
                <w:szCs w:val="24"/>
              </w:rPr>
              <w:t>55.00</w:t>
            </w:r>
          </w:p>
        </w:tc>
      </w:tr>
      <w:tr w14:paraId="78F5E2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A4B4A1">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7E9214">
            <w:pPr>
              <w:spacing w:beforeLines="0" w:afterLines="0" w:line="320" w:lineRule="atLeast"/>
              <w:rPr>
                <w:rFonts w:hint="default" w:ascii="宋体" w:hAnsi="宋体" w:eastAsia="宋体"/>
                <w:sz w:val="20"/>
                <w:szCs w:val="24"/>
              </w:rPr>
            </w:pPr>
            <w:r>
              <w:rPr>
                <w:rFonts w:hint="default" w:ascii="宋体" w:hAnsi="宋体" w:eastAsia="宋体"/>
                <w:sz w:val="20"/>
                <w:szCs w:val="24"/>
              </w:rPr>
              <w:t>其中：财政拨款</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97E295">
            <w:pPr>
              <w:spacing w:beforeLines="0" w:afterLines="0" w:line="320" w:lineRule="atLeast"/>
              <w:rPr>
                <w:rFonts w:hint="default" w:ascii="宋体" w:hAnsi="宋体" w:eastAsia="宋体"/>
                <w:sz w:val="20"/>
                <w:szCs w:val="24"/>
              </w:rPr>
            </w:pPr>
            <w:r>
              <w:rPr>
                <w:rFonts w:hint="default" w:ascii="宋体" w:hAnsi="宋体" w:eastAsia="宋体"/>
                <w:sz w:val="20"/>
                <w:szCs w:val="24"/>
              </w:rPr>
              <w:t>55.00</w:t>
            </w:r>
          </w:p>
        </w:tc>
      </w:tr>
      <w:tr w14:paraId="2594B6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09D5CD">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027F95">
            <w:pPr>
              <w:spacing w:beforeLines="0" w:afterLines="0" w:line="320" w:lineRule="atLeast"/>
              <w:rPr>
                <w:rFonts w:hint="default" w:ascii="宋体" w:hAnsi="宋体" w:eastAsia="宋体"/>
                <w:sz w:val="20"/>
                <w:szCs w:val="24"/>
              </w:rPr>
            </w:pPr>
            <w:r>
              <w:rPr>
                <w:rFonts w:hint="default" w:ascii="宋体" w:hAnsi="宋体" w:eastAsia="宋体"/>
                <w:sz w:val="20"/>
                <w:szCs w:val="24"/>
              </w:rPr>
              <w:t>专项债券</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2A5A85">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020968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180B42">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F3ADE6">
            <w:pPr>
              <w:spacing w:beforeLines="0" w:afterLines="0" w:line="320" w:lineRule="atLeast"/>
              <w:rPr>
                <w:rFonts w:hint="default" w:ascii="宋体" w:hAnsi="宋体" w:eastAsia="宋体"/>
                <w:sz w:val="20"/>
                <w:szCs w:val="24"/>
              </w:rPr>
            </w:pPr>
            <w:r>
              <w:rPr>
                <w:rFonts w:hint="default" w:ascii="宋体" w:hAnsi="宋体" w:eastAsia="宋体"/>
                <w:sz w:val="20"/>
                <w:szCs w:val="24"/>
              </w:rPr>
              <w:t>上年结转</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562C1C">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1BD20C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6D7933">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B76DCA">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037604">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23ED8C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DA418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w:t>
            </w:r>
          </w:p>
          <w:p w14:paraId="7762071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目标</w:t>
            </w:r>
          </w:p>
        </w:tc>
        <w:tc>
          <w:tcPr>
            <w:tcW w:w="7650"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3B34D5">
            <w:pPr>
              <w:spacing w:beforeLines="0" w:afterLines="0" w:line="320" w:lineRule="atLeast"/>
              <w:rPr>
                <w:rFonts w:hint="default" w:ascii="宋体" w:hAnsi="宋体" w:eastAsia="宋体"/>
                <w:sz w:val="20"/>
                <w:szCs w:val="24"/>
              </w:rPr>
            </w:pPr>
            <w:r>
              <w:rPr>
                <w:rFonts w:hint="default" w:ascii="宋体" w:hAnsi="宋体" w:eastAsia="宋体"/>
                <w:sz w:val="20"/>
                <w:szCs w:val="24"/>
              </w:rPr>
              <w:t>年底完成项目的90％</w:t>
            </w:r>
          </w:p>
        </w:tc>
      </w:tr>
      <w:tr w14:paraId="21DBA4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6134F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w:t>
            </w:r>
          </w:p>
          <w:p w14:paraId="2B2D5F3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w:t>
            </w:r>
          </w:p>
          <w:p w14:paraId="653C670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w:t>
            </w:r>
          </w:p>
          <w:p w14:paraId="6FABA1E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标</w:t>
            </w:r>
          </w:p>
        </w:tc>
        <w:tc>
          <w:tcPr>
            <w:tcW w:w="850" w:type="dxa"/>
            <w:tcBorders>
              <w:top w:val="single" w:color="000000" w:sz="4" w:space="0"/>
              <w:left w:val="nil"/>
              <w:bottom w:val="single" w:color="000000" w:sz="4" w:space="0"/>
              <w:right w:val="nil"/>
              <w:tl2br w:val="nil"/>
              <w:tr2bl w:val="nil"/>
            </w:tcBorders>
            <w:shd w:val="clear" w:color="auto" w:fill="FFFFFF"/>
            <w:noWrap w:val="0"/>
            <w:vAlign w:val="center"/>
          </w:tcPr>
          <w:p w14:paraId="55D52C6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w:t>
            </w:r>
          </w:p>
          <w:p w14:paraId="5BFEB7B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78181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3C237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DDF9E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指标值</w:t>
            </w:r>
          </w:p>
        </w:tc>
      </w:tr>
      <w:tr w14:paraId="6677DD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DEB806">
            <w:pPr>
              <w:spacing w:beforeLines="0" w:afterLines="0"/>
              <w:rPr>
                <w:rFonts w:hint="default" w:ascii="宋体" w:hAnsi="宋体" w:eastAsia="宋体"/>
                <w:sz w:val="20"/>
                <w:szCs w:val="24"/>
              </w:rPr>
            </w:pPr>
          </w:p>
        </w:tc>
        <w:tc>
          <w:tcPr>
            <w:tcW w:w="850" w:type="dxa"/>
            <w:vMerge w:val="restart"/>
            <w:tcBorders>
              <w:top w:val="single" w:color="000000" w:sz="4" w:space="0"/>
              <w:left w:val="nil"/>
              <w:bottom w:val="single" w:color="000000" w:sz="4" w:space="0"/>
              <w:right w:val="nil"/>
              <w:tl2br w:val="nil"/>
              <w:tr2bl w:val="nil"/>
            </w:tcBorders>
            <w:shd w:val="clear" w:color="auto" w:fill="FFFFFF"/>
            <w:noWrap w:val="0"/>
            <w:vAlign w:val="center"/>
          </w:tcPr>
          <w:p w14:paraId="7AA7A4A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C1F1E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1CC3E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项目金额</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DA3AA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550000元</w:t>
            </w:r>
          </w:p>
        </w:tc>
      </w:tr>
      <w:tr w14:paraId="5AE631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283161">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51E5EE8C">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570D8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294A1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完成质量</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09937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43B649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1FBE86">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2B112C71">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AF222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30DC6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完成时效</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B3556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≤12月</w:t>
            </w:r>
          </w:p>
        </w:tc>
      </w:tr>
      <w:tr w14:paraId="26ACA6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F8816E">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33697586">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D3191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245EB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完成成本</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CCA66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≤550000元</w:t>
            </w:r>
          </w:p>
        </w:tc>
      </w:tr>
      <w:tr w14:paraId="4C982A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F60E9B">
            <w:pPr>
              <w:spacing w:beforeLines="0" w:afterLines="0"/>
              <w:rPr>
                <w:rFonts w:hint="default" w:ascii="宋体" w:hAnsi="宋体" w:eastAsia="宋体"/>
                <w:sz w:val="20"/>
                <w:szCs w:val="24"/>
              </w:rPr>
            </w:pPr>
          </w:p>
        </w:tc>
        <w:tc>
          <w:tcPr>
            <w:tcW w:w="850" w:type="dxa"/>
            <w:vMerge w:val="restart"/>
            <w:tcBorders>
              <w:top w:val="single" w:color="000000" w:sz="4" w:space="0"/>
              <w:left w:val="nil"/>
              <w:bottom w:val="single" w:color="000000" w:sz="4" w:space="0"/>
              <w:right w:val="nil"/>
              <w:tl2br w:val="nil"/>
              <w:tr2bl w:val="nil"/>
            </w:tcBorders>
            <w:shd w:val="clear" w:color="auto" w:fill="FFFFFF"/>
            <w:noWrap w:val="0"/>
            <w:vAlign w:val="center"/>
          </w:tcPr>
          <w:p w14:paraId="5081516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F8C0C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AF3BF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6E9A1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07DD50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5266AA">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73C824D2">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C8181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F4926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497F4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310C19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28A625">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1D2D4248">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15D21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445EE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AF2E6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5EE81B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7E91AA">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2C763A78">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13E9E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6CD03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可持续影响性</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8E883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5B243B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D9D8F7">
            <w:pPr>
              <w:spacing w:beforeLines="0" w:afterLines="0"/>
              <w:rPr>
                <w:rFonts w:hint="default" w:ascii="宋体" w:hAnsi="宋体" w:eastAsia="宋体"/>
                <w:sz w:val="20"/>
                <w:szCs w:val="24"/>
              </w:rPr>
            </w:pPr>
          </w:p>
        </w:tc>
        <w:tc>
          <w:tcPr>
            <w:tcW w:w="850" w:type="dxa"/>
            <w:tcBorders>
              <w:top w:val="single" w:color="000000" w:sz="4" w:space="0"/>
              <w:left w:val="nil"/>
              <w:bottom w:val="single" w:color="000000" w:sz="4" w:space="0"/>
              <w:right w:val="nil"/>
              <w:tl2br w:val="nil"/>
              <w:tr2bl w:val="nil"/>
            </w:tcBorders>
            <w:shd w:val="clear" w:color="auto" w:fill="FFFFFF"/>
            <w:noWrap w:val="0"/>
            <w:vAlign w:val="center"/>
          </w:tcPr>
          <w:p w14:paraId="0AC2F14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3687D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CBBFB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1AF71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bl>
    <w:p w14:paraId="330897AA">
      <w:pPr>
        <w:adjustRightInd w:val="0"/>
        <w:snapToGrid w:val="0"/>
        <w:spacing w:line="520" w:lineRule="exact"/>
        <w:ind w:firstLine="643" w:firstLineChars="200"/>
        <w:rPr>
          <w:rFonts w:hint="default" w:ascii="TimesNewRoman" w:hAnsi="TimesNewRoman" w:cs="TimesNewRoman"/>
          <w:b/>
          <w:szCs w:val="32"/>
        </w:rPr>
      </w:pPr>
    </w:p>
    <w:p w14:paraId="25A657BD">
      <w:pPr>
        <w:adjustRightInd w:val="0"/>
        <w:snapToGrid w:val="0"/>
        <w:spacing w:line="520" w:lineRule="exact"/>
        <w:ind w:firstLine="643" w:firstLineChars="200"/>
        <w:rPr>
          <w:rFonts w:hint="default" w:ascii="TimesNewRoman" w:hAnsi="TimesNewRoman" w:cs="TimesNewRoman"/>
          <w:b/>
          <w:szCs w:val="32"/>
        </w:rPr>
      </w:pPr>
      <w:r>
        <w:rPr>
          <w:rFonts w:hint="default" w:ascii="TimesNewRoman" w:hAnsi="TimesNewRoman" w:cs="TimesNewRoman"/>
          <w:b/>
          <w:szCs w:val="32"/>
        </w:rPr>
        <w:t>（二）机关运行经费。</w:t>
      </w:r>
    </w:p>
    <w:p w14:paraId="7579EC22">
      <w:pPr>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cs="TimesNewRoman"/>
          <w:szCs w:val="32"/>
        </w:rPr>
      </w:pPr>
      <w:r>
        <w:rPr>
          <w:rFonts w:hint="eastAsia" w:ascii="TimesNewRoman" w:hAnsi="TimesNewRoman" w:cs="TimesNewRoman"/>
          <w:kern w:val="0"/>
          <w:szCs w:val="32"/>
          <w:lang w:eastAsia="zh-CN"/>
        </w:rPr>
        <w:t>淮北市相山区数据资源管理局</w:t>
      </w:r>
      <w:r>
        <w:rPr>
          <w:rFonts w:hint="eastAsia" w:ascii="TimesNewRoman" w:hAnsi="TimesNewRoman" w:cs="TimesNewRoman"/>
          <w:szCs w:val="32"/>
          <w:lang w:val="en" w:eastAsia="zh-CN"/>
        </w:rPr>
        <w:t>2026</w:t>
      </w:r>
      <w:r>
        <w:rPr>
          <w:rFonts w:hint="default" w:ascii="TimesNewRoman" w:hAnsi="TimesNewRoman" w:cs="TimesNewRoman"/>
          <w:szCs w:val="32"/>
        </w:rPr>
        <w:t>年机关运行经费财政拨款预算50.37万元，比2025年预算增加1.08万元，增长2.19%，增长原因主要是政务中心每日客流量激增，所需水电费少许增加，以保证政务中心正常运转。</w:t>
      </w:r>
    </w:p>
    <w:p w14:paraId="6651EF60">
      <w:pPr>
        <w:keepNext w:val="0"/>
        <w:keepLines w:val="0"/>
        <w:pageBreakBefore w:val="0"/>
        <w:kinsoku/>
        <w:overflowPunct/>
        <w:topLinePunct w:val="0"/>
        <w:autoSpaceDE/>
        <w:autoSpaceDN/>
        <w:bidi w:val="0"/>
        <w:adjustRightInd w:val="0"/>
        <w:snapToGrid w:val="0"/>
        <w:spacing w:line="560" w:lineRule="exact"/>
        <w:ind w:firstLine="643" w:firstLineChars="200"/>
        <w:rPr>
          <w:rFonts w:hint="default" w:ascii="TimesNewRoman" w:hAnsi="TimesNewRoman" w:cs="TimesNewRoman"/>
          <w:b/>
          <w:szCs w:val="32"/>
        </w:rPr>
      </w:pPr>
      <w:r>
        <w:rPr>
          <w:rFonts w:hint="default" w:ascii="TimesNewRoman" w:hAnsi="TimesNewRoman" w:cs="TimesNewRoman"/>
          <w:b/>
          <w:szCs w:val="32"/>
        </w:rPr>
        <w:t>（三）政府采购情况。</w:t>
      </w:r>
    </w:p>
    <w:p w14:paraId="65C796F5">
      <w:pPr>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cs="TimesNewRoman"/>
          <w:szCs w:val="32"/>
        </w:rPr>
      </w:pPr>
      <w:r>
        <w:rPr>
          <w:rFonts w:hint="eastAsia" w:ascii="TimesNewRoman" w:hAnsi="TimesNewRoman" w:cs="TimesNewRoman"/>
          <w:kern w:val="0"/>
          <w:szCs w:val="32"/>
          <w:lang w:eastAsia="zh-CN"/>
        </w:rPr>
        <w:t>淮北市相山区数据资源管理局</w:t>
      </w:r>
      <w:r>
        <w:rPr>
          <w:rFonts w:hint="eastAsia" w:ascii="TimesNewRoman" w:hAnsi="TimesNewRoman" w:cs="TimesNewRoman"/>
          <w:szCs w:val="32"/>
          <w:lang w:val="en" w:eastAsia="zh-CN"/>
        </w:rPr>
        <w:t>2026</w:t>
      </w:r>
      <w:r>
        <w:rPr>
          <w:rFonts w:hint="default" w:ascii="TimesNewRoman" w:hAnsi="TimesNewRoman" w:cs="TimesNewRoman"/>
          <w:szCs w:val="32"/>
        </w:rPr>
        <w:t>年政府采购预算0万元。其中：政府采购货物预算0万元，政府采购工程预算0万元，政府采购服务预算0万元。</w:t>
      </w:r>
    </w:p>
    <w:p w14:paraId="20ED5A08">
      <w:pPr>
        <w:keepNext w:val="0"/>
        <w:keepLines w:val="0"/>
        <w:pageBreakBefore w:val="0"/>
        <w:kinsoku/>
        <w:overflowPunct/>
        <w:topLinePunct w:val="0"/>
        <w:autoSpaceDE/>
        <w:autoSpaceDN/>
        <w:bidi w:val="0"/>
        <w:adjustRightInd w:val="0"/>
        <w:snapToGrid w:val="0"/>
        <w:spacing w:line="560" w:lineRule="exact"/>
        <w:ind w:firstLine="643" w:firstLineChars="200"/>
        <w:rPr>
          <w:rFonts w:hint="default" w:ascii="TimesNewRoman" w:hAnsi="TimesNewRoman" w:cs="TimesNewRoman"/>
          <w:b/>
          <w:szCs w:val="32"/>
        </w:rPr>
      </w:pPr>
      <w:r>
        <w:rPr>
          <w:rFonts w:hint="default" w:ascii="TimesNewRoman" w:hAnsi="TimesNewRoman" w:cs="TimesNewRoman"/>
          <w:b/>
          <w:szCs w:val="32"/>
        </w:rPr>
        <w:t>（四）国有资产占有使用情况。</w:t>
      </w:r>
    </w:p>
    <w:p w14:paraId="00DD7BC5">
      <w:pPr>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cs="TimesNewRoman"/>
          <w:szCs w:val="32"/>
        </w:rPr>
      </w:pPr>
      <w:r>
        <w:rPr>
          <w:rFonts w:hint="default" w:ascii="TimesNewRoman" w:hAnsi="TimesNewRoman" w:cs="TimesNewRoman"/>
          <w:szCs w:val="32"/>
        </w:rPr>
        <w:t>截至</w:t>
      </w:r>
      <w:r>
        <w:rPr>
          <w:rFonts w:hint="eastAsia" w:ascii="TimesNewRoman" w:hAnsi="TimesNewRoman" w:cs="TimesNewRoman"/>
          <w:szCs w:val="32"/>
          <w:lang w:eastAsia="zh-CN"/>
        </w:rPr>
        <w:t>2025</w:t>
      </w:r>
      <w:r>
        <w:rPr>
          <w:rFonts w:hint="default" w:ascii="TimesNewRoman" w:hAnsi="TimesNewRoman" w:cs="TimesNewRoman"/>
          <w:szCs w:val="32"/>
        </w:rPr>
        <w:t>年12月31日，</w:t>
      </w:r>
      <w:r>
        <w:rPr>
          <w:rFonts w:hint="eastAsia" w:ascii="TimesNewRoman" w:hAnsi="TimesNewRoman" w:cs="TimesNewRoman"/>
          <w:kern w:val="0"/>
          <w:szCs w:val="32"/>
          <w:lang w:eastAsia="zh-CN"/>
        </w:rPr>
        <w:t>淮北市相山区数据资源管理局</w:t>
      </w:r>
      <w:r>
        <w:rPr>
          <w:rFonts w:hint="default" w:ascii="TimesNewRoman" w:hAnsi="TimesNewRoman" w:cs="TimesNewRoman"/>
          <w:szCs w:val="32"/>
        </w:rPr>
        <w:t>共有车辆0辆；单价50万元以上的通用设备0台（套），单价100万元（含）以上设备（不含车辆）0台（套）。</w:t>
      </w:r>
    </w:p>
    <w:p w14:paraId="1CE801F0">
      <w:pPr>
        <w:keepNext w:val="0"/>
        <w:keepLines w:val="0"/>
        <w:pageBreakBefore w:val="0"/>
        <w:kinsoku/>
        <w:overflowPunct/>
        <w:topLinePunct w:val="0"/>
        <w:autoSpaceDE/>
        <w:autoSpaceDN/>
        <w:bidi w:val="0"/>
        <w:spacing w:line="560" w:lineRule="exact"/>
        <w:ind w:firstLine="640" w:firstLineChars="200"/>
        <w:rPr>
          <w:rFonts w:hint="default" w:ascii="TimesNewRoman" w:hAnsi="TimesNewRoman" w:cs="TimesNewRoman"/>
          <w:szCs w:val="32"/>
        </w:rPr>
      </w:pPr>
      <w:r>
        <w:rPr>
          <w:rFonts w:hint="eastAsia" w:ascii="TimesNewRoman" w:hAnsi="TimesNewRoman" w:cs="TimesNewRoman"/>
          <w:szCs w:val="32"/>
          <w:lang w:val="en" w:eastAsia="zh-CN"/>
        </w:rPr>
        <w:t>2026</w:t>
      </w:r>
      <w:r>
        <w:rPr>
          <w:rFonts w:hint="default" w:ascii="TimesNewRoman" w:hAnsi="TimesNewRoman" w:cs="TimesNewRoman"/>
          <w:szCs w:val="32"/>
        </w:rPr>
        <w:t>年部门预算安排购置公务用车0辆，购置费0万元；单价50万元以上的通用设备0台（套），购置费0万元；安排购置单价100万元（含）以上设备（不含车辆）0台（套），购置费0万元。</w:t>
      </w:r>
    </w:p>
    <w:p w14:paraId="19F8FFF3">
      <w:pPr>
        <w:keepNext w:val="0"/>
        <w:keepLines w:val="0"/>
        <w:pageBreakBefore w:val="0"/>
        <w:kinsoku/>
        <w:overflowPunct/>
        <w:topLinePunct w:val="0"/>
        <w:autoSpaceDE/>
        <w:autoSpaceDN/>
        <w:bidi w:val="0"/>
        <w:adjustRightInd w:val="0"/>
        <w:snapToGrid w:val="0"/>
        <w:spacing w:line="560" w:lineRule="exact"/>
        <w:ind w:firstLine="643" w:firstLineChars="200"/>
        <w:rPr>
          <w:rFonts w:hint="default" w:ascii="TimesNewRoman" w:hAnsi="TimesNewRoman" w:cs="TimesNewRoman"/>
          <w:b/>
          <w:szCs w:val="32"/>
        </w:rPr>
      </w:pPr>
      <w:r>
        <w:rPr>
          <w:rFonts w:hint="default" w:ascii="TimesNewRoman" w:hAnsi="TimesNewRoman" w:cs="TimesNewRoman"/>
          <w:b/>
          <w:szCs w:val="32"/>
        </w:rPr>
        <w:t>（五）绩效目标设置情况。</w:t>
      </w:r>
    </w:p>
    <w:p w14:paraId="71341EBC">
      <w:pPr>
        <w:keepNext w:val="0"/>
        <w:keepLines w:val="0"/>
        <w:pageBreakBefore w:val="0"/>
        <w:tabs>
          <w:tab w:val="left" w:pos="3316"/>
        </w:tabs>
        <w:kinsoku/>
        <w:overflowPunct/>
        <w:topLinePunct w:val="0"/>
        <w:autoSpaceDE/>
        <w:autoSpaceDN/>
        <w:bidi w:val="0"/>
        <w:adjustRightInd w:val="0"/>
        <w:snapToGrid w:val="0"/>
        <w:spacing w:line="560" w:lineRule="exact"/>
        <w:ind w:firstLine="640" w:firstLineChars="200"/>
        <w:outlineLvl w:val="0"/>
        <w:rPr>
          <w:rFonts w:hint="default" w:ascii="TimesNewRoman" w:hAnsi="TimesNewRoman" w:eastAsia="黑体" w:cs="TimesNewRoman"/>
          <w:sz w:val="36"/>
          <w:szCs w:val="36"/>
        </w:rPr>
      </w:pPr>
      <w:r>
        <w:rPr>
          <w:rFonts w:hint="eastAsia" w:ascii="TimesNewRoman" w:hAnsi="TimesNewRoman" w:cs="TimesNewRoman"/>
          <w:szCs w:val="32"/>
          <w:lang w:val="en" w:eastAsia="zh-CN"/>
        </w:rPr>
        <w:t>2026年，淮北市相山区数据资源管理局2个项目实行了绩效目标管理，涉及一般公共预算当年财政拨款58.83万元、政府性基金预算当年财政拨款0万元、国有资本经营预算当年财政拨款0万元、财政专户管理资金当年安排0万元和单位资金当年安排0万元。</w:t>
      </w:r>
    </w:p>
    <w:p w14:paraId="74C54A9E">
      <w:pPr>
        <w:keepNext w:val="0"/>
        <w:keepLines w:val="0"/>
        <w:pageBreakBefore w:val="0"/>
        <w:tabs>
          <w:tab w:val="left" w:pos="3316"/>
        </w:tabs>
        <w:kinsoku/>
        <w:overflowPunct/>
        <w:topLinePunct w:val="0"/>
        <w:autoSpaceDE/>
        <w:autoSpaceDN/>
        <w:bidi w:val="0"/>
        <w:adjustRightInd w:val="0"/>
        <w:snapToGrid w:val="0"/>
        <w:spacing w:line="560" w:lineRule="exact"/>
        <w:outlineLvl w:val="0"/>
        <w:rPr>
          <w:rFonts w:hint="default" w:ascii="TimesNewRoman" w:hAnsi="TimesNewRoman" w:eastAsia="黑体" w:cs="TimesNewRoman"/>
          <w:sz w:val="36"/>
          <w:szCs w:val="36"/>
        </w:rPr>
      </w:pPr>
    </w:p>
    <w:p w14:paraId="000EE4A8">
      <w:pPr>
        <w:keepNext w:val="0"/>
        <w:keepLines w:val="0"/>
        <w:pageBreakBefore w:val="0"/>
        <w:tabs>
          <w:tab w:val="left" w:pos="3316"/>
        </w:tabs>
        <w:kinsoku/>
        <w:overflowPunct/>
        <w:topLinePunct w:val="0"/>
        <w:autoSpaceDE/>
        <w:autoSpaceDN/>
        <w:bidi w:val="0"/>
        <w:adjustRightInd w:val="0"/>
        <w:snapToGrid w:val="0"/>
        <w:spacing w:line="560" w:lineRule="exact"/>
        <w:outlineLvl w:val="0"/>
        <w:rPr>
          <w:rFonts w:hint="default" w:ascii="TimesNewRoman" w:hAnsi="TimesNewRoman" w:eastAsia="黑体" w:cs="TimesNewRoman"/>
          <w:sz w:val="36"/>
          <w:szCs w:val="36"/>
        </w:rPr>
      </w:pPr>
    </w:p>
    <w:p w14:paraId="4ECAD33F">
      <w:pPr>
        <w:keepNext w:val="0"/>
        <w:keepLines w:val="0"/>
        <w:pageBreakBefore w:val="0"/>
        <w:tabs>
          <w:tab w:val="left" w:pos="3316"/>
        </w:tabs>
        <w:kinsoku/>
        <w:overflowPunct/>
        <w:topLinePunct w:val="0"/>
        <w:autoSpaceDE/>
        <w:autoSpaceDN/>
        <w:bidi w:val="0"/>
        <w:adjustRightInd w:val="0"/>
        <w:snapToGrid w:val="0"/>
        <w:spacing w:line="560" w:lineRule="exact"/>
        <w:outlineLvl w:val="0"/>
        <w:rPr>
          <w:rFonts w:hint="default" w:ascii="TimesNewRoman" w:hAnsi="TimesNewRoman" w:eastAsia="黑体" w:cs="TimesNewRoman"/>
          <w:sz w:val="36"/>
          <w:szCs w:val="36"/>
        </w:rPr>
      </w:pPr>
    </w:p>
    <w:p w14:paraId="31AD9564">
      <w:pPr>
        <w:keepNext w:val="0"/>
        <w:keepLines w:val="0"/>
        <w:pageBreakBefore w:val="0"/>
        <w:tabs>
          <w:tab w:val="left" w:pos="3316"/>
        </w:tabs>
        <w:kinsoku/>
        <w:overflowPunct/>
        <w:topLinePunct w:val="0"/>
        <w:autoSpaceDE/>
        <w:autoSpaceDN/>
        <w:bidi w:val="0"/>
        <w:adjustRightInd w:val="0"/>
        <w:snapToGrid w:val="0"/>
        <w:spacing w:line="560" w:lineRule="exact"/>
        <w:outlineLvl w:val="0"/>
        <w:rPr>
          <w:rFonts w:hint="default" w:ascii="TimesNewRoman" w:hAnsi="TimesNewRoman" w:eastAsia="黑体" w:cs="TimesNewRoman"/>
          <w:sz w:val="36"/>
          <w:szCs w:val="36"/>
        </w:rPr>
      </w:pPr>
    </w:p>
    <w:p w14:paraId="1F8971D4">
      <w:pPr>
        <w:keepNext w:val="0"/>
        <w:keepLines w:val="0"/>
        <w:pageBreakBefore w:val="0"/>
        <w:tabs>
          <w:tab w:val="left" w:pos="3316"/>
        </w:tabs>
        <w:kinsoku/>
        <w:overflowPunct/>
        <w:topLinePunct w:val="0"/>
        <w:autoSpaceDE/>
        <w:autoSpaceDN/>
        <w:bidi w:val="0"/>
        <w:adjustRightInd w:val="0"/>
        <w:snapToGrid w:val="0"/>
        <w:spacing w:line="560" w:lineRule="exact"/>
        <w:outlineLvl w:val="0"/>
        <w:rPr>
          <w:rFonts w:hint="default" w:ascii="TimesNewRoman" w:hAnsi="TimesNewRoman" w:eastAsia="黑体" w:cs="TimesNewRoman"/>
          <w:sz w:val="36"/>
          <w:szCs w:val="36"/>
        </w:rPr>
      </w:pPr>
    </w:p>
    <w:p w14:paraId="3D92497A">
      <w:pPr>
        <w:keepNext w:val="0"/>
        <w:keepLines w:val="0"/>
        <w:pageBreakBefore w:val="0"/>
        <w:tabs>
          <w:tab w:val="left" w:pos="3316"/>
        </w:tabs>
        <w:kinsoku/>
        <w:overflowPunct/>
        <w:topLinePunct w:val="0"/>
        <w:autoSpaceDE/>
        <w:autoSpaceDN/>
        <w:bidi w:val="0"/>
        <w:adjustRightInd w:val="0"/>
        <w:snapToGrid w:val="0"/>
        <w:spacing w:line="560" w:lineRule="exact"/>
        <w:outlineLvl w:val="0"/>
        <w:rPr>
          <w:rFonts w:hint="default" w:ascii="TimesNewRoman" w:hAnsi="TimesNewRoman" w:eastAsia="黑体" w:cs="TimesNewRoman"/>
          <w:sz w:val="36"/>
          <w:szCs w:val="36"/>
        </w:rPr>
      </w:pPr>
    </w:p>
    <w:p w14:paraId="07E515F8">
      <w:pPr>
        <w:keepNext w:val="0"/>
        <w:keepLines w:val="0"/>
        <w:pageBreakBefore w:val="0"/>
        <w:tabs>
          <w:tab w:val="left" w:pos="3316"/>
        </w:tabs>
        <w:kinsoku/>
        <w:overflowPunct/>
        <w:topLinePunct w:val="0"/>
        <w:autoSpaceDE/>
        <w:autoSpaceDN/>
        <w:bidi w:val="0"/>
        <w:adjustRightInd w:val="0"/>
        <w:snapToGrid w:val="0"/>
        <w:spacing w:line="560" w:lineRule="exact"/>
        <w:outlineLvl w:val="0"/>
        <w:rPr>
          <w:rFonts w:hint="default" w:ascii="TimesNewRoman" w:hAnsi="TimesNewRoman" w:eastAsia="黑体" w:cs="TimesNewRoman"/>
          <w:sz w:val="36"/>
          <w:szCs w:val="36"/>
        </w:rPr>
      </w:pPr>
    </w:p>
    <w:p w14:paraId="63295A03">
      <w:pPr>
        <w:keepNext w:val="0"/>
        <w:keepLines w:val="0"/>
        <w:pageBreakBefore w:val="0"/>
        <w:tabs>
          <w:tab w:val="left" w:pos="3316"/>
        </w:tabs>
        <w:kinsoku/>
        <w:overflowPunct/>
        <w:topLinePunct w:val="0"/>
        <w:autoSpaceDE/>
        <w:autoSpaceDN/>
        <w:bidi w:val="0"/>
        <w:adjustRightInd w:val="0"/>
        <w:snapToGrid w:val="0"/>
        <w:spacing w:line="560" w:lineRule="exact"/>
        <w:outlineLvl w:val="0"/>
        <w:rPr>
          <w:rFonts w:hint="default" w:ascii="TimesNewRoman" w:hAnsi="TimesNewRoman" w:eastAsia="黑体" w:cs="TimesNewRoman"/>
          <w:sz w:val="36"/>
          <w:szCs w:val="36"/>
        </w:rPr>
      </w:pPr>
    </w:p>
    <w:p w14:paraId="28BC4724">
      <w:pPr>
        <w:keepNext w:val="0"/>
        <w:keepLines w:val="0"/>
        <w:pageBreakBefore w:val="0"/>
        <w:tabs>
          <w:tab w:val="left" w:pos="3316"/>
        </w:tabs>
        <w:kinsoku/>
        <w:overflowPunct/>
        <w:topLinePunct w:val="0"/>
        <w:autoSpaceDE/>
        <w:autoSpaceDN/>
        <w:bidi w:val="0"/>
        <w:adjustRightInd w:val="0"/>
        <w:snapToGrid w:val="0"/>
        <w:spacing w:line="560" w:lineRule="exact"/>
        <w:outlineLvl w:val="0"/>
        <w:rPr>
          <w:rFonts w:hint="default" w:ascii="TimesNewRoman" w:hAnsi="TimesNewRoman" w:eastAsia="黑体" w:cs="TimesNewRoman"/>
          <w:sz w:val="36"/>
          <w:szCs w:val="36"/>
        </w:rPr>
      </w:pPr>
    </w:p>
    <w:p w14:paraId="26160129">
      <w:pPr>
        <w:keepNext w:val="0"/>
        <w:keepLines w:val="0"/>
        <w:pageBreakBefore w:val="0"/>
        <w:tabs>
          <w:tab w:val="left" w:pos="3316"/>
        </w:tabs>
        <w:kinsoku/>
        <w:overflowPunct/>
        <w:topLinePunct w:val="0"/>
        <w:autoSpaceDE/>
        <w:autoSpaceDN/>
        <w:bidi w:val="0"/>
        <w:adjustRightInd w:val="0"/>
        <w:snapToGrid w:val="0"/>
        <w:spacing w:line="560" w:lineRule="exact"/>
        <w:outlineLvl w:val="0"/>
        <w:rPr>
          <w:rFonts w:hint="default" w:ascii="TimesNewRoman" w:hAnsi="TimesNewRoman" w:eastAsia="黑体" w:cs="TimesNewRoman"/>
          <w:sz w:val="36"/>
          <w:szCs w:val="36"/>
        </w:rPr>
      </w:pPr>
    </w:p>
    <w:p w14:paraId="15E52C3B">
      <w:pPr>
        <w:keepNext w:val="0"/>
        <w:keepLines w:val="0"/>
        <w:pageBreakBefore w:val="0"/>
        <w:tabs>
          <w:tab w:val="left" w:pos="3316"/>
        </w:tabs>
        <w:kinsoku/>
        <w:overflowPunct/>
        <w:topLinePunct w:val="0"/>
        <w:autoSpaceDE/>
        <w:autoSpaceDN/>
        <w:bidi w:val="0"/>
        <w:adjustRightInd w:val="0"/>
        <w:snapToGrid w:val="0"/>
        <w:spacing w:line="560" w:lineRule="exact"/>
        <w:outlineLvl w:val="0"/>
        <w:rPr>
          <w:rFonts w:hint="default" w:ascii="TimesNewRoman" w:hAnsi="TimesNewRoman" w:eastAsia="黑体" w:cs="TimesNewRoman"/>
          <w:sz w:val="36"/>
          <w:szCs w:val="36"/>
        </w:rPr>
      </w:pPr>
    </w:p>
    <w:p w14:paraId="62AA94F2">
      <w:pPr>
        <w:keepNext w:val="0"/>
        <w:keepLines w:val="0"/>
        <w:pageBreakBefore w:val="0"/>
        <w:tabs>
          <w:tab w:val="left" w:pos="3316"/>
        </w:tabs>
        <w:kinsoku/>
        <w:overflowPunct/>
        <w:topLinePunct w:val="0"/>
        <w:autoSpaceDE/>
        <w:autoSpaceDN/>
        <w:bidi w:val="0"/>
        <w:adjustRightInd w:val="0"/>
        <w:snapToGrid w:val="0"/>
        <w:spacing w:line="560" w:lineRule="exact"/>
        <w:outlineLvl w:val="0"/>
        <w:rPr>
          <w:rFonts w:hint="default" w:ascii="TimesNewRoman" w:hAnsi="TimesNewRoman" w:eastAsia="黑体" w:cs="TimesNewRoman"/>
          <w:sz w:val="36"/>
          <w:szCs w:val="36"/>
        </w:rPr>
      </w:pPr>
    </w:p>
    <w:p w14:paraId="2D4D0A3D">
      <w:pPr>
        <w:keepNext w:val="0"/>
        <w:keepLines w:val="0"/>
        <w:pageBreakBefore w:val="0"/>
        <w:tabs>
          <w:tab w:val="left" w:pos="3316"/>
        </w:tabs>
        <w:kinsoku/>
        <w:overflowPunct/>
        <w:topLinePunct w:val="0"/>
        <w:autoSpaceDE/>
        <w:autoSpaceDN/>
        <w:bidi w:val="0"/>
        <w:adjustRightInd w:val="0"/>
        <w:snapToGrid w:val="0"/>
        <w:spacing w:line="560" w:lineRule="exact"/>
        <w:outlineLvl w:val="0"/>
        <w:rPr>
          <w:rFonts w:hint="default" w:ascii="TimesNewRoman" w:hAnsi="TimesNewRoman" w:eastAsia="黑体" w:cs="TimesNewRoman"/>
          <w:sz w:val="36"/>
          <w:szCs w:val="36"/>
        </w:rPr>
      </w:pPr>
    </w:p>
    <w:p w14:paraId="3DC61AA2">
      <w:pPr>
        <w:keepNext w:val="0"/>
        <w:keepLines w:val="0"/>
        <w:pageBreakBefore w:val="0"/>
        <w:tabs>
          <w:tab w:val="left" w:pos="3316"/>
        </w:tabs>
        <w:kinsoku/>
        <w:overflowPunct/>
        <w:topLinePunct w:val="0"/>
        <w:autoSpaceDE/>
        <w:autoSpaceDN/>
        <w:bidi w:val="0"/>
        <w:adjustRightInd w:val="0"/>
        <w:snapToGrid w:val="0"/>
        <w:spacing w:line="560" w:lineRule="exact"/>
        <w:outlineLvl w:val="0"/>
        <w:rPr>
          <w:rFonts w:hint="default" w:ascii="TimesNewRoman" w:hAnsi="TimesNewRoman" w:eastAsia="黑体" w:cs="TimesNewRoman"/>
          <w:sz w:val="36"/>
          <w:szCs w:val="36"/>
        </w:rPr>
      </w:pPr>
    </w:p>
    <w:p w14:paraId="2BABD0C1">
      <w:pPr>
        <w:keepNext w:val="0"/>
        <w:keepLines w:val="0"/>
        <w:pageBreakBefore w:val="0"/>
        <w:tabs>
          <w:tab w:val="left" w:pos="3316"/>
        </w:tabs>
        <w:kinsoku/>
        <w:overflowPunct/>
        <w:topLinePunct w:val="0"/>
        <w:autoSpaceDE/>
        <w:autoSpaceDN/>
        <w:bidi w:val="0"/>
        <w:adjustRightInd w:val="0"/>
        <w:snapToGrid w:val="0"/>
        <w:spacing w:line="560" w:lineRule="exact"/>
        <w:outlineLvl w:val="0"/>
        <w:rPr>
          <w:rFonts w:hint="default" w:ascii="TimesNewRoman" w:hAnsi="TimesNewRoman" w:eastAsia="黑体" w:cs="TimesNewRoman"/>
          <w:sz w:val="36"/>
          <w:szCs w:val="36"/>
        </w:rPr>
      </w:pPr>
    </w:p>
    <w:p w14:paraId="2109404F">
      <w:pPr>
        <w:keepNext w:val="0"/>
        <w:keepLines w:val="0"/>
        <w:pageBreakBefore w:val="0"/>
        <w:tabs>
          <w:tab w:val="left" w:pos="3316"/>
        </w:tabs>
        <w:kinsoku/>
        <w:overflowPunct/>
        <w:topLinePunct w:val="0"/>
        <w:autoSpaceDE/>
        <w:autoSpaceDN/>
        <w:bidi w:val="0"/>
        <w:adjustRightInd w:val="0"/>
        <w:snapToGrid w:val="0"/>
        <w:spacing w:line="560" w:lineRule="exact"/>
        <w:outlineLvl w:val="0"/>
        <w:rPr>
          <w:rFonts w:hint="default" w:ascii="TimesNewRoman" w:hAnsi="TimesNewRoman" w:eastAsia="黑体" w:cs="TimesNewRoman"/>
          <w:sz w:val="36"/>
          <w:szCs w:val="36"/>
        </w:rPr>
      </w:pPr>
    </w:p>
    <w:p w14:paraId="69A4D9B3">
      <w:pPr>
        <w:keepNext w:val="0"/>
        <w:keepLines w:val="0"/>
        <w:pageBreakBefore w:val="0"/>
        <w:tabs>
          <w:tab w:val="left" w:pos="3316"/>
        </w:tabs>
        <w:kinsoku/>
        <w:overflowPunct/>
        <w:topLinePunct w:val="0"/>
        <w:autoSpaceDE/>
        <w:autoSpaceDN/>
        <w:bidi w:val="0"/>
        <w:adjustRightInd w:val="0"/>
        <w:snapToGrid w:val="0"/>
        <w:spacing w:line="560" w:lineRule="exact"/>
        <w:outlineLvl w:val="0"/>
        <w:rPr>
          <w:rFonts w:hint="default" w:ascii="TimesNewRoman" w:hAnsi="TimesNewRoman" w:eastAsia="黑体" w:cs="TimesNewRoman"/>
          <w:sz w:val="36"/>
          <w:szCs w:val="36"/>
        </w:rPr>
      </w:pPr>
    </w:p>
    <w:p w14:paraId="07E7FADE">
      <w:pPr>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sz w:val="36"/>
          <w:szCs w:val="36"/>
        </w:rPr>
      </w:pPr>
    </w:p>
    <w:p w14:paraId="25006968">
      <w:pPr>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sz w:val="36"/>
          <w:szCs w:val="36"/>
        </w:rPr>
      </w:pPr>
    </w:p>
    <w:p w14:paraId="13EA3FBB">
      <w:pPr>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sz w:val="36"/>
          <w:szCs w:val="36"/>
        </w:rPr>
      </w:pPr>
    </w:p>
    <w:p w14:paraId="7859FC74">
      <w:pPr>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sz w:val="36"/>
          <w:szCs w:val="36"/>
        </w:rPr>
      </w:pPr>
    </w:p>
    <w:p w14:paraId="748C9FD2">
      <w:pPr>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sz w:val="36"/>
          <w:szCs w:val="36"/>
        </w:rPr>
      </w:pPr>
    </w:p>
    <w:p w14:paraId="04EC3D6B">
      <w:pPr>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sz w:val="36"/>
          <w:szCs w:val="36"/>
        </w:rPr>
      </w:pPr>
      <w:r>
        <w:rPr>
          <w:rFonts w:hint="default" w:ascii="TimesNewRoman" w:hAnsi="TimesNewRoman" w:eastAsia="黑体" w:cs="TimesNewRoman"/>
          <w:sz w:val="36"/>
          <w:szCs w:val="36"/>
        </w:rPr>
        <w:t>第四部分 名词解释</w:t>
      </w:r>
    </w:p>
    <w:p w14:paraId="63886EA8">
      <w:pPr>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szCs w:val="32"/>
        </w:rPr>
      </w:pPr>
    </w:p>
    <w:p w14:paraId="75499F43">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一、财政拨款收入：</w:t>
      </w:r>
      <w:r>
        <w:rPr>
          <w:rFonts w:hint="default" w:ascii="FangSong_GB2312" w:hAnsi="FangSong_GB2312" w:eastAsia="FangSong_GB2312"/>
          <w:sz w:val="32"/>
          <w:szCs w:val="24"/>
        </w:rPr>
        <w:t>指部门或单位从同级财政部门取得的财政预算资金。</w:t>
      </w:r>
    </w:p>
    <w:p w14:paraId="6F8B3521">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二、基本支出：</w:t>
      </w:r>
      <w:r>
        <w:rPr>
          <w:rFonts w:hint="default" w:ascii="FangSong_GB2312" w:hAnsi="FangSong_GB2312" w:eastAsia="FangSong_GB2312"/>
          <w:sz w:val="32"/>
          <w:szCs w:val="24"/>
        </w:rPr>
        <w:t>指为保障机构正常运转、完成日常工作任务而发生的人员支出和公用支出。</w:t>
      </w:r>
    </w:p>
    <w:p w14:paraId="712933B1">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三、项目支出：</w:t>
      </w:r>
      <w:r>
        <w:rPr>
          <w:rFonts w:hint="default" w:ascii="FangSong_GB2312" w:hAnsi="FangSong_GB2312" w:eastAsia="FangSong_GB2312"/>
          <w:sz w:val="32"/>
          <w:szCs w:val="24"/>
        </w:rPr>
        <w:t>指在除基本支出之外的支出，主要用于完成特定的工作任务和事业发展目标。</w:t>
      </w:r>
    </w:p>
    <w:p w14:paraId="69C80CA0">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四、机关运行经费：</w:t>
      </w:r>
      <w:r>
        <w:rPr>
          <w:rFonts w:hint="default" w:ascii="FangSong_GB2312" w:hAnsi="FangSong_GB2312" w:eastAsia="FangSong_GB2312"/>
          <w:sz w:val="32"/>
          <w:szCs w:val="24"/>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2BED81FB">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五、科学技术支出(类)科学技术管理事务(款)行政运行：</w:t>
      </w:r>
      <w:r>
        <w:rPr>
          <w:rFonts w:hint="default" w:ascii="FangSong_GB2312" w:hAnsi="FangSong_GB2312" w:eastAsia="FangSong_GB2312"/>
          <w:sz w:val="32"/>
          <w:szCs w:val="24"/>
        </w:rPr>
        <w:t>反映行政单位(包括实行公务员管理的事业单位)的基本支出。</w:t>
      </w:r>
    </w:p>
    <w:p w14:paraId="6D6928B7">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六、科学技术支出(类)科学技术管理事务(款)一般行政管理事务：</w:t>
      </w:r>
      <w:r>
        <w:rPr>
          <w:rFonts w:hint="default" w:ascii="FangSong_GB2312" w:hAnsi="FangSong_GB2312" w:eastAsia="FangSong_GB2312"/>
          <w:sz w:val="32"/>
          <w:szCs w:val="24"/>
        </w:rPr>
        <w:t>反映行政单位(包括实行公务员管理的事业单位)未单独设置项级科目的其他项目支出。</w:t>
      </w:r>
    </w:p>
    <w:p w14:paraId="3D779654">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七、社会保障和就业支出(类)行政事业单位养老支出(款)机关事业单位基本养老保险缴费支出：</w:t>
      </w:r>
      <w:r>
        <w:rPr>
          <w:rFonts w:hint="default" w:ascii="FangSong_GB2312" w:hAnsi="FangSong_GB2312" w:eastAsia="FangSong_GB2312"/>
          <w:sz w:val="32"/>
          <w:szCs w:val="24"/>
        </w:rPr>
        <w:t>反映机关事业单位实施养老保险制度由单位缴纳的基本养老保险费支出。</w:t>
      </w:r>
    </w:p>
    <w:p w14:paraId="145C019D">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八、社会保障和就业支出(类)行政事业单位养老支出(款)机关事业单位职业年金缴费支出：</w:t>
      </w:r>
      <w:r>
        <w:rPr>
          <w:rFonts w:hint="default" w:ascii="FangSong_GB2312" w:hAnsi="FangSong_GB2312" w:eastAsia="FangSong_GB2312"/>
          <w:sz w:val="32"/>
          <w:szCs w:val="24"/>
        </w:rPr>
        <w:t>反映机关事业单位实施养老保险制度由单位实际缴纳的职业年金支出(含职业年金补记支出)。</w:t>
      </w:r>
    </w:p>
    <w:p w14:paraId="2B46A355">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九、社会保障和就业支出(类)其他社会保障和就业支出(款)其他社会保障和就业支出：</w:t>
      </w:r>
      <w:r>
        <w:rPr>
          <w:rFonts w:hint="default" w:ascii="FangSong_GB2312" w:hAnsi="FangSong_GB2312" w:eastAsia="FangSong_GB2312"/>
          <w:sz w:val="32"/>
          <w:szCs w:val="24"/>
        </w:rPr>
        <w:t>反映除上述项目以外其他用于社会保障和就业方面的支出。</w:t>
      </w:r>
    </w:p>
    <w:p w14:paraId="71B3C75A">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十、卫生健康支出(类)行政事业单位医疗(款)行政单位医疗：</w:t>
      </w:r>
      <w:r>
        <w:rPr>
          <w:rFonts w:hint="default" w:ascii="FangSong_GB2312" w:hAnsi="FangSong_GB2312" w:eastAsia="FangSong_GB2312"/>
          <w:sz w:val="32"/>
          <w:szCs w:val="24"/>
        </w:rPr>
        <w:t>反映财政部门安排的行政单位(包括实行公务员管理的事业单位，下同)基本医疗保险缴费经费，未参加医疗保险的行政单位的公费医疗经费，按国家规定享受离休人员、红军老战士待遇人员的医疗经费。</w:t>
      </w:r>
    </w:p>
    <w:p w14:paraId="1260A9B8">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十一、卫生健康支出(类)行政事业单位医疗(款)公务员医疗补助：</w:t>
      </w:r>
      <w:r>
        <w:rPr>
          <w:rFonts w:hint="default" w:ascii="FangSong_GB2312" w:hAnsi="FangSong_GB2312" w:eastAsia="FangSong_GB2312"/>
          <w:sz w:val="32"/>
          <w:szCs w:val="24"/>
        </w:rPr>
        <w:t>反映财政部门安排的公务员医疗补助经费。</w:t>
      </w:r>
    </w:p>
    <w:p w14:paraId="7CCBEDFD">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十二、住房保障支出(类)住房改革支出(款)住房公积金：</w:t>
      </w:r>
      <w:r>
        <w:rPr>
          <w:rFonts w:hint="default" w:ascii="FangSong_GB2312" w:hAnsi="FangSong_GB2312" w:eastAsia="FangSong_GB2312"/>
          <w:sz w:val="32"/>
          <w:szCs w:val="24"/>
        </w:rPr>
        <w:t>反映行政事业单位按人力资源和社会保障部、财政部规定的基本工资和津贴补贴以及规定比例为职工缴纳的住房公积金。</w:t>
      </w:r>
    </w:p>
    <w:p w14:paraId="3AB8D6EE">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十三、住房保障支出(类)住房改革支出(款)提租补贴：</w:t>
      </w:r>
      <w:r>
        <w:rPr>
          <w:rFonts w:hint="default" w:ascii="FangSong_GB2312" w:hAnsi="FangSong_GB2312" w:eastAsia="FangSong_GB2312"/>
          <w:sz w:val="32"/>
          <w:szCs w:val="24"/>
        </w:rPr>
        <w:t>反映按房改政策规定的标准，行政事业单位向职工(含离退休人员)发放的租金补贴。</w:t>
      </w:r>
    </w:p>
    <w:p w14:paraId="6C708FB2">
      <w:pPr>
        <w:spacing w:before="400" w:beforeLines="0" w:after="400" w:afterLines="0" w:line="320" w:lineRule="atLeast"/>
        <w:jc w:val="both"/>
        <w:rPr>
          <w:rFonts w:hint="default" w:ascii="FangSong_GB2312" w:hAnsi="FangSong_GB2312" w:eastAsia="FangSong_GB2312"/>
          <w:sz w:val="32"/>
          <w:szCs w:val="24"/>
        </w:rPr>
      </w:pPr>
    </w:p>
    <w:p w14:paraId="6083BF84">
      <w:pPr>
        <w:spacing w:beforeLines="0" w:afterLines="0"/>
        <w:jc w:val="both"/>
        <w:rPr>
          <w:rFonts w:hint="default" w:ascii="FangSong_GB2312" w:hAnsi="FangSong_GB2312" w:eastAsia="FangSong_GB2312"/>
          <w:sz w:val="32"/>
          <w:szCs w:val="24"/>
        </w:rPr>
      </w:pPr>
      <w:r>
        <w:rPr>
          <w:rFonts w:hint="default" w:ascii="FangSong_GB2312" w:hAnsi="FangSong_GB2312" w:eastAsia="FangSong_GB2312"/>
          <w:b/>
          <w:sz w:val="32"/>
          <w:szCs w:val="24"/>
        </w:rPr>
        <w:t>附件：</w:t>
      </w:r>
      <w:r>
        <w:rPr>
          <w:rFonts w:hint="default" w:ascii="FangSong_GB2312" w:hAnsi="FangSong_GB2312" w:eastAsia="FangSong_GB2312"/>
          <w:sz w:val="32"/>
          <w:szCs w:val="24"/>
        </w:rPr>
        <w:t>淮北市相山区数据资源管理局2026年度项目支出绩效目标</w:t>
      </w:r>
    </w:p>
    <w:p w14:paraId="085F428F">
      <w:pPr>
        <w:spacing w:beforeLines="0" w:afterLines="0"/>
        <w:jc w:val="both"/>
        <w:rPr>
          <w:rFonts w:hint="default" w:ascii="FangSong_GB2312" w:hAnsi="FangSong_GB2312" w:eastAsia="FangSong_GB2312"/>
          <w:sz w:val="32"/>
          <w:szCs w:val="24"/>
        </w:rPr>
        <w:sectPr>
          <w:pgSz w:w="11907" w:h="16840"/>
          <w:pgMar w:top="1400" w:right="1700" w:bottom="1400" w:left="1700" w:header="720" w:footer="720" w:gutter="0"/>
          <w:lnNumType w:countBy="0" w:distance="360"/>
          <w:cols w:space="720" w:num="1"/>
        </w:sectPr>
      </w:pPr>
    </w:p>
    <w:p w14:paraId="11C94281">
      <w:pPr>
        <w:spacing w:before="400" w:beforeLines="0" w:after="200" w:afterLines="0" w:line="320" w:lineRule="atLeast"/>
        <w:jc w:val="both"/>
        <w:rPr>
          <w:rFonts w:hint="default" w:ascii="FangSong_GB2312" w:hAnsi="FangSong_GB2312" w:eastAsia="FangSong_GB2312"/>
          <w:sz w:val="32"/>
          <w:szCs w:val="24"/>
        </w:rPr>
      </w:pPr>
      <w:r>
        <w:rPr>
          <w:rFonts w:hint="default" w:ascii="FangSong_GB2312" w:hAnsi="FangSong_GB2312" w:eastAsia="FangSong_GB2312"/>
          <w:sz w:val="32"/>
          <w:szCs w:val="24"/>
        </w:rPr>
        <w:t>附件</w:t>
      </w:r>
    </w:p>
    <w:p w14:paraId="3D2BB55E">
      <w:pPr>
        <w:spacing w:before="400" w:beforeLines="0" w:after="200" w:afterLines="0" w:line="320" w:lineRule="atLeast"/>
        <w:jc w:val="center"/>
        <w:rPr>
          <w:rFonts w:hint="default" w:ascii="FangSong_GB2312" w:hAnsi="FangSong_GB2312" w:eastAsia="FangSong_GB2312"/>
          <w:sz w:val="36"/>
          <w:szCs w:val="24"/>
        </w:rPr>
      </w:pPr>
      <w:r>
        <w:rPr>
          <w:rFonts w:hint="default" w:ascii="FangSong_GB2312" w:hAnsi="FangSong_GB2312" w:eastAsia="FangSong_GB2312"/>
          <w:b/>
          <w:sz w:val="36"/>
          <w:szCs w:val="24"/>
        </w:rPr>
        <w:t>淮北市相山区数据资源管理局2026年度项目支出绩效目标</w:t>
      </w:r>
    </w:p>
    <w:p w14:paraId="2D27DC16">
      <w:pPr>
        <w:spacing w:before="400" w:beforeLines="0" w:after="200" w:afterLines="0" w:line="320" w:lineRule="atLeast"/>
        <w:jc w:val="center"/>
        <w:rPr>
          <w:rFonts w:hint="default" w:ascii="FangSong_GB2312" w:hAnsi="FangSong_GB2312" w:eastAsia="FangSong_GB2312"/>
          <w:sz w:val="36"/>
          <w:szCs w:val="24"/>
        </w:rPr>
      </w:pPr>
    </w:p>
    <w:tbl>
      <w:tblPr>
        <w:tblStyle w:val="4"/>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20"/>
        <w:gridCol w:w="5529"/>
        <w:gridCol w:w="1956"/>
      </w:tblGrid>
      <w:tr w14:paraId="18E1AB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1C5379">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b/>
                <w:sz w:val="32"/>
                <w:szCs w:val="24"/>
              </w:rPr>
              <w:t>项目支出绩效目标公开清单</w:t>
            </w:r>
          </w:p>
        </w:tc>
      </w:tr>
      <w:tr w14:paraId="5CEDEE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F3BD4E">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b/>
                <w:sz w:val="32"/>
                <w:szCs w:val="24"/>
              </w:rPr>
              <w:t>序号</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D4DDE2">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b/>
                <w:sz w:val="32"/>
                <w:szCs w:val="24"/>
              </w:rPr>
              <w:t>项目名称</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DE6F8B">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b/>
                <w:sz w:val="32"/>
                <w:szCs w:val="24"/>
              </w:rPr>
              <w:t>预算金额（单位：万元）</w:t>
            </w:r>
          </w:p>
        </w:tc>
      </w:tr>
      <w:tr w14:paraId="2C8C12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0CCBEF">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1</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36F199">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体检费</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D709E9">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2.9</w:t>
            </w:r>
          </w:p>
        </w:tc>
      </w:tr>
      <w:tr w14:paraId="741AF0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54CA00">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2</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CED9DE">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工会补贴</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9CE3F3">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7.2</w:t>
            </w:r>
          </w:p>
        </w:tc>
      </w:tr>
      <w:tr w14:paraId="12D961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586E58">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3</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EC897D">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乡村振兴下派干部补助</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4BBCCC">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3.83</w:t>
            </w:r>
          </w:p>
        </w:tc>
      </w:tr>
      <w:tr w14:paraId="3B78E0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EC7FC2">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4</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C982FB">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政务服务中心管理</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3C5458">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55</w:t>
            </w:r>
          </w:p>
        </w:tc>
      </w:tr>
      <w:tr w14:paraId="423230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02F6FE">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5</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A3B838">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工作经费</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24F645">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7.5</w:t>
            </w:r>
          </w:p>
        </w:tc>
      </w:tr>
      <w:tr w14:paraId="072258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4AC376">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6</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FF757A">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劳务派遣人员工资</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61DB78">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43</w:t>
            </w:r>
          </w:p>
        </w:tc>
      </w:tr>
    </w:tbl>
    <w:p w14:paraId="710492C5">
      <w:pPr>
        <w:spacing w:beforeLines="0" w:afterLines="0"/>
        <w:rPr>
          <w:rFonts w:hint="default" w:ascii="FangSong_GB2312" w:hAnsi="FangSong_GB2312" w:eastAsia="FangSong_GB2312"/>
          <w:sz w:val="32"/>
          <w:szCs w:val="24"/>
        </w:rPr>
      </w:pPr>
    </w:p>
    <w:p w14:paraId="525C37E7">
      <w:pPr>
        <w:spacing w:beforeLines="0" w:afterLines="0"/>
        <w:rPr>
          <w:rFonts w:hint="default" w:ascii="FangSong_GB2312" w:hAnsi="FangSong_GB2312" w:eastAsia="FangSong_GB2312"/>
          <w:sz w:val="32"/>
          <w:szCs w:val="24"/>
        </w:rPr>
      </w:pPr>
    </w:p>
    <w:p w14:paraId="337B09EE">
      <w:pPr>
        <w:spacing w:beforeLines="0" w:afterLines="0"/>
        <w:rPr>
          <w:rFonts w:hint="default" w:ascii="FangSong_GB2312" w:hAnsi="FangSong_GB2312" w:eastAsia="FangSong_GB2312"/>
          <w:sz w:val="32"/>
          <w:szCs w:val="24"/>
        </w:rPr>
      </w:pPr>
    </w:p>
    <w:p w14:paraId="562DA2D9">
      <w:pPr>
        <w:spacing w:beforeLines="0" w:afterLines="0"/>
        <w:rPr>
          <w:rFonts w:hint="default" w:ascii="FangSong_GB2312" w:hAnsi="FangSong_GB2312" w:eastAsia="FangSong_GB2312"/>
          <w:sz w:val="32"/>
          <w:szCs w:val="24"/>
        </w:rPr>
      </w:pPr>
    </w:p>
    <w:p w14:paraId="5F67409B">
      <w:pPr>
        <w:spacing w:beforeLines="0" w:afterLines="0"/>
        <w:rPr>
          <w:rFonts w:hint="default" w:ascii="FangSong_GB2312" w:hAnsi="FangSong_GB2312" w:eastAsia="FangSong_GB2312"/>
          <w:sz w:val="32"/>
          <w:szCs w:val="24"/>
        </w:rPr>
      </w:pPr>
    </w:p>
    <w:p w14:paraId="763B7A07">
      <w:pPr>
        <w:spacing w:beforeLines="0" w:afterLines="0"/>
        <w:rPr>
          <w:rFonts w:hint="default" w:ascii="FangSong_GB2312" w:hAnsi="FangSong_GB2312" w:eastAsia="FangSong_GB2312"/>
          <w:sz w:val="32"/>
          <w:szCs w:val="24"/>
        </w:rPr>
      </w:pPr>
    </w:p>
    <w:p w14:paraId="5DA80F1F">
      <w:pPr>
        <w:spacing w:beforeLines="0" w:afterLines="0"/>
        <w:rPr>
          <w:rFonts w:hint="default" w:ascii="FangSong_GB2312" w:hAnsi="FangSong_GB2312" w:eastAsia="FangSong_GB2312"/>
          <w:sz w:val="32"/>
          <w:szCs w:val="24"/>
        </w:rPr>
      </w:pPr>
    </w:p>
    <w:p w14:paraId="339705CC">
      <w:pPr>
        <w:spacing w:beforeLines="0" w:afterLines="0"/>
        <w:rPr>
          <w:rFonts w:hint="default" w:ascii="FangSong_GB2312" w:hAnsi="FangSong_GB2312" w:eastAsia="FangSong_GB2312"/>
          <w:sz w:val="32"/>
          <w:szCs w:val="24"/>
        </w:rPr>
      </w:pPr>
    </w:p>
    <w:p w14:paraId="561A1275">
      <w:pPr>
        <w:spacing w:beforeLines="0" w:afterLines="0"/>
        <w:rPr>
          <w:rFonts w:hint="default" w:ascii="FangSong_GB2312" w:hAnsi="FangSong_GB2312" w:eastAsia="FangSong_GB2312"/>
          <w:sz w:val="32"/>
          <w:szCs w:val="24"/>
        </w:rPr>
      </w:pPr>
    </w:p>
    <w:p w14:paraId="637B96CB">
      <w:pPr>
        <w:spacing w:beforeLines="0" w:afterLines="0"/>
        <w:rPr>
          <w:rFonts w:hint="default" w:ascii="FangSong_GB2312" w:hAnsi="FangSong_GB2312" w:eastAsia="FangSong_GB2312"/>
          <w:sz w:val="32"/>
          <w:szCs w:val="24"/>
        </w:rPr>
      </w:pPr>
    </w:p>
    <w:p w14:paraId="6FD74121">
      <w:pPr>
        <w:spacing w:beforeLines="0" w:afterLines="0"/>
        <w:rPr>
          <w:rFonts w:hint="default" w:ascii="FangSong_GB2312" w:hAnsi="FangSong_GB2312" w:eastAsia="FangSong_GB2312"/>
          <w:sz w:val="32"/>
          <w:szCs w:val="24"/>
        </w:rPr>
      </w:pPr>
    </w:p>
    <w:p w14:paraId="43C1F650">
      <w:pPr>
        <w:spacing w:beforeLines="0" w:afterLines="0"/>
        <w:rPr>
          <w:rFonts w:hint="default" w:ascii="FangSong_GB2312" w:hAnsi="FangSong_GB2312" w:eastAsia="FangSong_GB2312"/>
          <w:sz w:val="32"/>
          <w:szCs w:val="24"/>
        </w:rPr>
      </w:pPr>
    </w:p>
    <w:p w14:paraId="4CF66515">
      <w:pPr>
        <w:spacing w:beforeLines="0" w:afterLines="0"/>
        <w:rPr>
          <w:rFonts w:hint="default" w:ascii="FangSong_GB2312" w:hAnsi="FangSong_GB2312" w:eastAsia="FangSong_GB2312"/>
          <w:sz w:val="32"/>
          <w:szCs w:val="24"/>
        </w:rPr>
      </w:pPr>
    </w:p>
    <w:p w14:paraId="3D838B61">
      <w:pPr>
        <w:spacing w:beforeLines="0" w:afterLines="0"/>
        <w:rPr>
          <w:rFonts w:hint="default" w:ascii="FangSong_GB2312" w:hAnsi="FangSong_GB2312" w:eastAsia="FangSong_GB2312"/>
          <w:sz w:val="32"/>
          <w:szCs w:val="24"/>
        </w:rPr>
      </w:pPr>
    </w:p>
    <w:p w14:paraId="72D46370">
      <w:pPr>
        <w:spacing w:beforeLines="0" w:afterLines="0"/>
        <w:rPr>
          <w:rFonts w:hint="default" w:ascii="FangSong_GB2312" w:hAnsi="FangSong_GB2312" w:eastAsia="FangSong_GB2312"/>
          <w:sz w:val="32"/>
          <w:szCs w:val="24"/>
        </w:rPr>
      </w:pPr>
    </w:p>
    <w:p w14:paraId="0DB631DB">
      <w:pPr>
        <w:spacing w:beforeLines="0" w:afterLines="0"/>
        <w:rPr>
          <w:rFonts w:hint="default" w:ascii="FangSong_GB2312" w:hAnsi="FangSong_GB2312" w:eastAsia="FangSong_GB2312"/>
          <w:sz w:val="32"/>
          <w:szCs w:val="24"/>
        </w:rPr>
      </w:pPr>
    </w:p>
    <w:p w14:paraId="749EC93F">
      <w:pPr>
        <w:spacing w:beforeLines="0" w:afterLines="0"/>
        <w:rPr>
          <w:rFonts w:hint="default" w:ascii="FangSong_GB2312" w:hAnsi="FangSong_GB2312" w:eastAsia="FangSong_GB2312"/>
          <w:sz w:val="32"/>
          <w:szCs w:val="24"/>
        </w:rPr>
      </w:pPr>
    </w:p>
    <w:tbl>
      <w:tblPr>
        <w:tblStyle w:val="4"/>
        <w:tblW w:w="850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50"/>
        <w:gridCol w:w="850"/>
        <w:gridCol w:w="850"/>
        <w:gridCol w:w="850"/>
        <w:gridCol w:w="1700"/>
        <w:gridCol w:w="850"/>
        <w:gridCol w:w="850"/>
        <w:gridCol w:w="850"/>
        <w:gridCol w:w="850"/>
      </w:tblGrid>
      <w:tr w14:paraId="5E65AA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5E922FD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项目支出绩效目标表</w:t>
            </w:r>
          </w:p>
        </w:tc>
      </w:tr>
      <w:tr w14:paraId="30DB16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65EBAB4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（2026年度）</w:t>
            </w:r>
          </w:p>
        </w:tc>
      </w:tr>
      <w:tr w14:paraId="7FA9EC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4E612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5950"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A7154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体检费</w:t>
            </w:r>
          </w:p>
        </w:tc>
      </w:tr>
      <w:tr w14:paraId="6CFEB5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5B3643F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主管部门及代码</w:t>
            </w:r>
          </w:p>
        </w:tc>
        <w:tc>
          <w:tcPr>
            <w:tcW w:w="255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36922A3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[171]淮北市相山区数据资源管理局</w:t>
            </w:r>
          </w:p>
        </w:tc>
        <w:tc>
          <w:tcPr>
            <w:tcW w:w="170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4971F43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170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6BFF9A9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淮北市相山区数据资源管理局（相山区政务服务管理局）</w:t>
            </w:r>
          </w:p>
        </w:tc>
      </w:tr>
      <w:tr w14:paraId="1320F4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4089A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项目来源</w:t>
            </w: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90700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本级申报项目</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8D032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资金投向领域</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A705DF">
            <w:pPr>
              <w:spacing w:beforeLines="0" w:afterLines="0"/>
              <w:jc w:val="center"/>
              <w:rPr>
                <w:rFonts w:hint="default"/>
                <w:sz w:val="24"/>
                <w:szCs w:val="24"/>
              </w:rPr>
            </w:pPr>
          </w:p>
        </w:tc>
      </w:tr>
      <w:tr w14:paraId="7FB89B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494BC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3AA91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1年</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00B11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其中：建设期限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997150">
            <w:pPr>
              <w:spacing w:beforeLines="0" w:afterLines="0"/>
              <w:jc w:val="center"/>
              <w:rPr>
                <w:rFonts w:hint="default"/>
                <w:sz w:val="24"/>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889E8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运营期限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3CEA72">
            <w:pPr>
              <w:spacing w:beforeLines="0" w:afterLines="0"/>
              <w:jc w:val="center"/>
              <w:rPr>
                <w:rFonts w:hint="default"/>
                <w:sz w:val="24"/>
                <w:szCs w:val="24"/>
              </w:rPr>
            </w:pPr>
          </w:p>
        </w:tc>
      </w:tr>
      <w:tr w14:paraId="623B9D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91BC0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w:t>
            </w:r>
          </w:p>
          <w:p w14:paraId="7CB6ABF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（万元）</w:t>
            </w: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84FE66">
            <w:pPr>
              <w:spacing w:beforeLines="0" w:afterLines="0" w:line="320" w:lineRule="atLeast"/>
              <w:rPr>
                <w:rFonts w:hint="default" w:ascii="宋体" w:hAnsi="宋体" w:eastAsia="宋体"/>
                <w:sz w:val="20"/>
                <w:szCs w:val="24"/>
              </w:rPr>
            </w:pPr>
            <w:r>
              <w:rPr>
                <w:rFonts w:hint="default" w:ascii="宋体" w:hAnsi="宋体" w:eastAsia="宋体"/>
                <w:sz w:val="20"/>
                <w:szCs w:val="24"/>
              </w:rPr>
              <w:t>年度资金总额：</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E16446">
            <w:pPr>
              <w:spacing w:beforeLines="0" w:afterLines="0" w:line="320" w:lineRule="atLeast"/>
              <w:rPr>
                <w:rFonts w:hint="default" w:ascii="宋体" w:hAnsi="宋体" w:eastAsia="宋体"/>
                <w:sz w:val="20"/>
                <w:szCs w:val="24"/>
              </w:rPr>
            </w:pPr>
            <w:r>
              <w:rPr>
                <w:rFonts w:hint="default" w:ascii="宋体" w:hAnsi="宋体" w:eastAsia="宋体"/>
                <w:sz w:val="20"/>
                <w:szCs w:val="24"/>
              </w:rPr>
              <w:t>2.90</w:t>
            </w:r>
          </w:p>
        </w:tc>
      </w:tr>
      <w:tr w14:paraId="236654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D7D398">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E0797B">
            <w:pPr>
              <w:spacing w:beforeLines="0" w:afterLines="0" w:line="320" w:lineRule="atLeast"/>
              <w:rPr>
                <w:rFonts w:hint="default" w:ascii="宋体" w:hAnsi="宋体" w:eastAsia="宋体"/>
                <w:sz w:val="20"/>
                <w:szCs w:val="24"/>
              </w:rPr>
            </w:pPr>
            <w:r>
              <w:rPr>
                <w:rFonts w:hint="default" w:ascii="宋体" w:hAnsi="宋体" w:eastAsia="宋体"/>
                <w:sz w:val="20"/>
                <w:szCs w:val="24"/>
              </w:rPr>
              <w:t>其中：财政拨款</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464B51">
            <w:pPr>
              <w:spacing w:beforeLines="0" w:afterLines="0" w:line="320" w:lineRule="atLeast"/>
              <w:rPr>
                <w:rFonts w:hint="default" w:ascii="宋体" w:hAnsi="宋体" w:eastAsia="宋体"/>
                <w:sz w:val="20"/>
                <w:szCs w:val="24"/>
              </w:rPr>
            </w:pPr>
            <w:r>
              <w:rPr>
                <w:rFonts w:hint="default" w:ascii="宋体" w:hAnsi="宋体" w:eastAsia="宋体"/>
                <w:sz w:val="20"/>
                <w:szCs w:val="24"/>
              </w:rPr>
              <w:t>2.90</w:t>
            </w:r>
          </w:p>
        </w:tc>
      </w:tr>
      <w:tr w14:paraId="20B068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4F1A5A">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944828">
            <w:pPr>
              <w:spacing w:beforeLines="0" w:afterLines="0" w:line="320" w:lineRule="atLeast"/>
              <w:rPr>
                <w:rFonts w:hint="default" w:ascii="宋体" w:hAnsi="宋体" w:eastAsia="宋体"/>
                <w:sz w:val="20"/>
                <w:szCs w:val="24"/>
              </w:rPr>
            </w:pPr>
            <w:r>
              <w:rPr>
                <w:rFonts w:hint="default" w:ascii="宋体" w:hAnsi="宋体" w:eastAsia="宋体"/>
                <w:sz w:val="20"/>
                <w:szCs w:val="24"/>
              </w:rPr>
              <w:t>专项债券</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5E8200">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5BAC5F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98BA65">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D5CD70">
            <w:pPr>
              <w:spacing w:beforeLines="0" w:afterLines="0" w:line="320" w:lineRule="atLeast"/>
              <w:rPr>
                <w:rFonts w:hint="default" w:ascii="宋体" w:hAnsi="宋体" w:eastAsia="宋体"/>
                <w:sz w:val="20"/>
                <w:szCs w:val="24"/>
              </w:rPr>
            </w:pPr>
            <w:r>
              <w:rPr>
                <w:rFonts w:hint="default" w:ascii="宋体" w:hAnsi="宋体" w:eastAsia="宋体"/>
                <w:sz w:val="20"/>
                <w:szCs w:val="24"/>
              </w:rPr>
              <w:t>上年结转</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4CF72A">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48B44B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9D7A7C">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8062AA">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BFA1F7">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30AD24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9AE2F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w:t>
            </w:r>
          </w:p>
          <w:p w14:paraId="774C4C9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目标</w:t>
            </w:r>
          </w:p>
        </w:tc>
        <w:tc>
          <w:tcPr>
            <w:tcW w:w="7650"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50E927">
            <w:pPr>
              <w:spacing w:beforeLines="0" w:afterLines="0" w:line="320" w:lineRule="atLeast"/>
              <w:rPr>
                <w:rFonts w:hint="default" w:ascii="宋体" w:hAnsi="宋体" w:eastAsia="宋体"/>
                <w:sz w:val="20"/>
                <w:szCs w:val="24"/>
              </w:rPr>
            </w:pPr>
            <w:r>
              <w:rPr>
                <w:rFonts w:hint="default" w:ascii="宋体" w:hAnsi="宋体" w:eastAsia="宋体"/>
                <w:sz w:val="20"/>
                <w:szCs w:val="24"/>
              </w:rPr>
              <w:t>年中完成项目的100％</w:t>
            </w:r>
          </w:p>
        </w:tc>
      </w:tr>
      <w:tr w14:paraId="1B90B3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D37A2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w:t>
            </w:r>
          </w:p>
          <w:p w14:paraId="008F6D3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w:t>
            </w:r>
          </w:p>
          <w:p w14:paraId="64690CC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w:t>
            </w:r>
          </w:p>
          <w:p w14:paraId="166530A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标</w:t>
            </w:r>
          </w:p>
        </w:tc>
        <w:tc>
          <w:tcPr>
            <w:tcW w:w="850" w:type="dxa"/>
            <w:tcBorders>
              <w:top w:val="single" w:color="000000" w:sz="4" w:space="0"/>
              <w:left w:val="nil"/>
              <w:bottom w:val="single" w:color="000000" w:sz="4" w:space="0"/>
              <w:right w:val="nil"/>
              <w:tl2br w:val="nil"/>
              <w:tr2bl w:val="nil"/>
            </w:tcBorders>
            <w:shd w:val="clear" w:color="auto" w:fill="FFFFFF"/>
            <w:noWrap w:val="0"/>
            <w:vAlign w:val="center"/>
          </w:tcPr>
          <w:p w14:paraId="19A5076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w:t>
            </w:r>
          </w:p>
          <w:p w14:paraId="13E5101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5D5EC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746BD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2E232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指标值</w:t>
            </w:r>
          </w:p>
        </w:tc>
      </w:tr>
      <w:tr w14:paraId="459D39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A062F9">
            <w:pPr>
              <w:spacing w:beforeLines="0" w:afterLines="0"/>
              <w:rPr>
                <w:rFonts w:hint="default" w:ascii="宋体" w:hAnsi="宋体" w:eastAsia="宋体"/>
                <w:sz w:val="20"/>
                <w:szCs w:val="24"/>
              </w:rPr>
            </w:pPr>
          </w:p>
        </w:tc>
        <w:tc>
          <w:tcPr>
            <w:tcW w:w="850" w:type="dxa"/>
            <w:vMerge w:val="restart"/>
            <w:tcBorders>
              <w:top w:val="single" w:color="000000" w:sz="4" w:space="0"/>
              <w:left w:val="nil"/>
              <w:bottom w:val="single" w:color="000000" w:sz="4" w:space="0"/>
              <w:right w:val="nil"/>
              <w:tl2br w:val="nil"/>
              <w:tr2bl w:val="nil"/>
            </w:tcBorders>
            <w:shd w:val="clear" w:color="auto" w:fill="FFFFFF"/>
            <w:noWrap w:val="0"/>
            <w:vAlign w:val="center"/>
          </w:tcPr>
          <w:p w14:paraId="3CE3724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10BC9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BF9D9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项目金额</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99E16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29000元</w:t>
            </w:r>
          </w:p>
        </w:tc>
      </w:tr>
      <w:tr w14:paraId="245D5B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58FA11">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09404061">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FD5E2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B268C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完成质量</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E38F6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62E753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4BC676">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6100EF24">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1A6A7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08174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完成时效</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E6039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6C460D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D31E61">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5D32A636">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15C3D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F600D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完成成本</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AD7BD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29000元</w:t>
            </w:r>
          </w:p>
        </w:tc>
      </w:tr>
      <w:tr w14:paraId="662155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EDA4CB">
            <w:pPr>
              <w:spacing w:beforeLines="0" w:afterLines="0"/>
              <w:rPr>
                <w:rFonts w:hint="default" w:ascii="宋体" w:hAnsi="宋体" w:eastAsia="宋体"/>
                <w:sz w:val="20"/>
                <w:szCs w:val="24"/>
              </w:rPr>
            </w:pPr>
          </w:p>
        </w:tc>
        <w:tc>
          <w:tcPr>
            <w:tcW w:w="850" w:type="dxa"/>
            <w:vMerge w:val="restart"/>
            <w:tcBorders>
              <w:top w:val="single" w:color="000000" w:sz="4" w:space="0"/>
              <w:left w:val="nil"/>
              <w:bottom w:val="single" w:color="000000" w:sz="4" w:space="0"/>
              <w:right w:val="nil"/>
              <w:tl2br w:val="nil"/>
              <w:tr2bl w:val="nil"/>
            </w:tcBorders>
            <w:shd w:val="clear" w:color="auto" w:fill="FFFFFF"/>
            <w:noWrap w:val="0"/>
            <w:vAlign w:val="center"/>
          </w:tcPr>
          <w:p w14:paraId="7B13A7B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53FCD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ABB08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7E737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089F7C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A36BCC">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3FC7AAE1">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834B4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05C29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F96ED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791BF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692CAE">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64895ED1">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0AC77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45950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33CA9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482FE9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56029E">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6A87241C">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22466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1EFA2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A9A77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195220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D73938">
            <w:pPr>
              <w:spacing w:beforeLines="0" w:afterLines="0"/>
              <w:rPr>
                <w:rFonts w:hint="default" w:ascii="宋体" w:hAnsi="宋体" w:eastAsia="宋体"/>
                <w:sz w:val="20"/>
                <w:szCs w:val="24"/>
              </w:rPr>
            </w:pPr>
          </w:p>
        </w:tc>
        <w:tc>
          <w:tcPr>
            <w:tcW w:w="850" w:type="dxa"/>
            <w:tcBorders>
              <w:top w:val="single" w:color="000000" w:sz="4" w:space="0"/>
              <w:left w:val="nil"/>
              <w:bottom w:val="single" w:color="000000" w:sz="4" w:space="0"/>
              <w:right w:val="nil"/>
              <w:tl2br w:val="nil"/>
              <w:tr2bl w:val="nil"/>
            </w:tcBorders>
            <w:shd w:val="clear" w:color="auto" w:fill="FFFFFF"/>
            <w:noWrap w:val="0"/>
            <w:vAlign w:val="center"/>
          </w:tcPr>
          <w:p w14:paraId="39503FB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342F1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E4119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DABAF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bl>
    <w:p w14:paraId="05CC5CB1">
      <w:pPr>
        <w:spacing w:beforeLines="0" w:afterLines="0"/>
        <w:rPr>
          <w:rFonts w:hint="default" w:ascii="宋体" w:hAnsi="宋体" w:eastAsia="宋体"/>
          <w:sz w:val="20"/>
          <w:szCs w:val="24"/>
        </w:rPr>
        <w:sectPr>
          <w:pgSz w:w="11907" w:h="16840"/>
          <w:pgMar w:top="1400" w:right="1700" w:bottom="1400" w:left="1700" w:header="720" w:footer="720" w:gutter="0"/>
          <w:lnNumType w:countBy="0" w:distance="360"/>
          <w:cols w:space="720" w:num="1"/>
        </w:sectPr>
      </w:pPr>
    </w:p>
    <w:p w14:paraId="6B02AEAF">
      <w:pPr>
        <w:spacing w:beforeLines="0" w:afterLines="0"/>
        <w:rPr>
          <w:rFonts w:hint="default" w:ascii="宋体" w:hAnsi="宋体" w:eastAsia="宋体"/>
          <w:sz w:val="20"/>
          <w:szCs w:val="24"/>
        </w:rPr>
      </w:pPr>
    </w:p>
    <w:tbl>
      <w:tblPr>
        <w:tblStyle w:val="4"/>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50"/>
        <w:gridCol w:w="850"/>
        <w:gridCol w:w="850"/>
        <w:gridCol w:w="850"/>
        <w:gridCol w:w="1700"/>
        <w:gridCol w:w="850"/>
        <w:gridCol w:w="850"/>
        <w:gridCol w:w="850"/>
        <w:gridCol w:w="850"/>
      </w:tblGrid>
      <w:tr w14:paraId="699022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57ECD50F">
            <w:pPr>
              <w:spacing w:beforeLines="0" w:afterLines="0"/>
              <w:rPr>
                <w:rFonts w:hint="default"/>
                <w:sz w:val="24"/>
                <w:szCs w:val="24"/>
              </w:rPr>
            </w:pPr>
          </w:p>
        </w:tc>
      </w:tr>
      <w:tr w14:paraId="3587A6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3D6C805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项目支出绩效目标表</w:t>
            </w:r>
          </w:p>
        </w:tc>
      </w:tr>
      <w:tr w14:paraId="485275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788FF17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（2026年度）</w:t>
            </w:r>
          </w:p>
        </w:tc>
      </w:tr>
      <w:tr w14:paraId="37110C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F1542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5950"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537BF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工会补贴</w:t>
            </w:r>
          </w:p>
        </w:tc>
      </w:tr>
      <w:tr w14:paraId="49023F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429441D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主管部门及代码</w:t>
            </w:r>
          </w:p>
        </w:tc>
        <w:tc>
          <w:tcPr>
            <w:tcW w:w="255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482F15E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[171]淮北市相山区数据资源管理局</w:t>
            </w:r>
          </w:p>
        </w:tc>
        <w:tc>
          <w:tcPr>
            <w:tcW w:w="170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0B0655D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170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44D7987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淮北市相山区数据资源管理局（相山区政务服务管理局）</w:t>
            </w:r>
          </w:p>
        </w:tc>
      </w:tr>
      <w:tr w14:paraId="26247D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C99AA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项目来源</w:t>
            </w: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018B7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本级申报项目</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ED943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资金投向领域</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6871F6">
            <w:pPr>
              <w:spacing w:beforeLines="0" w:afterLines="0"/>
              <w:jc w:val="center"/>
              <w:rPr>
                <w:rFonts w:hint="default"/>
                <w:sz w:val="24"/>
                <w:szCs w:val="24"/>
              </w:rPr>
            </w:pPr>
          </w:p>
        </w:tc>
      </w:tr>
      <w:tr w14:paraId="2A18CB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4BB45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CBCFA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1年</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1F7D6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其中：建设期限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BD1A79">
            <w:pPr>
              <w:spacing w:beforeLines="0" w:afterLines="0"/>
              <w:jc w:val="center"/>
              <w:rPr>
                <w:rFonts w:hint="default"/>
                <w:sz w:val="24"/>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B7D22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运营期限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BAE873">
            <w:pPr>
              <w:spacing w:beforeLines="0" w:afterLines="0"/>
              <w:jc w:val="center"/>
              <w:rPr>
                <w:rFonts w:hint="default"/>
                <w:sz w:val="24"/>
                <w:szCs w:val="24"/>
              </w:rPr>
            </w:pPr>
          </w:p>
        </w:tc>
      </w:tr>
      <w:tr w14:paraId="4CEAFF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300D3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w:t>
            </w:r>
          </w:p>
          <w:p w14:paraId="55F84C2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（万元）</w:t>
            </w: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5E3E29">
            <w:pPr>
              <w:spacing w:beforeLines="0" w:afterLines="0" w:line="320" w:lineRule="atLeast"/>
              <w:rPr>
                <w:rFonts w:hint="default" w:ascii="宋体" w:hAnsi="宋体" w:eastAsia="宋体"/>
                <w:sz w:val="20"/>
                <w:szCs w:val="24"/>
              </w:rPr>
            </w:pPr>
            <w:r>
              <w:rPr>
                <w:rFonts w:hint="default" w:ascii="宋体" w:hAnsi="宋体" w:eastAsia="宋体"/>
                <w:sz w:val="20"/>
                <w:szCs w:val="24"/>
              </w:rPr>
              <w:t>年度资金总额：</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38AAF1">
            <w:pPr>
              <w:spacing w:beforeLines="0" w:afterLines="0" w:line="320" w:lineRule="atLeast"/>
              <w:rPr>
                <w:rFonts w:hint="default" w:ascii="宋体" w:hAnsi="宋体" w:eastAsia="宋体"/>
                <w:sz w:val="20"/>
                <w:szCs w:val="24"/>
              </w:rPr>
            </w:pPr>
            <w:r>
              <w:rPr>
                <w:rFonts w:hint="default" w:ascii="宋体" w:hAnsi="宋体" w:eastAsia="宋体"/>
                <w:sz w:val="20"/>
                <w:szCs w:val="24"/>
              </w:rPr>
              <w:t>7.20</w:t>
            </w:r>
          </w:p>
        </w:tc>
      </w:tr>
      <w:tr w14:paraId="2231AA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1F1DB1">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FE0F9C">
            <w:pPr>
              <w:spacing w:beforeLines="0" w:afterLines="0" w:line="320" w:lineRule="atLeast"/>
              <w:rPr>
                <w:rFonts w:hint="default" w:ascii="宋体" w:hAnsi="宋体" w:eastAsia="宋体"/>
                <w:sz w:val="20"/>
                <w:szCs w:val="24"/>
              </w:rPr>
            </w:pPr>
            <w:r>
              <w:rPr>
                <w:rFonts w:hint="default" w:ascii="宋体" w:hAnsi="宋体" w:eastAsia="宋体"/>
                <w:sz w:val="20"/>
                <w:szCs w:val="24"/>
              </w:rPr>
              <w:t>其中：财政拨款</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3133CF">
            <w:pPr>
              <w:spacing w:beforeLines="0" w:afterLines="0" w:line="320" w:lineRule="atLeast"/>
              <w:rPr>
                <w:rFonts w:hint="default" w:ascii="宋体" w:hAnsi="宋体" w:eastAsia="宋体"/>
                <w:sz w:val="20"/>
                <w:szCs w:val="24"/>
              </w:rPr>
            </w:pPr>
            <w:r>
              <w:rPr>
                <w:rFonts w:hint="default" w:ascii="宋体" w:hAnsi="宋体" w:eastAsia="宋体"/>
                <w:sz w:val="20"/>
                <w:szCs w:val="24"/>
              </w:rPr>
              <w:t>7.20</w:t>
            </w:r>
          </w:p>
        </w:tc>
      </w:tr>
      <w:tr w14:paraId="5CFDE5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8994EE">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2A6A76">
            <w:pPr>
              <w:spacing w:beforeLines="0" w:afterLines="0" w:line="320" w:lineRule="atLeast"/>
              <w:rPr>
                <w:rFonts w:hint="default" w:ascii="宋体" w:hAnsi="宋体" w:eastAsia="宋体"/>
                <w:sz w:val="20"/>
                <w:szCs w:val="24"/>
              </w:rPr>
            </w:pPr>
            <w:r>
              <w:rPr>
                <w:rFonts w:hint="default" w:ascii="宋体" w:hAnsi="宋体" w:eastAsia="宋体"/>
                <w:sz w:val="20"/>
                <w:szCs w:val="24"/>
              </w:rPr>
              <w:t>专项债券</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AE9899">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14FF3E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21DEA6">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8F8CDD">
            <w:pPr>
              <w:spacing w:beforeLines="0" w:afterLines="0" w:line="320" w:lineRule="atLeast"/>
              <w:rPr>
                <w:rFonts w:hint="default" w:ascii="宋体" w:hAnsi="宋体" w:eastAsia="宋体"/>
                <w:sz w:val="20"/>
                <w:szCs w:val="24"/>
              </w:rPr>
            </w:pPr>
            <w:r>
              <w:rPr>
                <w:rFonts w:hint="default" w:ascii="宋体" w:hAnsi="宋体" w:eastAsia="宋体"/>
                <w:sz w:val="20"/>
                <w:szCs w:val="24"/>
              </w:rPr>
              <w:t>上年结转</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E7C1B9">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1D46B1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826379">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2D0B2C">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97AA00">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546A9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28A8A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w:t>
            </w:r>
          </w:p>
          <w:p w14:paraId="6DBFC6D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目标</w:t>
            </w:r>
          </w:p>
        </w:tc>
        <w:tc>
          <w:tcPr>
            <w:tcW w:w="7650"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65F38C">
            <w:pPr>
              <w:spacing w:beforeLines="0" w:afterLines="0" w:line="320" w:lineRule="atLeast"/>
              <w:rPr>
                <w:rFonts w:hint="default" w:ascii="宋体" w:hAnsi="宋体" w:eastAsia="宋体"/>
                <w:sz w:val="20"/>
                <w:szCs w:val="24"/>
              </w:rPr>
            </w:pPr>
            <w:r>
              <w:rPr>
                <w:rFonts w:hint="default" w:ascii="宋体" w:hAnsi="宋体" w:eastAsia="宋体"/>
                <w:sz w:val="20"/>
                <w:szCs w:val="24"/>
              </w:rPr>
              <w:t>年底前完成100％</w:t>
            </w:r>
          </w:p>
        </w:tc>
      </w:tr>
      <w:tr w14:paraId="41B6A6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A496C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w:t>
            </w:r>
          </w:p>
          <w:p w14:paraId="26C479D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w:t>
            </w:r>
          </w:p>
          <w:p w14:paraId="37199AE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w:t>
            </w:r>
          </w:p>
          <w:p w14:paraId="7CBD09C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标</w:t>
            </w:r>
          </w:p>
        </w:tc>
        <w:tc>
          <w:tcPr>
            <w:tcW w:w="850" w:type="dxa"/>
            <w:tcBorders>
              <w:top w:val="single" w:color="000000" w:sz="4" w:space="0"/>
              <w:left w:val="nil"/>
              <w:bottom w:val="single" w:color="000000" w:sz="4" w:space="0"/>
              <w:right w:val="nil"/>
              <w:tl2br w:val="nil"/>
              <w:tr2bl w:val="nil"/>
            </w:tcBorders>
            <w:shd w:val="clear" w:color="auto" w:fill="FFFFFF"/>
            <w:noWrap w:val="0"/>
            <w:vAlign w:val="center"/>
          </w:tcPr>
          <w:p w14:paraId="6A3F54B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w:t>
            </w:r>
          </w:p>
          <w:p w14:paraId="5F89208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9298A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F0D76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1F432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指标值</w:t>
            </w:r>
          </w:p>
        </w:tc>
      </w:tr>
      <w:tr w14:paraId="0185E3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A3E45D">
            <w:pPr>
              <w:spacing w:beforeLines="0" w:afterLines="0"/>
              <w:rPr>
                <w:rFonts w:hint="default" w:ascii="宋体" w:hAnsi="宋体" w:eastAsia="宋体"/>
                <w:sz w:val="20"/>
                <w:szCs w:val="24"/>
              </w:rPr>
            </w:pPr>
          </w:p>
        </w:tc>
        <w:tc>
          <w:tcPr>
            <w:tcW w:w="850" w:type="dxa"/>
            <w:vMerge w:val="restart"/>
            <w:tcBorders>
              <w:top w:val="single" w:color="000000" w:sz="4" w:space="0"/>
              <w:left w:val="nil"/>
              <w:bottom w:val="single" w:color="000000" w:sz="4" w:space="0"/>
              <w:right w:val="nil"/>
              <w:tl2br w:val="nil"/>
              <w:tr2bl w:val="nil"/>
            </w:tcBorders>
            <w:shd w:val="clear" w:color="auto" w:fill="FFFFFF"/>
            <w:noWrap w:val="0"/>
            <w:vAlign w:val="center"/>
          </w:tcPr>
          <w:p w14:paraId="317D953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09E09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CC746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项目金额</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284A7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72000元</w:t>
            </w:r>
          </w:p>
        </w:tc>
      </w:tr>
      <w:tr w14:paraId="6F73CA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2D853F">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2D2ECADE">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14177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E62F8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完成质量</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641A9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3D0F27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D639AC">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2037F316">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820F1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06CE0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完成时效</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05649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≤12月</w:t>
            </w:r>
          </w:p>
        </w:tc>
      </w:tr>
      <w:tr w14:paraId="01C5C3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4049EA">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74C3F591">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40C7B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37984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完成成本</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4FC86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≤72000元</w:t>
            </w:r>
          </w:p>
        </w:tc>
      </w:tr>
      <w:tr w14:paraId="2A0ACB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ED9975">
            <w:pPr>
              <w:spacing w:beforeLines="0" w:afterLines="0"/>
              <w:rPr>
                <w:rFonts w:hint="default" w:ascii="宋体" w:hAnsi="宋体" w:eastAsia="宋体"/>
                <w:sz w:val="20"/>
                <w:szCs w:val="24"/>
              </w:rPr>
            </w:pPr>
          </w:p>
        </w:tc>
        <w:tc>
          <w:tcPr>
            <w:tcW w:w="850" w:type="dxa"/>
            <w:vMerge w:val="restart"/>
            <w:tcBorders>
              <w:top w:val="single" w:color="000000" w:sz="4" w:space="0"/>
              <w:left w:val="nil"/>
              <w:bottom w:val="single" w:color="000000" w:sz="4" w:space="0"/>
              <w:right w:val="nil"/>
              <w:tl2br w:val="nil"/>
              <w:tr2bl w:val="nil"/>
            </w:tcBorders>
            <w:shd w:val="clear" w:color="auto" w:fill="FFFFFF"/>
            <w:noWrap w:val="0"/>
            <w:vAlign w:val="center"/>
          </w:tcPr>
          <w:p w14:paraId="6BC55EE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0F687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AFDDB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F0915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797907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486B0B">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27B21154">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63C61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F795E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943C6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67EC8A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3CF842">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29BAF66D">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B0A55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358FA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32CF7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17925E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7D8E6A">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7D997F07">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9D2D6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1946B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84B80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187A3B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99313F">
            <w:pPr>
              <w:spacing w:beforeLines="0" w:afterLines="0"/>
              <w:rPr>
                <w:rFonts w:hint="default" w:ascii="宋体" w:hAnsi="宋体" w:eastAsia="宋体"/>
                <w:sz w:val="20"/>
                <w:szCs w:val="24"/>
              </w:rPr>
            </w:pPr>
          </w:p>
        </w:tc>
        <w:tc>
          <w:tcPr>
            <w:tcW w:w="850" w:type="dxa"/>
            <w:tcBorders>
              <w:top w:val="single" w:color="000000" w:sz="4" w:space="0"/>
              <w:left w:val="nil"/>
              <w:bottom w:val="single" w:color="000000" w:sz="4" w:space="0"/>
              <w:right w:val="nil"/>
              <w:tl2br w:val="nil"/>
              <w:tr2bl w:val="nil"/>
            </w:tcBorders>
            <w:shd w:val="clear" w:color="auto" w:fill="FFFFFF"/>
            <w:noWrap w:val="0"/>
            <w:vAlign w:val="center"/>
          </w:tcPr>
          <w:p w14:paraId="386E650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08596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D31BB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61B89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bl>
    <w:p w14:paraId="301A59F3">
      <w:pPr>
        <w:spacing w:beforeLines="0" w:afterLines="0"/>
        <w:rPr>
          <w:rFonts w:hint="default" w:ascii="宋体" w:hAnsi="宋体" w:eastAsia="宋体"/>
          <w:sz w:val="20"/>
          <w:szCs w:val="24"/>
        </w:rPr>
        <w:sectPr>
          <w:pgSz w:w="11907" w:h="16840"/>
          <w:pgMar w:top="1400" w:right="1700" w:bottom="1400" w:left="1700" w:header="720" w:footer="720" w:gutter="0"/>
          <w:lnNumType w:countBy="0" w:distance="360"/>
          <w:cols w:space="720" w:num="1"/>
        </w:sectPr>
      </w:pPr>
    </w:p>
    <w:p w14:paraId="166149DE">
      <w:pPr>
        <w:spacing w:beforeLines="0" w:afterLines="0"/>
        <w:rPr>
          <w:rFonts w:hint="default" w:ascii="宋体" w:hAnsi="宋体" w:eastAsia="宋体"/>
          <w:sz w:val="20"/>
          <w:szCs w:val="24"/>
        </w:rPr>
      </w:pPr>
    </w:p>
    <w:tbl>
      <w:tblPr>
        <w:tblStyle w:val="4"/>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50"/>
        <w:gridCol w:w="850"/>
        <w:gridCol w:w="850"/>
        <w:gridCol w:w="850"/>
        <w:gridCol w:w="1700"/>
        <w:gridCol w:w="850"/>
        <w:gridCol w:w="850"/>
        <w:gridCol w:w="850"/>
        <w:gridCol w:w="850"/>
      </w:tblGrid>
      <w:tr w14:paraId="78CE40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34EF6749">
            <w:pPr>
              <w:spacing w:beforeLines="0" w:afterLines="0"/>
              <w:rPr>
                <w:rFonts w:hint="default"/>
                <w:sz w:val="24"/>
                <w:szCs w:val="24"/>
              </w:rPr>
            </w:pPr>
          </w:p>
        </w:tc>
      </w:tr>
      <w:tr w14:paraId="422F93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3DC75D4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项目支出绩效目标表</w:t>
            </w:r>
          </w:p>
        </w:tc>
      </w:tr>
      <w:tr w14:paraId="488983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05FAFDA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（2026年度）</w:t>
            </w:r>
          </w:p>
        </w:tc>
      </w:tr>
      <w:tr w14:paraId="797E87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FB75D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5950"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5932C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乡村振兴下派干部补助</w:t>
            </w:r>
          </w:p>
        </w:tc>
      </w:tr>
      <w:tr w14:paraId="798E77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0ED123E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主管部门及代码</w:t>
            </w:r>
          </w:p>
        </w:tc>
        <w:tc>
          <w:tcPr>
            <w:tcW w:w="255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31AE660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[171]淮北市相山区数据资源管理局</w:t>
            </w:r>
          </w:p>
        </w:tc>
        <w:tc>
          <w:tcPr>
            <w:tcW w:w="170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243FCB5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170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4F6CD15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淮北市相山区数据资源管理局（相山区政务服务管理局）</w:t>
            </w:r>
          </w:p>
        </w:tc>
      </w:tr>
      <w:tr w14:paraId="497C43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32B0D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项目来源</w:t>
            </w: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3D202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本级申报项目</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FE805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资金投向领域</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64037D">
            <w:pPr>
              <w:spacing w:beforeLines="0" w:afterLines="0"/>
              <w:jc w:val="center"/>
              <w:rPr>
                <w:rFonts w:hint="default"/>
                <w:sz w:val="24"/>
                <w:szCs w:val="24"/>
              </w:rPr>
            </w:pPr>
          </w:p>
        </w:tc>
      </w:tr>
      <w:tr w14:paraId="1EFA4F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216FD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95691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1年</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62335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其中：建设期限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C8F28D">
            <w:pPr>
              <w:spacing w:beforeLines="0" w:afterLines="0"/>
              <w:jc w:val="center"/>
              <w:rPr>
                <w:rFonts w:hint="default"/>
                <w:sz w:val="24"/>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E11ED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运营期限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A2B0AF">
            <w:pPr>
              <w:spacing w:beforeLines="0" w:afterLines="0"/>
              <w:jc w:val="center"/>
              <w:rPr>
                <w:rFonts w:hint="default"/>
                <w:sz w:val="24"/>
                <w:szCs w:val="24"/>
              </w:rPr>
            </w:pPr>
          </w:p>
        </w:tc>
      </w:tr>
      <w:tr w14:paraId="31BFBB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F986F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w:t>
            </w:r>
          </w:p>
          <w:p w14:paraId="281F1E3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（万元）</w:t>
            </w: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2DAD1F">
            <w:pPr>
              <w:spacing w:beforeLines="0" w:afterLines="0" w:line="320" w:lineRule="atLeast"/>
              <w:rPr>
                <w:rFonts w:hint="default" w:ascii="宋体" w:hAnsi="宋体" w:eastAsia="宋体"/>
                <w:sz w:val="20"/>
                <w:szCs w:val="24"/>
              </w:rPr>
            </w:pPr>
            <w:r>
              <w:rPr>
                <w:rFonts w:hint="default" w:ascii="宋体" w:hAnsi="宋体" w:eastAsia="宋体"/>
                <w:sz w:val="20"/>
                <w:szCs w:val="24"/>
              </w:rPr>
              <w:t>年度资金总额：</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D5FF33">
            <w:pPr>
              <w:spacing w:beforeLines="0" w:afterLines="0" w:line="320" w:lineRule="atLeast"/>
              <w:rPr>
                <w:rFonts w:hint="default" w:ascii="宋体" w:hAnsi="宋体" w:eastAsia="宋体"/>
                <w:sz w:val="20"/>
                <w:szCs w:val="24"/>
              </w:rPr>
            </w:pPr>
            <w:r>
              <w:rPr>
                <w:rFonts w:hint="default" w:ascii="宋体" w:hAnsi="宋体" w:eastAsia="宋体"/>
                <w:sz w:val="20"/>
                <w:szCs w:val="24"/>
              </w:rPr>
              <w:t>3.83</w:t>
            </w:r>
          </w:p>
        </w:tc>
      </w:tr>
      <w:tr w14:paraId="2C1C7A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C1D6D4">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1F1AEE">
            <w:pPr>
              <w:spacing w:beforeLines="0" w:afterLines="0" w:line="320" w:lineRule="atLeast"/>
              <w:rPr>
                <w:rFonts w:hint="default" w:ascii="宋体" w:hAnsi="宋体" w:eastAsia="宋体"/>
                <w:sz w:val="20"/>
                <w:szCs w:val="24"/>
              </w:rPr>
            </w:pPr>
            <w:r>
              <w:rPr>
                <w:rFonts w:hint="default" w:ascii="宋体" w:hAnsi="宋体" w:eastAsia="宋体"/>
                <w:sz w:val="20"/>
                <w:szCs w:val="24"/>
              </w:rPr>
              <w:t>其中：财政拨款</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86CF83">
            <w:pPr>
              <w:spacing w:beforeLines="0" w:afterLines="0" w:line="320" w:lineRule="atLeast"/>
              <w:rPr>
                <w:rFonts w:hint="default" w:ascii="宋体" w:hAnsi="宋体" w:eastAsia="宋体"/>
                <w:sz w:val="20"/>
                <w:szCs w:val="24"/>
              </w:rPr>
            </w:pPr>
            <w:r>
              <w:rPr>
                <w:rFonts w:hint="default" w:ascii="宋体" w:hAnsi="宋体" w:eastAsia="宋体"/>
                <w:sz w:val="20"/>
                <w:szCs w:val="24"/>
              </w:rPr>
              <w:t>3.83</w:t>
            </w:r>
          </w:p>
        </w:tc>
      </w:tr>
      <w:tr w14:paraId="55D8B4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77EDF5">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5AD5B7">
            <w:pPr>
              <w:spacing w:beforeLines="0" w:afterLines="0" w:line="320" w:lineRule="atLeast"/>
              <w:rPr>
                <w:rFonts w:hint="default" w:ascii="宋体" w:hAnsi="宋体" w:eastAsia="宋体"/>
                <w:sz w:val="20"/>
                <w:szCs w:val="24"/>
              </w:rPr>
            </w:pPr>
            <w:r>
              <w:rPr>
                <w:rFonts w:hint="default" w:ascii="宋体" w:hAnsi="宋体" w:eastAsia="宋体"/>
                <w:sz w:val="20"/>
                <w:szCs w:val="24"/>
              </w:rPr>
              <w:t>专项债券</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74B18C">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3F2510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DDF32E">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9B42D4">
            <w:pPr>
              <w:spacing w:beforeLines="0" w:afterLines="0" w:line="320" w:lineRule="atLeast"/>
              <w:rPr>
                <w:rFonts w:hint="default" w:ascii="宋体" w:hAnsi="宋体" w:eastAsia="宋体"/>
                <w:sz w:val="20"/>
                <w:szCs w:val="24"/>
              </w:rPr>
            </w:pPr>
            <w:r>
              <w:rPr>
                <w:rFonts w:hint="default" w:ascii="宋体" w:hAnsi="宋体" w:eastAsia="宋体"/>
                <w:sz w:val="20"/>
                <w:szCs w:val="24"/>
              </w:rPr>
              <w:t>上年结转</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628488">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43B3F2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B8ADAA">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AB3DAB">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4F88C1">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0637A8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79EB3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w:t>
            </w:r>
          </w:p>
          <w:p w14:paraId="43478D7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目标</w:t>
            </w:r>
          </w:p>
        </w:tc>
        <w:tc>
          <w:tcPr>
            <w:tcW w:w="7650"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FE021B">
            <w:pPr>
              <w:spacing w:beforeLines="0" w:afterLines="0" w:line="320" w:lineRule="atLeast"/>
              <w:rPr>
                <w:rFonts w:hint="default" w:ascii="宋体" w:hAnsi="宋体" w:eastAsia="宋体"/>
                <w:sz w:val="20"/>
                <w:szCs w:val="24"/>
              </w:rPr>
            </w:pPr>
            <w:r>
              <w:rPr>
                <w:rFonts w:hint="default" w:ascii="宋体" w:hAnsi="宋体" w:eastAsia="宋体"/>
                <w:sz w:val="20"/>
                <w:szCs w:val="24"/>
              </w:rPr>
              <w:t>年底完成项目的100％</w:t>
            </w:r>
          </w:p>
        </w:tc>
      </w:tr>
      <w:tr w14:paraId="5F5B53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A11BD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w:t>
            </w:r>
          </w:p>
          <w:p w14:paraId="1A1E6D5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w:t>
            </w:r>
          </w:p>
          <w:p w14:paraId="69F7F77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w:t>
            </w:r>
          </w:p>
          <w:p w14:paraId="39D59F4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标</w:t>
            </w:r>
          </w:p>
        </w:tc>
        <w:tc>
          <w:tcPr>
            <w:tcW w:w="850" w:type="dxa"/>
            <w:tcBorders>
              <w:top w:val="single" w:color="000000" w:sz="4" w:space="0"/>
              <w:left w:val="nil"/>
              <w:bottom w:val="single" w:color="000000" w:sz="4" w:space="0"/>
              <w:right w:val="nil"/>
              <w:tl2br w:val="nil"/>
              <w:tr2bl w:val="nil"/>
            </w:tcBorders>
            <w:shd w:val="clear" w:color="auto" w:fill="FFFFFF"/>
            <w:noWrap w:val="0"/>
            <w:vAlign w:val="center"/>
          </w:tcPr>
          <w:p w14:paraId="37974E2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w:t>
            </w:r>
          </w:p>
          <w:p w14:paraId="7C19F7A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2A106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1856E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3F12D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指标值</w:t>
            </w:r>
          </w:p>
        </w:tc>
      </w:tr>
      <w:tr w14:paraId="6DEF7D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C20181">
            <w:pPr>
              <w:spacing w:beforeLines="0" w:afterLines="0"/>
              <w:rPr>
                <w:rFonts w:hint="default" w:ascii="宋体" w:hAnsi="宋体" w:eastAsia="宋体"/>
                <w:sz w:val="20"/>
                <w:szCs w:val="24"/>
              </w:rPr>
            </w:pPr>
          </w:p>
        </w:tc>
        <w:tc>
          <w:tcPr>
            <w:tcW w:w="850" w:type="dxa"/>
            <w:vMerge w:val="restart"/>
            <w:tcBorders>
              <w:top w:val="single" w:color="000000" w:sz="4" w:space="0"/>
              <w:left w:val="nil"/>
              <w:bottom w:val="single" w:color="000000" w:sz="4" w:space="0"/>
              <w:right w:val="nil"/>
              <w:tl2br w:val="nil"/>
              <w:tr2bl w:val="nil"/>
            </w:tcBorders>
            <w:shd w:val="clear" w:color="auto" w:fill="FFFFFF"/>
            <w:noWrap w:val="0"/>
            <w:vAlign w:val="center"/>
          </w:tcPr>
          <w:p w14:paraId="5A365D9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37E17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AF3D1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项目成本</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FE69B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50900元</w:t>
            </w:r>
          </w:p>
        </w:tc>
      </w:tr>
      <w:tr w14:paraId="228FB6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0C9729">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0986F942">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9552F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2AF98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完成质量</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5174E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7C48BA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D08FD2">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1FD050A5">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18D43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EF4FA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完成时效</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4B411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≤12月</w:t>
            </w:r>
          </w:p>
        </w:tc>
      </w:tr>
      <w:tr w14:paraId="22562D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6A2EE0">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6F608BF3">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3139E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657D8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完成成本</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729C3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≤50900元</w:t>
            </w:r>
          </w:p>
        </w:tc>
      </w:tr>
      <w:tr w14:paraId="1858C3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0745C7">
            <w:pPr>
              <w:spacing w:beforeLines="0" w:afterLines="0"/>
              <w:rPr>
                <w:rFonts w:hint="default" w:ascii="宋体" w:hAnsi="宋体" w:eastAsia="宋体"/>
                <w:sz w:val="20"/>
                <w:szCs w:val="24"/>
              </w:rPr>
            </w:pPr>
          </w:p>
        </w:tc>
        <w:tc>
          <w:tcPr>
            <w:tcW w:w="850" w:type="dxa"/>
            <w:vMerge w:val="restart"/>
            <w:tcBorders>
              <w:top w:val="single" w:color="000000" w:sz="4" w:space="0"/>
              <w:left w:val="nil"/>
              <w:bottom w:val="single" w:color="000000" w:sz="4" w:space="0"/>
              <w:right w:val="nil"/>
              <w:tl2br w:val="nil"/>
              <w:tr2bl w:val="nil"/>
            </w:tcBorders>
            <w:shd w:val="clear" w:color="auto" w:fill="FFFFFF"/>
            <w:noWrap w:val="0"/>
            <w:vAlign w:val="center"/>
          </w:tcPr>
          <w:p w14:paraId="256E378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E443E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2CF15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1ACC1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1BE28E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B37858">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7CCE72B6">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14C5E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23EF2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105DB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33BBA9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DD2375">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3781C534">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C055C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5D9CD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DE10F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5BE173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56BAA4">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2E139524">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2A527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D1E7E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460EA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78AF7C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039604">
            <w:pPr>
              <w:spacing w:beforeLines="0" w:afterLines="0"/>
              <w:rPr>
                <w:rFonts w:hint="default" w:ascii="宋体" w:hAnsi="宋体" w:eastAsia="宋体"/>
                <w:sz w:val="20"/>
                <w:szCs w:val="24"/>
              </w:rPr>
            </w:pPr>
          </w:p>
        </w:tc>
        <w:tc>
          <w:tcPr>
            <w:tcW w:w="850" w:type="dxa"/>
            <w:tcBorders>
              <w:top w:val="single" w:color="000000" w:sz="4" w:space="0"/>
              <w:left w:val="nil"/>
              <w:bottom w:val="single" w:color="000000" w:sz="4" w:space="0"/>
              <w:right w:val="nil"/>
              <w:tl2br w:val="nil"/>
              <w:tr2bl w:val="nil"/>
            </w:tcBorders>
            <w:shd w:val="clear" w:color="auto" w:fill="FFFFFF"/>
            <w:noWrap w:val="0"/>
            <w:vAlign w:val="center"/>
          </w:tcPr>
          <w:p w14:paraId="157FE7E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C37EB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CC65B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67665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bl>
    <w:p w14:paraId="55F9F581">
      <w:pPr>
        <w:spacing w:beforeLines="0" w:afterLines="0"/>
        <w:rPr>
          <w:rFonts w:hint="default" w:ascii="宋体" w:hAnsi="宋体" w:eastAsia="宋体"/>
          <w:sz w:val="20"/>
          <w:szCs w:val="24"/>
        </w:rPr>
        <w:sectPr>
          <w:pgSz w:w="11907" w:h="16840"/>
          <w:pgMar w:top="1400" w:right="1700" w:bottom="1400" w:left="1700" w:header="720" w:footer="720" w:gutter="0"/>
          <w:lnNumType w:countBy="0" w:distance="360"/>
          <w:cols w:space="720" w:num="1"/>
        </w:sectPr>
      </w:pPr>
    </w:p>
    <w:p w14:paraId="4772DC20">
      <w:pPr>
        <w:spacing w:beforeLines="0" w:afterLines="0"/>
        <w:rPr>
          <w:rFonts w:hint="default" w:ascii="宋体" w:hAnsi="宋体" w:eastAsia="宋体"/>
          <w:sz w:val="20"/>
          <w:szCs w:val="24"/>
        </w:rPr>
      </w:pPr>
    </w:p>
    <w:tbl>
      <w:tblPr>
        <w:tblStyle w:val="4"/>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50"/>
        <w:gridCol w:w="850"/>
        <w:gridCol w:w="850"/>
        <w:gridCol w:w="850"/>
        <w:gridCol w:w="1700"/>
        <w:gridCol w:w="850"/>
        <w:gridCol w:w="850"/>
        <w:gridCol w:w="850"/>
        <w:gridCol w:w="850"/>
      </w:tblGrid>
      <w:tr w14:paraId="12AA2D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6635017A">
            <w:pPr>
              <w:spacing w:beforeLines="0" w:afterLines="0"/>
              <w:rPr>
                <w:rFonts w:hint="default"/>
                <w:sz w:val="24"/>
                <w:szCs w:val="24"/>
              </w:rPr>
            </w:pPr>
          </w:p>
        </w:tc>
      </w:tr>
      <w:tr w14:paraId="1A58C3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410916D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项目支出绩效目标表</w:t>
            </w:r>
          </w:p>
        </w:tc>
      </w:tr>
      <w:tr w14:paraId="296745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73F20BF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（2026年度）</w:t>
            </w:r>
          </w:p>
        </w:tc>
      </w:tr>
      <w:tr w14:paraId="4C2CE0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F226D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5950"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FC22F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政务服务中心管理</w:t>
            </w:r>
          </w:p>
        </w:tc>
      </w:tr>
      <w:tr w14:paraId="1F87CA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280A76D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主管部门及代码</w:t>
            </w:r>
          </w:p>
        </w:tc>
        <w:tc>
          <w:tcPr>
            <w:tcW w:w="255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5FA3D19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[171]淮北市相山区数据资源管理局</w:t>
            </w:r>
          </w:p>
        </w:tc>
        <w:tc>
          <w:tcPr>
            <w:tcW w:w="170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647A6EF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170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3F0B300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淮北市相山区数据资源管理局（相山区政务服务管理局）</w:t>
            </w:r>
          </w:p>
        </w:tc>
      </w:tr>
      <w:tr w14:paraId="0E5F23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D7BD5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项目来源</w:t>
            </w: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1B302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本级申报项目</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8178D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资金投向领域</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DA1D92">
            <w:pPr>
              <w:spacing w:beforeLines="0" w:afterLines="0"/>
              <w:jc w:val="center"/>
              <w:rPr>
                <w:rFonts w:hint="default"/>
                <w:sz w:val="24"/>
                <w:szCs w:val="24"/>
              </w:rPr>
            </w:pPr>
          </w:p>
        </w:tc>
      </w:tr>
      <w:tr w14:paraId="2A0DEA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12AFB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74A4F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1年</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44EBA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其中：建设期限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39C832">
            <w:pPr>
              <w:spacing w:beforeLines="0" w:afterLines="0"/>
              <w:jc w:val="center"/>
              <w:rPr>
                <w:rFonts w:hint="default"/>
                <w:sz w:val="24"/>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705DF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运营期限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626C54">
            <w:pPr>
              <w:spacing w:beforeLines="0" w:afterLines="0"/>
              <w:jc w:val="center"/>
              <w:rPr>
                <w:rFonts w:hint="default"/>
                <w:sz w:val="24"/>
                <w:szCs w:val="24"/>
              </w:rPr>
            </w:pPr>
          </w:p>
        </w:tc>
      </w:tr>
      <w:tr w14:paraId="5DE95C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638C4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w:t>
            </w:r>
          </w:p>
          <w:p w14:paraId="1250575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（万元）</w:t>
            </w: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D0B707">
            <w:pPr>
              <w:spacing w:beforeLines="0" w:afterLines="0" w:line="320" w:lineRule="atLeast"/>
              <w:rPr>
                <w:rFonts w:hint="default" w:ascii="宋体" w:hAnsi="宋体" w:eastAsia="宋体"/>
                <w:sz w:val="20"/>
                <w:szCs w:val="24"/>
              </w:rPr>
            </w:pPr>
            <w:r>
              <w:rPr>
                <w:rFonts w:hint="default" w:ascii="宋体" w:hAnsi="宋体" w:eastAsia="宋体"/>
                <w:sz w:val="20"/>
                <w:szCs w:val="24"/>
              </w:rPr>
              <w:t>年度资金总额：</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FFC5C7">
            <w:pPr>
              <w:spacing w:beforeLines="0" w:afterLines="0" w:line="320" w:lineRule="atLeast"/>
              <w:rPr>
                <w:rFonts w:hint="default" w:ascii="宋体" w:hAnsi="宋体" w:eastAsia="宋体"/>
                <w:sz w:val="20"/>
                <w:szCs w:val="24"/>
              </w:rPr>
            </w:pPr>
            <w:r>
              <w:rPr>
                <w:rFonts w:hint="default" w:ascii="宋体" w:hAnsi="宋体" w:eastAsia="宋体"/>
                <w:sz w:val="20"/>
                <w:szCs w:val="24"/>
              </w:rPr>
              <w:t>55.00</w:t>
            </w:r>
          </w:p>
        </w:tc>
      </w:tr>
      <w:tr w14:paraId="0D3357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90E170">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8A7FE1">
            <w:pPr>
              <w:spacing w:beforeLines="0" w:afterLines="0" w:line="320" w:lineRule="atLeast"/>
              <w:rPr>
                <w:rFonts w:hint="default" w:ascii="宋体" w:hAnsi="宋体" w:eastAsia="宋体"/>
                <w:sz w:val="20"/>
                <w:szCs w:val="24"/>
              </w:rPr>
            </w:pPr>
            <w:r>
              <w:rPr>
                <w:rFonts w:hint="default" w:ascii="宋体" w:hAnsi="宋体" w:eastAsia="宋体"/>
                <w:sz w:val="20"/>
                <w:szCs w:val="24"/>
              </w:rPr>
              <w:t>其中：财政拨款</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98C411">
            <w:pPr>
              <w:spacing w:beforeLines="0" w:afterLines="0" w:line="320" w:lineRule="atLeast"/>
              <w:rPr>
                <w:rFonts w:hint="default" w:ascii="宋体" w:hAnsi="宋体" w:eastAsia="宋体"/>
                <w:sz w:val="20"/>
                <w:szCs w:val="24"/>
              </w:rPr>
            </w:pPr>
            <w:r>
              <w:rPr>
                <w:rFonts w:hint="default" w:ascii="宋体" w:hAnsi="宋体" w:eastAsia="宋体"/>
                <w:sz w:val="20"/>
                <w:szCs w:val="24"/>
              </w:rPr>
              <w:t>55.00</w:t>
            </w:r>
          </w:p>
        </w:tc>
      </w:tr>
      <w:tr w14:paraId="1946D2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358C76">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A9EFBF">
            <w:pPr>
              <w:spacing w:beforeLines="0" w:afterLines="0" w:line="320" w:lineRule="atLeast"/>
              <w:rPr>
                <w:rFonts w:hint="default" w:ascii="宋体" w:hAnsi="宋体" w:eastAsia="宋体"/>
                <w:sz w:val="20"/>
                <w:szCs w:val="24"/>
              </w:rPr>
            </w:pPr>
            <w:r>
              <w:rPr>
                <w:rFonts w:hint="default" w:ascii="宋体" w:hAnsi="宋体" w:eastAsia="宋体"/>
                <w:sz w:val="20"/>
                <w:szCs w:val="24"/>
              </w:rPr>
              <w:t>专项债券</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E5EF14">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6E4A37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7E8874">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0B0866">
            <w:pPr>
              <w:spacing w:beforeLines="0" w:afterLines="0" w:line="320" w:lineRule="atLeast"/>
              <w:rPr>
                <w:rFonts w:hint="default" w:ascii="宋体" w:hAnsi="宋体" w:eastAsia="宋体"/>
                <w:sz w:val="20"/>
                <w:szCs w:val="24"/>
              </w:rPr>
            </w:pPr>
            <w:r>
              <w:rPr>
                <w:rFonts w:hint="default" w:ascii="宋体" w:hAnsi="宋体" w:eastAsia="宋体"/>
                <w:sz w:val="20"/>
                <w:szCs w:val="24"/>
              </w:rPr>
              <w:t>上年结转</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5F3484">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7D5236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8458DF">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ADEE75">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58D581">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1373E9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199E6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w:t>
            </w:r>
          </w:p>
          <w:p w14:paraId="7D1AF67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目标</w:t>
            </w:r>
          </w:p>
        </w:tc>
        <w:tc>
          <w:tcPr>
            <w:tcW w:w="7650"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435936">
            <w:pPr>
              <w:spacing w:beforeLines="0" w:afterLines="0" w:line="320" w:lineRule="atLeast"/>
              <w:rPr>
                <w:rFonts w:hint="default" w:ascii="宋体" w:hAnsi="宋体" w:eastAsia="宋体"/>
                <w:sz w:val="20"/>
                <w:szCs w:val="24"/>
              </w:rPr>
            </w:pPr>
            <w:r>
              <w:rPr>
                <w:rFonts w:hint="default" w:ascii="宋体" w:hAnsi="宋体" w:eastAsia="宋体"/>
                <w:sz w:val="20"/>
                <w:szCs w:val="24"/>
              </w:rPr>
              <w:t>年底完成项目的90％</w:t>
            </w:r>
          </w:p>
        </w:tc>
      </w:tr>
      <w:tr w14:paraId="453DD2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DB05F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w:t>
            </w:r>
          </w:p>
          <w:p w14:paraId="7FA302D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w:t>
            </w:r>
          </w:p>
          <w:p w14:paraId="5377B87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w:t>
            </w:r>
          </w:p>
          <w:p w14:paraId="0472308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标</w:t>
            </w:r>
          </w:p>
        </w:tc>
        <w:tc>
          <w:tcPr>
            <w:tcW w:w="850" w:type="dxa"/>
            <w:tcBorders>
              <w:top w:val="single" w:color="000000" w:sz="4" w:space="0"/>
              <w:left w:val="nil"/>
              <w:bottom w:val="single" w:color="000000" w:sz="4" w:space="0"/>
              <w:right w:val="nil"/>
              <w:tl2br w:val="nil"/>
              <w:tr2bl w:val="nil"/>
            </w:tcBorders>
            <w:shd w:val="clear" w:color="auto" w:fill="FFFFFF"/>
            <w:noWrap w:val="0"/>
            <w:vAlign w:val="center"/>
          </w:tcPr>
          <w:p w14:paraId="48F98F0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w:t>
            </w:r>
          </w:p>
          <w:p w14:paraId="319A552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66E50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217AD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1701C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指标值</w:t>
            </w:r>
          </w:p>
        </w:tc>
      </w:tr>
      <w:tr w14:paraId="7CCFA2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22EAD1">
            <w:pPr>
              <w:spacing w:beforeLines="0" w:afterLines="0"/>
              <w:rPr>
                <w:rFonts w:hint="default" w:ascii="宋体" w:hAnsi="宋体" w:eastAsia="宋体"/>
                <w:sz w:val="20"/>
                <w:szCs w:val="24"/>
              </w:rPr>
            </w:pPr>
          </w:p>
        </w:tc>
        <w:tc>
          <w:tcPr>
            <w:tcW w:w="850" w:type="dxa"/>
            <w:vMerge w:val="restart"/>
            <w:tcBorders>
              <w:top w:val="single" w:color="000000" w:sz="4" w:space="0"/>
              <w:left w:val="nil"/>
              <w:bottom w:val="single" w:color="000000" w:sz="4" w:space="0"/>
              <w:right w:val="nil"/>
              <w:tl2br w:val="nil"/>
              <w:tr2bl w:val="nil"/>
            </w:tcBorders>
            <w:shd w:val="clear" w:color="auto" w:fill="FFFFFF"/>
            <w:noWrap w:val="0"/>
            <w:vAlign w:val="center"/>
          </w:tcPr>
          <w:p w14:paraId="11BD44D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2D0E1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39D04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项目金额</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44CC5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550000元</w:t>
            </w:r>
          </w:p>
        </w:tc>
      </w:tr>
      <w:tr w14:paraId="7CE6C3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D72A19">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57313171">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BCF40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B8418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完成质量</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C2690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770E6F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F037E8">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36CF4ED3">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6BDE2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F5078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完成时效</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56AF6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≤12月</w:t>
            </w:r>
          </w:p>
        </w:tc>
      </w:tr>
      <w:tr w14:paraId="0AD4EC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6F0E2E">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2BC9E5DB">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6278D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EFEF1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完成成本</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9DB48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≤550000元</w:t>
            </w:r>
          </w:p>
        </w:tc>
      </w:tr>
      <w:tr w14:paraId="3124BE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1460F5">
            <w:pPr>
              <w:spacing w:beforeLines="0" w:afterLines="0"/>
              <w:rPr>
                <w:rFonts w:hint="default" w:ascii="宋体" w:hAnsi="宋体" w:eastAsia="宋体"/>
                <w:sz w:val="20"/>
                <w:szCs w:val="24"/>
              </w:rPr>
            </w:pPr>
          </w:p>
        </w:tc>
        <w:tc>
          <w:tcPr>
            <w:tcW w:w="850" w:type="dxa"/>
            <w:vMerge w:val="restart"/>
            <w:tcBorders>
              <w:top w:val="single" w:color="000000" w:sz="4" w:space="0"/>
              <w:left w:val="nil"/>
              <w:bottom w:val="single" w:color="000000" w:sz="4" w:space="0"/>
              <w:right w:val="nil"/>
              <w:tl2br w:val="nil"/>
              <w:tr2bl w:val="nil"/>
            </w:tcBorders>
            <w:shd w:val="clear" w:color="auto" w:fill="FFFFFF"/>
            <w:noWrap w:val="0"/>
            <w:vAlign w:val="center"/>
          </w:tcPr>
          <w:p w14:paraId="1B2382B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467AE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CD40E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A8342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005A45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B2476B">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2CD4CBAD">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9DAF1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A92DF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425A9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71A728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897D83">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30BE5D3A">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28B8F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A47D8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EA36B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00B242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46FFD4">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3575753D">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90684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C55A6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可持续影响性</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4B418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7D60C4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B30B1C">
            <w:pPr>
              <w:spacing w:beforeLines="0" w:afterLines="0"/>
              <w:rPr>
                <w:rFonts w:hint="default" w:ascii="宋体" w:hAnsi="宋体" w:eastAsia="宋体"/>
                <w:sz w:val="20"/>
                <w:szCs w:val="24"/>
              </w:rPr>
            </w:pPr>
          </w:p>
        </w:tc>
        <w:tc>
          <w:tcPr>
            <w:tcW w:w="850" w:type="dxa"/>
            <w:tcBorders>
              <w:top w:val="single" w:color="000000" w:sz="4" w:space="0"/>
              <w:left w:val="nil"/>
              <w:bottom w:val="single" w:color="000000" w:sz="4" w:space="0"/>
              <w:right w:val="nil"/>
              <w:tl2br w:val="nil"/>
              <w:tr2bl w:val="nil"/>
            </w:tcBorders>
            <w:shd w:val="clear" w:color="auto" w:fill="FFFFFF"/>
            <w:noWrap w:val="0"/>
            <w:vAlign w:val="center"/>
          </w:tcPr>
          <w:p w14:paraId="4B28FD3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B4BAB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50844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F7D27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bl>
    <w:p w14:paraId="58F9AC74">
      <w:pPr>
        <w:spacing w:beforeLines="0" w:afterLines="0"/>
        <w:rPr>
          <w:rFonts w:hint="default" w:ascii="宋体" w:hAnsi="宋体" w:eastAsia="宋体"/>
          <w:sz w:val="20"/>
          <w:szCs w:val="24"/>
        </w:rPr>
        <w:sectPr>
          <w:pgSz w:w="11907" w:h="16840"/>
          <w:pgMar w:top="1400" w:right="1700" w:bottom="1400" w:left="1700" w:header="720" w:footer="720" w:gutter="0"/>
          <w:lnNumType w:countBy="0" w:distance="360"/>
          <w:cols w:space="720" w:num="1"/>
        </w:sectPr>
      </w:pPr>
    </w:p>
    <w:p w14:paraId="0C1E430F">
      <w:pPr>
        <w:spacing w:beforeLines="0" w:afterLines="0"/>
        <w:rPr>
          <w:rFonts w:hint="default" w:ascii="宋体" w:hAnsi="宋体" w:eastAsia="宋体"/>
          <w:sz w:val="20"/>
          <w:szCs w:val="24"/>
        </w:rPr>
      </w:pPr>
    </w:p>
    <w:tbl>
      <w:tblPr>
        <w:tblStyle w:val="4"/>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50"/>
        <w:gridCol w:w="850"/>
        <w:gridCol w:w="850"/>
        <w:gridCol w:w="850"/>
        <w:gridCol w:w="1700"/>
        <w:gridCol w:w="850"/>
        <w:gridCol w:w="850"/>
        <w:gridCol w:w="850"/>
        <w:gridCol w:w="850"/>
      </w:tblGrid>
      <w:tr w14:paraId="55BC47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18AC8055">
            <w:pPr>
              <w:spacing w:beforeLines="0" w:afterLines="0"/>
              <w:rPr>
                <w:rFonts w:hint="default"/>
                <w:sz w:val="24"/>
                <w:szCs w:val="24"/>
              </w:rPr>
            </w:pPr>
          </w:p>
        </w:tc>
      </w:tr>
      <w:tr w14:paraId="7DB95F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30A685A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项目支出绩效目标表</w:t>
            </w:r>
          </w:p>
        </w:tc>
      </w:tr>
      <w:tr w14:paraId="795221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14649C5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（2026年度）</w:t>
            </w:r>
          </w:p>
        </w:tc>
      </w:tr>
      <w:tr w14:paraId="3B93B1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5747F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5950"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A6E1E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工作经费</w:t>
            </w:r>
          </w:p>
        </w:tc>
      </w:tr>
      <w:tr w14:paraId="145AE5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5474E5E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主管部门及代码</w:t>
            </w:r>
          </w:p>
        </w:tc>
        <w:tc>
          <w:tcPr>
            <w:tcW w:w="255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370A8B0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[171]淮北市相山区数据资源管理局</w:t>
            </w:r>
          </w:p>
        </w:tc>
        <w:tc>
          <w:tcPr>
            <w:tcW w:w="170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5BC2227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170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2647CE5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淮北市相山区数据资源管理局（相山区政务服务管理局）</w:t>
            </w:r>
          </w:p>
        </w:tc>
      </w:tr>
      <w:tr w14:paraId="7A4118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E0294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项目来源</w:t>
            </w: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509B2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本级申报项目</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046E0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资金投向领域</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970F08">
            <w:pPr>
              <w:spacing w:beforeLines="0" w:afterLines="0"/>
              <w:jc w:val="center"/>
              <w:rPr>
                <w:rFonts w:hint="default"/>
                <w:sz w:val="24"/>
                <w:szCs w:val="24"/>
              </w:rPr>
            </w:pPr>
          </w:p>
        </w:tc>
      </w:tr>
      <w:tr w14:paraId="0D0286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8F7C7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DDED9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1年</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47AC9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其中：建设期限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F496DE">
            <w:pPr>
              <w:spacing w:beforeLines="0" w:afterLines="0"/>
              <w:jc w:val="center"/>
              <w:rPr>
                <w:rFonts w:hint="default"/>
                <w:sz w:val="24"/>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5EE21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运营期限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CD2F45">
            <w:pPr>
              <w:spacing w:beforeLines="0" w:afterLines="0"/>
              <w:jc w:val="center"/>
              <w:rPr>
                <w:rFonts w:hint="default"/>
                <w:sz w:val="24"/>
                <w:szCs w:val="24"/>
              </w:rPr>
            </w:pPr>
          </w:p>
        </w:tc>
      </w:tr>
      <w:tr w14:paraId="5EC495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96338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w:t>
            </w:r>
          </w:p>
          <w:p w14:paraId="4E06356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（万元）</w:t>
            </w: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F053CB">
            <w:pPr>
              <w:spacing w:beforeLines="0" w:afterLines="0" w:line="320" w:lineRule="atLeast"/>
              <w:rPr>
                <w:rFonts w:hint="default" w:ascii="宋体" w:hAnsi="宋体" w:eastAsia="宋体"/>
                <w:sz w:val="20"/>
                <w:szCs w:val="24"/>
              </w:rPr>
            </w:pPr>
            <w:r>
              <w:rPr>
                <w:rFonts w:hint="default" w:ascii="宋体" w:hAnsi="宋体" w:eastAsia="宋体"/>
                <w:sz w:val="20"/>
                <w:szCs w:val="24"/>
              </w:rPr>
              <w:t>年度资金总额：</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B83E11">
            <w:pPr>
              <w:spacing w:beforeLines="0" w:afterLines="0" w:line="320" w:lineRule="atLeast"/>
              <w:rPr>
                <w:rFonts w:hint="default" w:ascii="宋体" w:hAnsi="宋体" w:eastAsia="宋体"/>
                <w:sz w:val="20"/>
                <w:szCs w:val="24"/>
              </w:rPr>
            </w:pPr>
            <w:r>
              <w:rPr>
                <w:rFonts w:hint="default" w:ascii="宋体" w:hAnsi="宋体" w:eastAsia="宋体"/>
                <w:sz w:val="20"/>
                <w:szCs w:val="24"/>
              </w:rPr>
              <w:t>7.50</w:t>
            </w:r>
          </w:p>
        </w:tc>
      </w:tr>
      <w:tr w14:paraId="35FD59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B87887">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65D7E9">
            <w:pPr>
              <w:spacing w:beforeLines="0" w:afterLines="0" w:line="320" w:lineRule="atLeast"/>
              <w:rPr>
                <w:rFonts w:hint="default" w:ascii="宋体" w:hAnsi="宋体" w:eastAsia="宋体"/>
                <w:sz w:val="20"/>
                <w:szCs w:val="24"/>
              </w:rPr>
            </w:pPr>
            <w:r>
              <w:rPr>
                <w:rFonts w:hint="default" w:ascii="宋体" w:hAnsi="宋体" w:eastAsia="宋体"/>
                <w:sz w:val="20"/>
                <w:szCs w:val="24"/>
              </w:rPr>
              <w:t>其中：财政拨款</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A9AC79">
            <w:pPr>
              <w:spacing w:beforeLines="0" w:afterLines="0" w:line="320" w:lineRule="atLeast"/>
              <w:rPr>
                <w:rFonts w:hint="default" w:ascii="宋体" w:hAnsi="宋体" w:eastAsia="宋体"/>
                <w:sz w:val="20"/>
                <w:szCs w:val="24"/>
              </w:rPr>
            </w:pPr>
            <w:r>
              <w:rPr>
                <w:rFonts w:hint="default" w:ascii="宋体" w:hAnsi="宋体" w:eastAsia="宋体"/>
                <w:sz w:val="20"/>
                <w:szCs w:val="24"/>
              </w:rPr>
              <w:t>7.50</w:t>
            </w:r>
          </w:p>
        </w:tc>
      </w:tr>
      <w:tr w14:paraId="7ED463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B80883">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798EEF">
            <w:pPr>
              <w:spacing w:beforeLines="0" w:afterLines="0" w:line="320" w:lineRule="atLeast"/>
              <w:rPr>
                <w:rFonts w:hint="default" w:ascii="宋体" w:hAnsi="宋体" w:eastAsia="宋体"/>
                <w:sz w:val="20"/>
                <w:szCs w:val="24"/>
              </w:rPr>
            </w:pPr>
            <w:r>
              <w:rPr>
                <w:rFonts w:hint="default" w:ascii="宋体" w:hAnsi="宋体" w:eastAsia="宋体"/>
                <w:sz w:val="20"/>
                <w:szCs w:val="24"/>
              </w:rPr>
              <w:t>专项债券</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4E3CD6">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574824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03F823">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9A3169">
            <w:pPr>
              <w:spacing w:beforeLines="0" w:afterLines="0" w:line="320" w:lineRule="atLeast"/>
              <w:rPr>
                <w:rFonts w:hint="default" w:ascii="宋体" w:hAnsi="宋体" w:eastAsia="宋体"/>
                <w:sz w:val="20"/>
                <w:szCs w:val="24"/>
              </w:rPr>
            </w:pPr>
            <w:r>
              <w:rPr>
                <w:rFonts w:hint="default" w:ascii="宋体" w:hAnsi="宋体" w:eastAsia="宋体"/>
                <w:sz w:val="20"/>
                <w:szCs w:val="24"/>
              </w:rPr>
              <w:t>上年结转</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7F65BC">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00F0FD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3944EB">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B153A2">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03A347">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1F5402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75DF8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w:t>
            </w:r>
          </w:p>
          <w:p w14:paraId="5D915BE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目标</w:t>
            </w:r>
          </w:p>
        </w:tc>
        <w:tc>
          <w:tcPr>
            <w:tcW w:w="7650"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0CCCC2">
            <w:pPr>
              <w:spacing w:beforeLines="0" w:afterLines="0" w:line="320" w:lineRule="atLeast"/>
              <w:rPr>
                <w:rFonts w:hint="default" w:ascii="宋体" w:hAnsi="宋体" w:eastAsia="宋体"/>
                <w:sz w:val="20"/>
                <w:szCs w:val="24"/>
              </w:rPr>
            </w:pPr>
            <w:r>
              <w:rPr>
                <w:rFonts w:hint="default" w:ascii="宋体" w:hAnsi="宋体" w:eastAsia="宋体"/>
                <w:sz w:val="20"/>
                <w:szCs w:val="24"/>
              </w:rPr>
              <w:t>年底前完成90％以上</w:t>
            </w:r>
          </w:p>
        </w:tc>
      </w:tr>
      <w:tr w14:paraId="200591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A945C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w:t>
            </w:r>
          </w:p>
          <w:p w14:paraId="4610F45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w:t>
            </w:r>
          </w:p>
          <w:p w14:paraId="6309E38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w:t>
            </w:r>
          </w:p>
          <w:p w14:paraId="06AED45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标</w:t>
            </w:r>
          </w:p>
        </w:tc>
        <w:tc>
          <w:tcPr>
            <w:tcW w:w="850" w:type="dxa"/>
            <w:tcBorders>
              <w:top w:val="single" w:color="000000" w:sz="4" w:space="0"/>
              <w:left w:val="nil"/>
              <w:bottom w:val="single" w:color="000000" w:sz="4" w:space="0"/>
              <w:right w:val="nil"/>
              <w:tl2br w:val="nil"/>
              <w:tr2bl w:val="nil"/>
            </w:tcBorders>
            <w:shd w:val="clear" w:color="auto" w:fill="FFFFFF"/>
            <w:noWrap w:val="0"/>
            <w:vAlign w:val="center"/>
          </w:tcPr>
          <w:p w14:paraId="140CE5B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w:t>
            </w:r>
          </w:p>
          <w:p w14:paraId="66812A5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54A7C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2BD5F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BEF1A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指标值</w:t>
            </w:r>
          </w:p>
        </w:tc>
      </w:tr>
      <w:tr w14:paraId="225C97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895855">
            <w:pPr>
              <w:spacing w:beforeLines="0" w:afterLines="0"/>
              <w:rPr>
                <w:rFonts w:hint="default" w:ascii="宋体" w:hAnsi="宋体" w:eastAsia="宋体"/>
                <w:sz w:val="20"/>
                <w:szCs w:val="24"/>
              </w:rPr>
            </w:pPr>
          </w:p>
        </w:tc>
        <w:tc>
          <w:tcPr>
            <w:tcW w:w="850" w:type="dxa"/>
            <w:vMerge w:val="restart"/>
            <w:tcBorders>
              <w:top w:val="single" w:color="000000" w:sz="4" w:space="0"/>
              <w:left w:val="nil"/>
              <w:bottom w:val="single" w:color="000000" w:sz="4" w:space="0"/>
              <w:right w:val="nil"/>
              <w:tl2br w:val="nil"/>
              <w:tr2bl w:val="nil"/>
            </w:tcBorders>
            <w:shd w:val="clear" w:color="auto" w:fill="FFFFFF"/>
            <w:noWrap w:val="0"/>
            <w:vAlign w:val="center"/>
          </w:tcPr>
          <w:p w14:paraId="5CB06EE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79809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E8C54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项目金额</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6D6C8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75000元</w:t>
            </w:r>
          </w:p>
        </w:tc>
      </w:tr>
      <w:tr w14:paraId="0BA93E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0F5CE1">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0C387EEC">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2E620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2FFFE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完成质量</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A6253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035794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75C3E3">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647A620E">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8C3D0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C07EF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完成时效</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F1D92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≤12月</w:t>
            </w:r>
          </w:p>
        </w:tc>
      </w:tr>
      <w:tr w14:paraId="051126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2EDF87">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1058B9A2">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C1BA8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86BE3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完成成本</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684BB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≤75000元</w:t>
            </w:r>
          </w:p>
        </w:tc>
      </w:tr>
      <w:tr w14:paraId="3CBB2D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4AE4EA">
            <w:pPr>
              <w:spacing w:beforeLines="0" w:afterLines="0"/>
              <w:rPr>
                <w:rFonts w:hint="default" w:ascii="宋体" w:hAnsi="宋体" w:eastAsia="宋体"/>
                <w:sz w:val="20"/>
                <w:szCs w:val="24"/>
              </w:rPr>
            </w:pPr>
          </w:p>
        </w:tc>
        <w:tc>
          <w:tcPr>
            <w:tcW w:w="850" w:type="dxa"/>
            <w:vMerge w:val="restart"/>
            <w:tcBorders>
              <w:top w:val="single" w:color="000000" w:sz="4" w:space="0"/>
              <w:left w:val="nil"/>
              <w:bottom w:val="single" w:color="000000" w:sz="4" w:space="0"/>
              <w:right w:val="nil"/>
              <w:tl2br w:val="nil"/>
              <w:tr2bl w:val="nil"/>
            </w:tcBorders>
            <w:shd w:val="clear" w:color="auto" w:fill="FFFFFF"/>
            <w:noWrap w:val="0"/>
            <w:vAlign w:val="center"/>
          </w:tcPr>
          <w:p w14:paraId="5E9032D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3074E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B5B0B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8C700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398404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FF2902">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4A37AB2B">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2523A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8B682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29D5C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695671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877264">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452E7082">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24BC9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EF22B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FE3DA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479881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8AE616">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5AC875E6">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3298C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A42BB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4F48E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51736B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8BEEBF">
            <w:pPr>
              <w:spacing w:beforeLines="0" w:afterLines="0"/>
              <w:rPr>
                <w:rFonts w:hint="default" w:ascii="宋体" w:hAnsi="宋体" w:eastAsia="宋体"/>
                <w:sz w:val="20"/>
                <w:szCs w:val="24"/>
              </w:rPr>
            </w:pPr>
          </w:p>
        </w:tc>
        <w:tc>
          <w:tcPr>
            <w:tcW w:w="850" w:type="dxa"/>
            <w:tcBorders>
              <w:top w:val="single" w:color="000000" w:sz="4" w:space="0"/>
              <w:left w:val="nil"/>
              <w:bottom w:val="single" w:color="000000" w:sz="4" w:space="0"/>
              <w:right w:val="nil"/>
              <w:tl2br w:val="nil"/>
              <w:tr2bl w:val="nil"/>
            </w:tcBorders>
            <w:shd w:val="clear" w:color="auto" w:fill="FFFFFF"/>
            <w:noWrap w:val="0"/>
            <w:vAlign w:val="center"/>
          </w:tcPr>
          <w:p w14:paraId="37197DE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5079E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D5F06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48353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bl>
    <w:p w14:paraId="27010F71">
      <w:pPr>
        <w:spacing w:beforeLines="0" w:afterLines="0"/>
        <w:rPr>
          <w:rFonts w:hint="default" w:ascii="宋体" w:hAnsi="宋体" w:eastAsia="宋体"/>
          <w:sz w:val="20"/>
          <w:szCs w:val="24"/>
        </w:rPr>
        <w:sectPr>
          <w:pgSz w:w="11907" w:h="16840"/>
          <w:pgMar w:top="1400" w:right="1700" w:bottom="1400" w:left="1700" w:header="720" w:footer="720" w:gutter="0"/>
          <w:lnNumType w:countBy="0" w:distance="360"/>
          <w:cols w:space="720" w:num="1"/>
        </w:sectPr>
      </w:pPr>
    </w:p>
    <w:p w14:paraId="268D5362">
      <w:pPr>
        <w:spacing w:beforeLines="0" w:afterLines="0"/>
        <w:rPr>
          <w:rFonts w:hint="default" w:ascii="宋体" w:hAnsi="宋体" w:eastAsia="宋体"/>
          <w:sz w:val="20"/>
          <w:szCs w:val="24"/>
        </w:rPr>
      </w:pPr>
    </w:p>
    <w:tbl>
      <w:tblPr>
        <w:tblStyle w:val="4"/>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50"/>
        <w:gridCol w:w="850"/>
        <w:gridCol w:w="850"/>
        <w:gridCol w:w="850"/>
        <w:gridCol w:w="1700"/>
        <w:gridCol w:w="850"/>
        <w:gridCol w:w="850"/>
        <w:gridCol w:w="850"/>
        <w:gridCol w:w="850"/>
      </w:tblGrid>
      <w:tr w14:paraId="68AD64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3D0352FE">
            <w:pPr>
              <w:spacing w:beforeLines="0" w:afterLines="0"/>
              <w:rPr>
                <w:rFonts w:hint="default"/>
                <w:sz w:val="24"/>
                <w:szCs w:val="24"/>
              </w:rPr>
            </w:pPr>
          </w:p>
        </w:tc>
      </w:tr>
      <w:tr w14:paraId="60C2E9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57E7F02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项目支出绩效目标表</w:t>
            </w:r>
          </w:p>
        </w:tc>
      </w:tr>
      <w:tr w14:paraId="24221A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60AAF7C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（2026年度）</w:t>
            </w:r>
          </w:p>
        </w:tc>
      </w:tr>
      <w:tr w14:paraId="7E344C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AD2A8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5950"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532E5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劳务派遣人员工资</w:t>
            </w:r>
          </w:p>
        </w:tc>
      </w:tr>
      <w:tr w14:paraId="7A58F4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5E889BE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主管部门及代码</w:t>
            </w:r>
          </w:p>
        </w:tc>
        <w:tc>
          <w:tcPr>
            <w:tcW w:w="255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556B91D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[171]淮北市相山区数据资源管理局</w:t>
            </w:r>
          </w:p>
        </w:tc>
        <w:tc>
          <w:tcPr>
            <w:tcW w:w="170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3281669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170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2177FD3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淮北市相山区数据资源管理局（相山区政务服务管理局）</w:t>
            </w:r>
          </w:p>
        </w:tc>
      </w:tr>
      <w:tr w14:paraId="1C479A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98D87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项目来源</w:t>
            </w: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0542C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本级申报项目</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1FDD2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资金投向领域</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37D339">
            <w:pPr>
              <w:spacing w:beforeLines="0" w:afterLines="0"/>
              <w:jc w:val="center"/>
              <w:rPr>
                <w:rFonts w:hint="default"/>
                <w:sz w:val="24"/>
                <w:szCs w:val="24"/>
              </w:rPr>
            </w:pPr>
          </w:p>
        </w:tc>
      </w:tr>
      <w:tr w14:paraId="5213B3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65A5F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C6D3E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1年</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AA57A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其中：建设期限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8420CE">
            <w:pPr>
              <w:spacing w:beforeLines="0" w:afterLines="0"/>
              <w:jc w:val="center"/>
              <w:rPr>
                <w:rFonts w:hint="default"/>
                <w:sz w:val="24"/>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265EA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运营期限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5CB29C">
            <w:pPr>
              <w:spacing w:beforeLines="0" w:afterLines="0"/>
              <w:jc w:val="center"/>
              <w:rPr>
                <w:rFonts w:hint="default"/>
                <w:sz w:val="24"/>
                <w:szCs w:val="24"/>
              </w:rPr>
            </w:pPr>
          </w:p>
        </w:tc>
      </w:tr>
      <w:tr w14:paraId="33EA56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9230F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w:t>
            </w:r>
          </w:p>
          <w:p w14:paraId="49655F9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（万元）</w:t>
            </w: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9E27B8">
            <w:pPr>
              <w:spacing w:beforeLines="0" w:afterLines="0" w:line="320" w:lineRule="atLeast"/>
              <w:rPr>
                <w:rFonts w:hint="default" w:ascii="宋体" w:hAnsi="宋体" w:eastAsia="宋体"/>
                <w:sz w:val="20"/>
                <w:szCs w:val="24"/>
              </w:rPr>
            </w:pPr>
            <w:r>
              <w:rPr>
                <w:rFonts w:hint="default" w:ascii="宋体" w:hAnsi="宋体" w:eastAsia="宋体"/>
                <w:sz w:val="20"/>
                <w:szCs w:val="24"/>
              </w:rPr>
              <w:t>年度资金总额：</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BEEB91">
            <w:pPr>
              <w:spacing w:beforeLines="0" w:afterLines="0" w:line="320" w:lineRule="atLeast"/>
              <w:rPr>
                <w:rFonts w:hint="default" w:ascii="宋体" w:hAnsi="宋体" w:eastAsia="宋体"/>
                <w:sz w:val="20"/>
                <w:szCs w:val="24"/>
              </w:rPr>
            </w:pPr>
            <w:r>
              <w:rPr>
                <w:rFonts w:hint="default" w:ascii="宋体" w:hAnsi="宋体" w:eastAsia="宋体"/>
                <w:sz w:val="20"/>
                <w:szCs w:val="24"/>
              </w:rPr>
              <w:t>43.00</w:t>
            </w:r>
          </w:p>
        </w:tc>
      </w:tr>
      <w:tr w14:paraId="4EC867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B61F3B">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A2B874">
            <w:pPr>
              <w:spacing w:beforeLines="0" w:afterLines="0" w:line="320" w:lineRule="atLeast"/>
              <w:rPr>
                <w:rFonts w:hint="default" w:ascii="宋体" w:hAnsi="宋体" w:eastAsia="宋体"/>
                <w:sz w:val="20"/>
                <w:szCs w:val="24"/>
              </w:rPr>
            </w:pPr>
            <w:r>
              <w:rPr>
                <w:rFonts w:hint="default" w:ascii="宋体" w:hAnsi="宋体" w:eastAsia="宋体"/>
                <w:sz w:val="20"/>
                <w:szCs w:val="24"/>
              </w:rPr>
              <w:t>其中：财政拨款</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ACC720">
            <w:pPr>
              <w:spacing w:beforeLines="0" w:afterLines="0" w:line="320" w:lineRule="atLeast"/>
              <w:rPr>
                <w:rFonts w:hint="default" w:ascii="宋体" w:hAnsi="宋体" w:eastAsia="宋体"/>
                <w:sz w:val="20"/>
                <w:szCs w:val="24"/>
              </w:rPr>
            </w:pPr>
            <w:r>
              <w:rPr>
                <w:rFonts w:hint="default" w:ascii="宋体" w:hAnsi="宋体" w:eastAsia="宋体"/>
                <w:sz w:val="20"/>
                <w:szCs w:val="24"/>
              </w:rPr>
              <w:t>43.00</w:t>
            </w:r>
          </w:p>
        </w:tc>
      </w:tr>
      <w:tr w14:paraId="7058C3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CE22B7">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553BD6">
            <w:pPr>
              <w:spacing w:beforeLines="0" w:afterLines="0" w:line="320" w:lineRule="atLeast"/>
              <w:rPr>
                <w:rFonts w:hint="default" w:ascii="宋体" w:hAnsi="宋体" w:eastAsia="宋体"/>
                <w:sz w:val="20"/>
                <w:szCs w:val="24"/>
              </w:rPr>
            </w:pPr>
            <w:r>
              <w:rPr>
                <w:rFonts w:hint="default" w:ascii="宋体" w:hAnsi="宋体" w:eastAsia="宋体"/>
                <w:sz w:val="20"/>
                <w:szCs w:val="24"/>
              </w:rPr>
              <w:t>专项债券</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EBFABB">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35BBA5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3C5678">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F44107">
            <w:pPr>
              <w:spacing w:beforeLines="0" w:afterLines="0" w:line="320" w:lineRule="atLeast"/>
              <w:rPr>
                <w:rFonts w:hint="default" w:ascii="宋体" w:hAnsi="宋体" w:eastAsia="宋体"/>
                <w:sz w:val="20"/>
                <w:szCs w:val="24"/>
              </w:rPr>
            </w:pPr>
            <w:r>
              <w:rPr>
                <w:rFonts w:hint="default" w:ascii="宋体" w:hAnsi="宋体" w:eastAsia="宋体"/>
                <w:sz w:val="20"/>
                <w:szCs w:val="24"/>
              </w:rPr>
              <w:t>上年结转</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E94DFC">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196707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0E3C88">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3D733F">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65E990">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40D94A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FA834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w:t>
            </w:r>
          </w:p>
          <w:p w14:paraId="7A34F06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目标</w:t>
            </w:r>
          </w:p>
        </w:tc>
        <w:tc>
          <w:tcPr>
            <w:tcW w:w="7650"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CA5739">
            <w:pPr>
              <w:spacing w:beforeLines="0" w:afterLines="0" w:line="320" w:lineRule="atLeast"/>
              <w:rPr>
                <w:rFonts w:hint="default" w:ascii="宋体" w:hAnsi="宋体" w:eastAsia="宋体"/>
                <w:sz w:val="20"/>
                <w:szCs w:val="24"/>
              </w:rPr>
            </w:pPr>
            <w:r>
              <w:rPr>
                <w:rFonts w:hint="default" w:ascii="宋体" w:hAnsi="宋体" w:eastAsia="宋体"/>
                <w:sz w:val="20"/>
                <w:szCs w:val="24"/>
              </w:rPr>
              <w:t>年底前完成项目的90％以上</w:t>
            </w:r>
          </w:p>
        </w:tc>
      </w:tr>
      <w:tr w14:paraId="3D7460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CA57B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w:t>
            </w:r>
          </w:p>
          <w:p w14:paraId="13CB131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w:t>
            </w:r>
          </w:p>
          <w:p w14:paraId="2601979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w:t>
            </w:r>
          </w:p>
          <w:p w14:paraId="6B02154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标</w:t>
            </w:r>
          </w:p>
        </w:tc>
        <w:tc>
          <w:tcPr>
            <w:tcW w:w="850" w:type="dxa"/>
            <w:tcBorders>
              <w:top w:val="single" w:color="000000" w:sz="4" w:space="0"/>
              <w:left w:val="nil"/>
              <w:bottom w:val="single" w:color="000000" w:sz="4" w:space="0"/>
              <w:right w:val="nil"/>
              <w:tl2br w:val="nil"/>
              <w:tr2bl w:val="nil"/>
            </w:tcBorders>
            <w:shd w:val="clear" w:color="auto" w:fill="FFFFFF"/>
            <w:noWrap w:val="0"/>
            <w:vAlign w:val="center"/>
          </w:tcPr>
          <w:p w14:paraId="40B62FD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w:t>
            </w:r>
          </w:p>
          <w:p w14:paraId="381AEB5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AA9C9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09003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47B5B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指标值</w:t>
            </w:r>
          </w:p>
        </w:tc>
      </w:tr>
      <w:tr w14:paraId="76381B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6D4D2B">
            <w:pPr>
              <w:spacing w:beforeLines="0" w:afterLines="0"/>
              <w:rPr>
                <w:rFonts w:hint="default" w:ascii="宋体" w:hAnsi="宋体" w:eastAsia="宋体"/>
                <w:sz w:val="20"/>
                <w:szCs w:val="24"/>
              </w:rPr>
            </w:pPr>
          </w:p>
        </w:tc>
        <w:tc>
          <w:tcPr>
            <w:tcW w:w="850" w:type="dxa"/>
            <w:vMerge w:val="restart"/>
            <w:tcBorders>
              <w:top w:val="single" w:color="000000" w:sz="4" w:space="0"/>
              <w:left w:val="nil"/>
              <w:bottom w:val="single" w:color="000000" w:sz="4" w:space="0"/>
              <w:right w:val="nil"/>
              <w:tl2br w:val="nil"/>
              <w:tr2bl w:val="nil"/>
            </w:tcBorders>
            <w:shd w:val="clear" w:color="auto" w:fill="FFFFFF"/>
            <w:noWrap w:val="0"/>
            <w:vAlign w:val="center"/>
          </w:tcPr>
          <w:p w14:paraId="0B676DB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777AA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E6601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项目金额</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940C5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430000元</w:t>
            </w:r>
          </w:p>
        </w:tc>
      </w:tr>
      <w:tr w14:paraId="2C7459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452C74">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2BDBDA42">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1D920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22A71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完成质量</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92125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571AB6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BAA685">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77B6B175">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7D0EE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330D9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完成时效</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2FF87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≤12月</w:t>
            </w:r>
          </w:p>
        </w:tc>
      </w:tr>
      <w:tr w14:paraId="59145B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1004C5">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69C4382F">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B39BA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6028E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完成成本</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D670B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≤430000元</w:t>
            </w:r>
          </w:p>
        </w:tc>
      </w:tr>
      <w:tr w14:paraId="5DB13B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6054BF">
            <w:pPr>
              <w:spacing w:beforeLines="0" w:afterLines="0"/>
              <w:rPr>
                <w:rFonts w:hint="default" w:ascii="宋体" w:hAnsi="宋体" w:eastAsia="宋体"/>
                <w:sz w:val="20"/>
                <w:szCs w:val="24"/>
              </w:rPr>
            </w:pPr>
          </w:p>
        </w:tc>
        <w:tc>
          <w:tcPr>
            <w:tcW w:w="850" w:type="dxa"/>
            <w:vMerge w:val="restart"/>
            <w:tcBorders>
              <w:top w:val="single" w:color="000000" w:sz="4" w:space="0"/>
              <w:left w:val="nil"/>
              <w:bottom w:val="single" w:color="000000" w:sz="4" w:space="0"/>
              <w:right w:val="nil"/>
              <w:tl2br w:val="nil"/>
              <w:tr2bl w:val="nil"/>
            </w:tcBorders>
            <w:shd w:val="clear" w:color="auto" w:fill="FFFFFF"/>
            <w:noWrap w:val="0"/>
            <w:vAlign w:val="center"/>
          </w:tcPr>
          <w:p w14:paraId="2378A6C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35C36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2631B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CCF8B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3B00DE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20F1F5">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36F1BF4D">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14187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F7B4A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28FE6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7A251E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6CC758">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58F2A820">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BA5EF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08648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EB36E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3CF3B7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FCEFA3">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46E21A89">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E05D6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32537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可持续性</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B4480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692F12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6D1837">
            <w:pPr>
              <w:spacing w:beforeLines="0" w:afterLines="0"/>
              <w:rPr>
                <w:rFonts w:hint="default" w:ascii="宋体" w:hAnsi="宋体" w:eastAsia="宋体"/>
                <w:sz w:val="20"/>
                <w:szCs w:val="24"/>
              </w:rPr>
            </w:pPr>
          </w:p>
        </w:tc>
        <w:tc>
          <w:tcPr>
            <w:tcW w:w="850" w:type="dxa"/>
            <w:tcBorders>
              <w:top w:val="single" w:color="000000" w:sz="4" w:space="0"/>
              <w:left w:val="nil"/>
              <w:bottom w:val="single" w:color="000000" w:sz="4" w:space="0"/>
              <w:right w:val="nil"/>
              <w:tl2br w:val="nil"/>
              <w:tr2bl w:val="nil"/>
            </w:tcBorders>
            <w:shd w:val="clear" w:color="auto" w:fill="FFFFFF"/>
            <w:noWrap w:val="0"/>
            <w:vAlign w:val="center"/>
          </w:tcPr>
          <w:p w14:paraId="6E9526C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E99A7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922AC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4C9F8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bl>
    <w:p w14:paraId="770C8608">
      <w:pPr>
        <w:spacing w:beforeLines="0" w:afterLines="0"/>
        <w:rPr>
          <w:rFonts w:hint="default" w:ascii="FangSong_GB2312" w:hAnsi="FangSong_GB2312" w:eastAsia="FangSong_GB2312"/>
          <w:sz w:val="32"/>
          <w:szCs w:val="24"/>
        </w:rPr>
      </w:pPr>
      <w:bookmarkStart w:id="0" w:name="_GoBack"/>
      <w:bookmarkEnd w:id="0"/>
    </w:p>
    <w:sectPr>
      <w:footerReference r:id="rId4" w:type="default"/>
      <w:footerReference r:id="rId5" w:type="even"/>
      <w:pgSz w:w="11906" w:h="16838"/>
      <w:pgMar w:top="1440" w:right="1797" w:bottom="1440" w:left="1797" w:header="850" w:footer="992" w:gutter="0"/>
      <w:pgBorders>
        <w:top w:val="none" w:sz="0" w:space="0"/>
        <w:left w:val="none" w:sz="0" w:space="0"/>
        <w:bottom w:val="none" w:sz="0" w:space="0"/>
        <w:right w:val="none" w:sz="0" w:space="0"/>
      </w:pgBorders>
      <w:pgNumType w:fmt="numberInDash"/>
      <w:cols w:space="720" w:num="1"/>
      <w:rtlGutter w:val="0"/>
      <w:docGrid w:type="linesAndChars" w:linePitch="437" w:charSpace="25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
    <w:altName w:val="Traditional Arabic"/>
    <w:panose1 w:val="02020603050405020304"/>
    <w:charset w:val="00"/>
    <w:family w:val="auto"/>
    <w:pitch w:val="default"/>
    <w:sig w:usb0="00000000" w:usb1="00000000" w:usb2="00000029" w:usb3="00000000" w:csb0="600001FF" w:csb1="FFFF0000"/>
  </w:font>
  <w:font w:name="Traditional Arabic">
    <w:panose1 w:val="02020603050405020304"/>
    <w:charset w:val="00"/>
    <w:family w:val="auto"/>
    <w:pitch w:val="default"/>
    <w:sig w:usb0="00006003" w:usb1="80000000" w:usb2="00000008" w:usb3="00000000" w:csb0="00000041" w:csb1="2008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font>
  <w:font w:name="FangSong_GB2312">
    <w:altName w:val="仿宋_GB2312"/>
    <w:panose1 w:val="00000000000000000000"/>
    <w:charset w:val="00"/>
    <w:family w:val="roman"/>
    <w:pitch w:val="default"/>
    <w:sig w:usb0="00000000" w:usb1="00000000" w:usb2="00000000" w:usb3="00000000" w:csb0="00000001" w:csb1="00000000"/>
  </w:font>
  <w:font w:name="STZhongsong">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仿宋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汉仪中秀体简">
    <w:altName w:val="汉仪君黑-45简"/>
    <w:panose1 w:val="00000000000000000000"/>
    <w:charset w:val="00"/>
    <w:family w:val="auto"/>
    <w:pitch w:val="default"/>
    <w:sig w:usb0="00000000" w:usb1="00000000" w:usb2="00000000" w:usb3="00000000" w:csb0="00040001" w:csb1="00000000"/>
  </w:font>
  <w:font w:name="汉仪君黑-45简">
    <w:panose1 w:val="020B0604020202020204"/>
    <w:charset w:val="86"/>
    <w:family w:val="auto"/>
    <w:pitch w:val="default"/>
    <w:sig w:usb0="A00002BF" w:usb1="0ACF7CFA" w:usb2="00000016" w:usb3="00000000" w:csb0="2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F2592">
    <w:pPr>
      <w:pStyle w:val="2"/>
      <w:jc w:val="right"/>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972C9D">
                          <w:pPr>
                            <w:pStyle w:val="2"/>
                            <w:rPr>
                              <w:rFonts w:hint="default" w:ascii="TimesNewRoman" w:hAnsi="TimesNewRoman" w:cs="TimesNewRoman"/>
                              <w:sz w:val="21"/>
                              <w:szCs w:val="21"/>
                            </w:rPr>
                          </w:pPr>
                          <w:r>
                            <w:rPr>
                              <w:rFonts w:hint="default" w:ascii="TimesNewRoman" w:hAnsi="TimesNewRoman" w:cs="TimesNewRoman"/>
                              <w:sz w:val="21"/>
                              <w:szCs w:val="21"/>
                            </w:rPr>
                            <w:fldChar w:fldCharType="begin"/>
                          </w:r>
                          <w:r>
                            <w:rPr>
                              <w:rFonts w:hint="default" w:ascii="TimesNewRoman" w:hAnsi="TimesNewRoman" w:cs="TimesNewRoman"/>
                              <w:sz w:val="21"/>
                              <w:szCs w:val="21"/>
                            </w:rPr>
                            <w:instrText xml:space="preserve"> PAGE  \* MERGEFORMAT </w:instrText>
                          </w:r>
                          <w:r>
                            <w:rPr>
                              <w:rFonts w:hint="default" w:ascii="TimesNewRoman" w:hAnsi="TimesNewRoman" w:cs="TimesNewRoman"/>
                              <w:sz w:val="21"/>
                              <w:szCs w:val="21"/>
                            </w:rPr>
                            <w:fldChar w:fldCharType="separate"/>
                          </w:r>
                          <w:r>
                            <w:rPr>
                              <w:rFonts w:hint="default" w:ascii="TimesNewRoman" w:hAnsi="TimesNewRoman" w:cs="TimesNewRoman"/>
                              <w:sz w:val="21"/>
                              <w:szCs w:val="21"/>
                            </w:rPr>
                            <w:t>1</w:t>
                          </w:r>
                          <w:r>
                            <w:rPr>
                              <w:rFonts w:hint="default" w:ascii="TimesNewRoman" w:hAnsi="TimesNewRoman" w:cs="TimesNewRoman"/>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1972C9D">
                    <w:pPr>
                      <w:pStyle w:val="2"/>
                      <w:rPr>
                        <w:rFonts w:hint="default" w:ascii="TimesNewRoman" w:hAnsi="TimesNewRoman" w:cs="TimesNewRoman"/>
                        <w:sz w:val="21"/>
                        <w:szCs w:val="21"/>
                      </w:rPr>
                    </w:pPr>
                    <w:r>
                      <w:rPr>
                        <w:rFonts w:hint="default" w:ascii="TimesNewRoman" w:hAnsi="TimesNewRoman" w:cs="TimesNewRoman"/>
                        <w:sz w:val="21"/>
                        <w:szCs w:val="21"/>
                      </w:rPr>
                      <w:fldChar w:fldCharType="begin"/>
                    </w:r>
                    <w:r>
                      <w:rPr>
                        <w:rFonts w:hint="default" w:ascii="TimesNewRoman" w:hAnsi="TimesNewRoman" w:cs="TimesNewRoman"/>
                        <w:sz w:val="21"/>
                        <w:szCs w:val="21"/>
                      </w:rPr>
                      <w:instrText xml:space="preserve"> PAGE  \* MERGEFORMAT </w:instrText>
                    </w:r>
                    <w:r>
                      <w:rPr>
                        <w:rFonts w:hint="default" w:ascii="TimesNewRoman" w:hAnsi="TimesNewRoman" w:cs="TimesNewRoman"/>
                        <w:sz w:val="21"/>
                        <w:szCs w:val="21"/>
                      </w:rPr>
                      <w:fldChar w:fldCharType="separate"/>
                    </w:r>
                    <w:r>
                      <w:rPr>
                        <w:rFonts w:hint="default" w:ascii="TimesNewRoman" w:hAnsi="TimesNewRoman" w:cs="TimesNewRoman"/>
                        <w:sz w:val="21"/>
                        <w:szCs w:val="21"/>
                      </w:rPr>
                      <w:t>1</w:t>
                    </w:r>
                    <w:r>
                      <w:rPr>
                        <w:rFonts w:hint="default" w:ascii="TimesNewRoman" w:hAnsi="TimesNewRoman" w:cs="TimesNewRoman"/>
                        <w:sz w:val="21"/>
                        <w:szCs w:val="21"/>
                      </w:rPr>
                      <w:fldChar w:fldCharType="end"/>
                    </w:r>
                  </w:p>
                </w:txbxContent>
              </v:textbox>
            </v:shape>
          </w:pict>
        </mc:Fallback>
      </mc:AlternateContent>
    </w:r>
  </w:p>
  <w:p w14:paraId="3F38A22F">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F7049">
    <w:pPr>
      <w:pStyle w:val="2"/>
      <w:ind w:right="360"/>
      <w:jc w:val="right"/>
      <w:rPr>
        <w:rFonts w:hint="eastAsia" w:ascii="仿宋_GB2312"/>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7444BC">
                          <w:pPr>
                            <w:pStyle w:val="2"/>
                            <w:rPr>
                              <w:rFonts w:hint="default" w:ascii="TimesNewRoman" w:hAnsi="TimesNewRoman" w:cs="TimesNewRoman"/>
                              <w:sz w:val="21"/>
                              <w:szCs w:val="21"/>
                            </w:rPr>
                          </w:pPr>
                          <w:r>
                            <w:rPr>
                              <w:rFonts w:hint="default" w:ascii="TimesNewRoman" w:hAnsi="TimesNewRoman" w:cs="TimesNewRoman"/>
                              <w:sz w:val="21"/>
                              <w:szCs w:val="21"/>
                            </w:rPr>
                            <w:fldChar w:fldCharType="begin"/>
                          </w:r>
                          <w:r>
                            <w:rPr>
                              <w:rFonts w:hint="default" w:ascii="TimesNewRoman" w:hAnsi="TimesNewRoman" w:cs="TimesNewRoman"/>
                              <w:sz w:val="21"/>
                              <w:szCs w:val="21"/>
                            </w:rPr>
                            <w:instrText xml:space="preserve"> PAGE  \* MERGEFORMAT </w:instrText>
                          </w:r>
                          <w:r>
                            <w:rPr>
                              <w:rFonts w:hint="default" w:ascii="TimesNewRoman" w:hAnsi="TimesNewRoman" w:cs="TimesNewRoman"/>
                              <w:sz w:val="21"/>
                              <w:szCs w:val="21"/>
                            </w:rPr>
                            <w:fldChar w:fldCharType="separate"/>
                          </w:r>
                          <w:r>
                            <w:rPr>
                              <w:rFonts w:hint="default" w:ascii="TimesNewRoman" w:hAnsi="TimesNewRoman" w:cs="TimesNewRoman"/>
                              <w:sz w:val="21"/>
                              <w:szCs w:val="21"/>
                            </w:rPr>
                            <w:t>- 25 -</w:t>
                          </w:r>
                          <w:r>
                            <w:rPr>
                              <w:rFonts w:hint="default" w:ascii="TimesNewRoman" w:hAnsi="TimesNewRoman" w:cs="TimesNewRoman"/>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17444BC">
                    <w:pPr>
                      <w:pStyle w:val="2"/>
                      <w:rPr>
                        <w:rFonts w:hint="default" w:ascii="TimesNewRoman" w:hAnsi="TimesNewRoman" w:cs="TimesNewRoman"/>
                        <w:sz w:val="21"/>
                        <w:szCs w:val="21"/>
                      </w:rPr>
                    </w:pPr>
                    <w:r>
                      <w:rPr>
                        <w:rFonts w:hint="default" w:ascii="TimesNewRoman" w:hAnsi="TimesNewRoman" w:cs="TimesNewRoman"/>
                        <w:sz w:val="21"/>
                        <w:szCs w:val="21"/>
                      </w:rPr>
                      <w:fldChar w:fldCharType="begin"/>
                    </w:r>
                    <w:r>
                      <w:rPr>
                        <w:rFonts w:hint="default" w:ascii="TimesNewRoman" w:hAnsi="TimesNewRoman" w:cs="TimesNewRoman"/>
                        <w:sz w:val="21"/>
                        <w:szCs w:val="21"/>
                      </w:rPr>
                      <w:instrText xml:space="preserve"> PAGE  \* MERGEFORMAT </w:instrText>
                    </w:r>
                    <w:r>
                      <w:rPr>
                        <w:rFonts w:hint="default" w:ascii="TimesNewRoman" w:hAnsi="TimesNewRoman" w:cs="TimesNewRoman"/>
                        <w:sz w:val="21"/>
                        <w:szCs w:val="21"/>
                      </w:rPr>
                      <w:fldChar w:fldCharType="separate"/>
                    </w:r>
                    <w:r>
                      <w:rPr>
                        <w:rFonts w:hint="default" w:ascii="TimesNewRoman" w:hAnsi="TimesNewRoman" w:cs="TimesNewRoman"/>
                        <w:sz w:val="21"/>
                        <w:szCs w:val="21"/>
                      </w:rPr>
                      <w:t>- 25 -</w:t>
                    </w:r>
                    <w:r>
                      <w:rPr>
                        <w:rFonts w:hint="default" w:ascii="TimesNewRoman" w:hAnsi="TimesNewRoman" w:cs="TimesNewRoman"/>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669E6">
    <w:pPr>
      <w:pStyle w:val="2"/>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14:paraId="4E3FF108">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F34332"/>
    <w:multiLevelType w:val="singleLevel"/>
    <w:tmpl w:val="61F34332"/>
    <w:lvl w:ilvl="0" w:tentative="0">
      <w:start w:val="2"/>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B11506"/>
    <w:rsid w:val="10BC5375"/>
    <w:rsid w:val="12372F05"/>
    <w:rsid w:val="17B2302E"/>
    <w:rsid w:val="18316649"/>
    <w:rsid w:val="19EC6CCB"/>
    <w:rsid w:val="1B6D605D"/>
    <w:rsid w:val="1C2838BF"/>
    <w:rsid w:val="1DDC2BB3"/>
    <w:rsid w:val="21D7200F"/>
    <w:rsid w:val="22513B6F"/>
    <w:rsid w:val="23BD6FE3"/>
    <w:rsid w:val="299A404E"/>
    <w:rsid w:val="34C208FD"/>
    <w:rsid w:val="3A0B68A2"/>
    <w:rsid w:val="3BD322AF"/>
    <w:rsid w:val="45B11506"/>
    <w:rsid w:val="4D6D36A4"/>
    <w:rsid w:val="4DE65204"/>
    <w:rsid w:val="4DF51004"/>
    <w:rsid w:val="528943B0"/>
    <w:rsid w:val="57E26A3C"/>
    <w:rsid w:val="59F111B9"/>
    <w:rsid w:val="5CCC3817"/>
    <w:rsid w:val="61DB4C28"/>
    <w:rsid w:val="63660521"/>
    <w:rsid w:val="65134E9F"/>
    <w:rsid w:val="6A274783"/>
    <w:rsid w:val="6C9B343E"/>
    <w:rsid w:val="78DD498A"/>
    <w:rsid w:val="7E105802"/>
    <w:rsid w:val="7E1D1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rPr>
      <w:rFonts w:eastAsia="宋体"/>
      <w:sz w:val="24"/>
      <w:szCs w:val="24"/>
    </w:rPr>
  </w:style>
  <w:style w:type="character" w:styleId="6">
    <w:name w:val="Strong"/>
    <w:basedOn w:val="5"/>
    <w:qFormat/>
    <w:uiPriority w:val="0"/>
    <w:rPr>
      <w:b/>
      <w:bCs/>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3649</Words>
  <Characters>4279</Characters>
  <Lines>0</Lines>
  <Paragraphs>0</Paragraphs>
  <TotalTime>0</TotalTime>
  <ScaleCrop>false</ScaleCrop>
  <LinksUpToDate>false</LinksUpToDate>
  <CharactersWithSpaces>5119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2026-02-27T08:37:00Z</dcterms:created>
  <dc:creator>韦大炮</dc:creator>
  <cp:lastModifiedBy>韦大炮</cp:lastModifiedBy>
  <dcterms:modified xsi:type="dcterms:W3CDTF">2026-03-02T08:33:48Z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C3A41D1E14714AB99F0270DCC5111848_11</vt:lpwstr>
  </property>
  <property fmtid="{D5CDD505-2E9C-101B-9397-08002B2CF9AE}" pid="4" name="KSOTemplateDocerSaveRecord">
    <vt:lpwstr>eyJoZGlkIjoiZWMwNzU2ODdjMDM4YTBmYThlZmNmNGViNDQwOWRhNDkiLCJ1c2VySWQiOiI1NDczMDIwNjAifQ==</vt:lpwstr>
  </property>
</Properties>
</file>