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632A5">
      <w:pPr>
        <w:spacing w:line="560" w:lineRule="exact"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ascii="宋体" w:hAnsi="宋体" w:eastAsia="宋体" w:cs="宋体"/>
          <w:b/>
          <w:sz w:val="44"/>
          <w:szCs w:val="44"/>
        </w:rPr>
        <w:t>相山区202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44"/>
          <w:szCs w:val="44"/>
        </w:rPr>
        <w:t>年度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小麦赤霉病防控</w:t>
      </w:r>
      <w:r>
        <w:rPr>
          <w:rFonts w:hint="eastAsia" w:ascii="宋体" w:hAnsi="宋体" w:eastAsia="宋体" w:cs="宋体"/>
          <w:b/>
          <w:sz w:val="44"/>
          <w:szCs w:val="44"/>
        </w:rPr>
        <w:t>资金</w:t>
      </w:r>
      <w:r>
        <w:rPr>
          <w:rFonts w:hint="eastAsia" w:ascii="Arial" w:hAnsi="Arial" w:eastAsia="宋体" w:cs="Arial"/>
          <w:b/>
          <w:sz w:val="44"/>
          <w:szCs w:val="44"/>
        </w:rPr>
        <w:t>项目支出</w:t>
      </w:r>
      <w:r>
        <w:rPr>
          <w:rFonts w:hint="eastAsia" w:ascii="宋体" w:hAnsi="宋体" w:eastAsia="宋体" w:cs="宋体"/>
          <w:b/>
          <w:sz w:val="44"/>
          <w:szCs w:val="44"/>
        </w:rPr>
        <w:t>绩效自评报告</w:t>
      </w:r>
    </w:p>
    <w:p w14:paraId="179190F8">
      <w:pPr>
        <w:rPr>
          <w:rFonts w:ascii="黑体" w:hAnsi="黑体" w:eastAsia="黑体" w:cs="黑体"/>
          <w:bCs/>
          <w:szCs w:val="32"/>
        </w:rPr>
      </w:pPr>
    </w:p>
    <w:p w14:paraId="7F363281">
      <w:pPr>
        <w:ind w:firstLine="600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一、绩效目标分解下达情况</w:t>
      </w:r>
    </w:p>
    <w:p w14:paraId="0811BE3C">
      <w:pPr>
        <w:spacing w:line="560" w:lineRule="exact"/>
        <w:ind w:firstLine="600" w:firstLineChars="200"/>
        <w:rPr>
          <w:rFonts w:hint="default" w:ascii="仿宋_GB2312"/>
          <w:szCs w:val="30"/>
          <w:lang w:val="en-US"/>
        </w:rPr>
      </w:pPr>
      <w:r>
        <w:rPr>
          <w:rFonts w:hint="eastAsia" w:ascii="仿宋_GB2312"/>
          <w:szCs w:val="30"/>
          <w:lang w:val="en-US" w:eastAsia="zh-CN"/>
        </w:rPr>
        <w:t>截止2025年底，根据文件《</w:t>
      </w:r>
      <w:r>
        <w:rPr>
          <w:rFonts w:hint="default" w:ascii="仿宋_GB2312"/>
          <w:szCs w:val="30"/>
          <w:lang w:val="en-US" w:eastAsia="zh-CN"/>
        </w:rPr>
        <w:t>安徽省农业农村厅关于印发 202</w:t>
      </w:r>
      <w:r>
        <w:rPr>
          <w:rFonts w:hint="eastAsia" w:ascii="仿宋_GB2312"/>
          <w:szCs w:val="30"/>
          <w:lang w:val="en-US" w:eastAsia="zh-CN"/>
        </w:rPr>
        <w:t>5</w:t>
      </w:r>
      <w:r>
        <w:rPr>
          <w:rFonts w:hint="default" w:ascii="仿宋_GB2312"/>
          <w:szCs w:val="30"/>
          <w:lang w:val="en-US" w:eastAsia="zh-CN"/>
        </w:rPr>
        <w:t xml:space="preserve"> 年省财政 农业高质量发展资金支持农作物重点 病虫害防控实施方案的通知</w:t>
      </w:r>
      <w:r>
        <w:rPr>
          <w:rFonts w:hint="eastAsia" w:ascii="仿宋_GB2312"/>
          <w:szCs w:val="30"/>
          <w:lang w:val="en-US" w:eastAsia="zh-CN"/>
        </w:rPr>
        <w:t>》下拨21万元用于我区小麦赤霉病防控。</w:t>
      </w:r>
    </w:p>
    <w:p w14:paraId="060E2C06">
      <w:pPr>
        <w:widowControl/>
        <w:ind w:firstLine="600" w:firstLineChars="200"/>
        <w:jc w:val="left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二、绩效目标完成情况分析</w:t>
      </w:r>
    </w:p>
    <w:p w14:paraId="42C4E573">
      <w:pPr>
        <w:spacing w:line="560" w:lineRule="exact"/>
        <w:ind w:firstLine="640" w:firstLineChars="200"/>
        <w:outlineLvl w:val="0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（一）资金投入情况分析。</w:t>
      </w:r>
    </w:p>
    <w:p w14:paraId="05ECBA88">
      <w:pPr>
        <w:spacing w:line="560" w:lineRule="exact"/>
        <w:ind w:firstLine="60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1.</w:t>
      </w:r>
      <w:r>
        <w:rPr>
          <w:rFonts w:hint="eastAsia" w:ascii="仿宋_GB2312"/>
          <w:szCs w:val="32"/>
        </w:rPr>
        <w:t>项目资金到位情况分析。截至年底中央</w:t>
      </w:r>
      <w:r>
        <w:rPr>
          <w:rFonts w:hint="eastAsia" w:ascii="仿宋_GB2312" w:hAnsi="方正小标宋简体"/>
          <w:szCs w:val="30"/>
        </w:rPr>
        <w:t>财政下达</w:t>
      </w:r>
      <w:r>
        <w:rPr>
          <w:rFonts w:hint="eastAsia" w:ascii="仿宋_GB2312" w:hAnsi="方正小标宋简体"/>
          <w:szCs w:val="30"/>
          <w:lang w:val="en-US" w:eastAsia="zh-CN"/>
        </w:rPr>
        <w:t>资金</w:t>
      </w:r>
      <w:r>
        <w:rPr>
          <w:rFonts w:hint="eastAsia" w:ascii="仿宋_GB2312" w:hAnsi="方正小标宋简体"/>
          <w:szCs w:val="30"/>
        </w:rPr>
        <w:t>全部到位。</w:t>
      </w:r>
    </w:p>
    <w:p w14:paraId="260D8161">
      <w:pPr>
        <w:spacing w:line="560" w:lineRule="exact"/>
        <w:ind w:firstLine="60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2.</w:t>
      </w:r>
      <w:r>
        <w:rPr>
          <w:rFonts w:hint="eastAsia" w:ascii="仿宋_GB2312"/>
          <w:szCs w:val="32"/>
        </w:rPr>
        <w:t>项目资金执行情况分析</w:t>
      </w:r>
    </w:p>
    <w:p w14:paraId="07C9A632">
      <w:pPr>
        <w:spacing w:line="560" w:lineRule="exact"/>
        <w:ind w:firstLine="60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截至年底，</w:t>
      </w:r>
      <w:r>
        <w:rPr>
          <w:rFonts w:hint="eastAsia" w:ascii="仿宋_GB2312" w:hAnsi="方正小标宋简体"/>
          <w:lang w:val="en-US" w:eastAsia="zh-CN"/>
        </w:rPr>
        <w:t>小麦赤霉病防控</w:t>
      </w:r>
      <w:r>
        <w:rPr>
          <w:rFonts w:hint="eastAsia" w:ascii="仿宋_GB2312"/>
          <w:szCs w:val="32"/>
        </w:rPr>
        <w:t>补助经费资金共计执行</w:t>
      </w:r>
      <w:r>
        <w:rPr>
          <w:rFonts w:hint="eastAsia" w:ascii="仿宋_GB2312" w:hAnsi="方正小标宋简体"/>
          <w:szCs w:val="30"/>
          <w:lang w:val="en-US" w:eastAsia="zh-CN"/>
        </w:rPr>
        <w:t>21</w:t>
      </w:r>
      <w:r>
        <w:rPr>
          <w:rFonts w:hint="eastAsia" w:ascii="仿宋_GB2312"/>
          <w:szCs w:val="32"/>
        </w:rPr>
        <w:t>万元，</w:t>
      </w:r>
    </w:p>
    <w:p w14:paraId="0BA09A3E">
      <w:pPr>
        <w:tabs>
          <w:tab w:val="left" w:pos="615"/>
        </w:tabs>
        <w:adjustRightInd w:val="0"/>
        <w:snapToGrid w:val="0"/>
        <w:spacing w:line="560" w:lineRule="exact"/>
        <w:ind w:firstLine="600" w:firstLineChars="200"/>
        <w:rPr>
          <w:rStyle w:val="11"/>
          <w:rFonts w:hint="eastAsia" w:hAnsi="Calibri"/>
        </w:rPr>
      </w:pPr>
      <w:r>
        <w:rPr>
          <w:rFonts w:ascii="仿宋_GB2312"/>
          <w:szCs w:val="32"/>
        </w:rPr>
        <w:t>3.</w:t>
      </w:r>
      <w:r>
        <w:rPr>
          <w:rFonts w:hint="eastAsia" w:ascii="仿宋_GB2312"/>
          <w:szCs w:val="32"/>
        </w:rPr>
        <w:t>项目资金管理情况分析。区财政、农业农村部门</w:t>
      </w:r>
      <w:r>
        <w:rPr>
          <w:rStyle w:val="11"/>
          <w:rFonts w:hint="eastAsia" w:hAnsi="Calibri"/>
        </w:rPr>
        <w:t>强化资金管理责任意识，完善项目和资金管理制度，加强督导检查和进度调控，做到专款专用，保证了资金的合理使用。</w:t>
      </w:r>
    </w:p>
    <w:p w14:paraId="68F848CC">
      <w:pPr>
        <w:ind w:firstLine="600" w:firstLineChars="200"/>
        <w:outlineLvl w:val="0"/>
        <w:rPr>
          <w:rFonts w:ascii="仿宋_GB2312"/>
          <w:szCs w:val="32"/>
        </w:rPr>
      </w:pPr>
      <w:r>
        <w:rPr>
          <w:rStyle w:val="11"/>
          <w:rFonts w:hint="eastAsia" w:hAnsi="Calibri"/>
        </w:rPr>
        <w:t>（二）绩效目标完成情况分析。</w:t>
      </w:r>
      <w:r>
        <w:rPr>
          <w:rFonts w:hint="eastAsia" w:ascii="仿宋_GB2312"/>
          <w:szCs w:val="32"/>
        </w:rPr>
        <w:t>（根据年初绩效目标及指标逐项分析）</w:t>
      </w:r>
    </w:p>
    <w:p w14:paraId="0519BCBA">
      <w:pPr>
        <w:ind w:firstLine="60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1.</w:t>
      </w:r>
      <w:r>
        <w:rPr>
          <w:rFonts w:hint="eastAsia" w:ascii="仿宋_GB2312"/>
          <w:szCs w:val="32"/>
        </w:rPr>
        <w:t>产出指标完成情况分析。</w:t>
      </w:r>
    </w:p>
    <w:p w14:paraId="4EE8472A">
      <w:pPr>
        <w:ind w:firstLine="600" w:firstLineChars="200"/>
        <w:rPr>
          <w:szCs w:val="21"/>
        </w:rPr>
      </w:pPr>
      <w:r>
        <w:rPr>
          <w:rFonts w:hint="eastAsia" w:ascii="仿宋_GB2312"/>
          <w:szCs w:val="32"/>
        </w:rPr>
        <w:t>（</w:t>
      </w:r>
      <w:r>
        <w:rPr>
          <w:rFonts w:ascii="仿宋_GB2312"/>
          <w:szCs w:val="32"/>
        </w:rPr>
        <w:t>1</w:t>
      </w:r>
      <w:r>
        <w:rPr>
          <w:rFonts w:hint="eastAsia" w:ascii="仿宋_GB2312"/>
          <w:szCs w:val="32"/>
        </w:rPr>
        <w:t>）数量指标。</w:t>
      </w:r>
      <w:r>
        <w:rPr>
          <w:rFonts w:hint="eastAsia" w:ascii="仿宋_GB2312"/>
          <w:szCs w:val="32"/>
          <w:lang w:val="en-US" w:eastAsia="zh-CN"/>
        </w:rPr>
        <w:t>公开</w:t>
      </w:r>
      <w:r>
        <w:rPr>
          <w:rFonts w:hint="eastAsia" w:ascii="仿宋" w:hAnsi="仿宋" w:eastAsia="仿宋" w:cs="仿宋"/>
          <w:szCs w:val="30"/>
          <w:lang w:val="en-US" w:eastAsia="zh-CN"/>
        </w:rPr>
        <w:t>招标采购5.5万亩小麦赤霉病防控农药全覆盖</w:t>
      </w:r>
      <w:r>
        <w:rPr>
          <w:rFonts w:hint="eastAsia"/>
          <w:szCs w:val="21"/>
        </w:rPr>
        <w:t>。</w:t>
      </w:r>
    </w:p>
    <w:p w14:paraId="67D62516">
      <w:pPr>
        <w:ind w:firstLine="600" w:firstLineChars="200"/>
        <w:rPr>
          <w:szCs w:val="21"/>
        </w:rPr>
      </w:pPr>
      <w:r>
        <w:rPr>
          <w:rFonts w:hint="eastAsia" w:ascii="仿宋_GB2312"/>
          <w:szCs w:val="32"/>
        </w:rPr>
        <w:t>（</w:t>
      </w:r>
      <w:r>
        <w:rPr>
          <w:rFonts w:ascii="仿宋_GB2312"/>
          <w:szCs w:val="32"/>
        </w:rPr>
        <w:t>2</w:t>
      </w:r>
      <w:r>
        <w:rPr>
          <w:rFonts w:hint="eastAsia" w:ascii="仿宋_GB2312"/>
          <w:szCs w:val="32"/>
        </w:rPr>
        <w:t>）质量指标。</w:t>
      </w:r>
      <w:r>
        <w:rPr>
          <w:rFonts w:hint="eastAsia"/>
          <w:szCs w:val="21"/>
          <w:lang w:val="en-US" w:eastAsia="zh-CN"/>
        </w:rPr>
        <w:t>农业</w:t>
      </w:r>
      <w:r>
        <w:rPr>
          <w:szCs w:val="21"/>
        </w:rPr>
        <w:t>绿色循环发展能力</w:t>
      </w:r>
      <w:r>
        <w:rPr>
          <w:rFonts w:hint="eastAsia"/>
          <w:szCs w:val="21"/>
        </w:rPr>
        <w:t>、</w:t>
      </w:r>
      <w:r>
        <w:rPr>
          <w:rFonts w:hint="eastAsia"/>
          <w:szCs w:val="21"/>
          <w:lang w:val="en-US" w:eastAsia="zh-CN"/>
        </w:rPr>
        <w:t>农业</w:t>
      </w:r>
      <w:r>
        <w:rPr>
          <w:szCs w:val="21"/>
        </w:rPr>
        <w:t>质量得到提升</w:t>
      </w:r>
      <w:r>
        <w:rPr>
          <w:rFonts w:hint="eastAsia"/>
          <w:szCs w:val="21"/>
        </w:rPr>
        <w:t>。</w:t>
      </w:r>
    </w:p>
    <w:p w14:paraId="19E2D695">
      <w:pPr>
        <w:ind w:firstLine="60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（3）时效指标。拨付资金及时到位，全年预算资金支出率达到100%。</w:t>
      </w:r>
    </w:p>
    <w:p w14:paraId="2D5C7C0F">
      <w:pPr>
        <w:ind w:firstLine="60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2.</w:t>
      </w:r>
      <w:r>
        <w:rPr>
          <w:rFonts w:hint="eastAsia" w:ascii="仿宋_GB2312"/>
          <w:szCs w:val="32"/>
        </w:rPr>
        <w:t>效益指标完成情况分析。</w:t>
      </w:r>
    </w:p>
    <w:p w14:paraId="6DA848EB">
      <w:pPr>
        <w:spacing w:line="560" w:lineRule="exact"/>
        <w:ind w:firstLine="60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</w:t>
      </w:r>
      <w:r>
        <w:rPr>
          <w:rFonts w:ascii="仿宋_GB2312"/>
          <w:szCs w:val="32"/>
        </w:rPr>
        <w:t>1</w:t>
      </w:r>
      <w:r>
        <w:rPr>
          <w:rFonts w:hint="eastAsia" w:ascii="仿宋_GB2312"/>
          <w:szCs w:val="32"/>
        </w:rPr>
        <w:t>）社会效益。一是</w:t>
      </w:r>
      <w:r>
        <w:rPr>
          <w:szCs w:val="21"/>
        </w:rPr>
        <w:t>推动</w:t>
      </w:r>
      <w:r>
        <w:rPr>
          <w:rFonts w:hint="eastAsia"/>
          <w:szCs w:val="21"/>
          <w:lang w:val="en-US" w:eastAsia="zh-CN"/>
        </w:rPr>
        <w:t>我区农业</w:t>
      </w:r>
      <w:r>
        <w:rPr>
          <w:szCs w:val="21"/>
        </w:rPr>
        <w:t>发展</w:t>
      </w:r>
      <w:r>
        <w:rPr>
          <w:rFonts w:hint="eastAsia" w:ascii="仿宋_GB2312" w:hAnsi="方正小标宋简体"/>
          <w:szCs w:val="30"/>
        </w:rPr>
        <w:t>，优化</w:t>
      </w:r>
      <w:r>
        <w:rPr>
          <w:rFonts w:hint="eastAsia" w:ascii="仿宋_GB2312" w:hAnsi="方正小标宋简体"/>
          <w:szCs w:val="30"/>
          <w:lang w:val="en-US" w:eastAsia="zh-CN"/>
        </w:rPr>
        <w:t>农业</w:t>
      </w:r>
      <w:r>
        <w:rPr>
          <w:rFonts w:hint="eastAsia" w:ascii="仿宋_GB2312" w:hAnsi="方正小标宋简体"/>
          <w:szCs w:val="30"/>
        </w:rPr>
        <w:t>产业结构，</w:t>
      </w:r>
      <w:r>
        <w:rPr>
          <w:szCs w:val="21"/>
        </w:rPr>
        <w:t>推</w:t>
      </w:r>
      <w:r>
        <w:rPr>
          <w:rFonts w:hint="eastAsia"/>
          <w:szCs w:val="21"/>
        </w:rPr>
        <w:t>进</w:t>
      </w:r>
      <w:r>
        <w:rPr>
          <w:szCs w:val="21"/>
        </w:rPr>
        <w:t>我区</w:t>
      </w:r>
      <w:r>
        <w:rPr>
          <w:rFonts w:hint="eastAsia"/>
          <w:szCs w:val="21"/>
          <w:lang w:val="en-US" w:eastAsia="zh-CN"/>
        </w:rPr>
        <w:t>农业</w:t>
      </w:r>
      <w:r>
        <w:rPr>
          <w:szCs w:val="21"/>
        </w:rPr>
        <w:t>产业绿色高质量发展</w:t>
      </w:r>
      <w:r>
        <w:rPr>
          <w:rFonts w:hint="eastAsia" w:ascii="仿宋_GB2312"/>
          <w:szCs w:val="32"/>
        </w:rPr>
        <w:t>。二是资金使用无重大违纪行为，在项目推进过程中，为提高资金使用率，加强全过程监督管理，确保资金使用无违规违纪现象发生。</w:t>
      </w:r>
    </w:p>
    <w:p w14:paraId="208AFF7E">
      <w:pPr>
        <w:spacing w:line="560" w:lineRule="exact"/>
        <w:ind w:firstLine="600" w:firstLineChars="200"/>
        <w:rPr>
          <w:rFonts w:ascii="仿宋_GB2312" w:hAnsi="方正小标宋简体"/>
          <w:szCs w:val="30"/>
        </w:rPr>
      </w:pPr>
      <w:r>
        <w:rPr>
          <w:rFonts w:hint="eastAsia" w:ascii="仿宋_GB2312"/>
          <w:szCs w:val="32"/>
        </w:rPr>
        <w:t>（2）生态效益。</w:t>
      </w:r>
      <w:r>
        <w:rPr>
          <w:rFonts w:hint="eastAsia"/>
          <w:szCs w:val="21"/>
        </w:rPr>
        <w:t>通过进行科学</w:t>
      </w:r>
      <w:r>
        <w:rPr>
          <w:rFonts w:hint="eastAsia"/>
          <w:szCs w:val="21"/>
          <w:lang w:val="en-US" w:eastAsia="zh-CN"/>
        </w:rPr>
        <w:t>科学用药</w:t>
      </w:r>
      <w:r>
        <w:rPr>
          <w:rFonts w:hint="eastAsia" w:ascii="仿宋_GB2312" w:hAnsi="方正小标宋简体"/>
          <w:szCs w:val="30"/>
        </w:rPr>
        <w:t>绿色发展。</w:t>
      </w:r>
    </w:p>
    <w:p w14:paraId="5B78D113">
      <w:pPr>
        <w:spacing w:line="560" w:lineRule="exact"/>
        <w:ind w:firstLine="600" w:firstLineChars="200"/>
        <w:rPr>
          <w:szCs w:val="21"/>
        </w:rPr>
      </w:pPr>
      <w:r>
        <w:rPr>
          <w:rFonts w:hint="eastAsia" w:ascii="仿宋_GB2312"/>
          <w:szCs w:val="32"/>
        </w:rPr>
        <w:t>（3）可持续影响:</w:t>
      </w:r>
      <w:r>
        <w:rPr>
          <w:szCs w:val="21"/>
        </w:rPr>
        <w:t xml:space="preserve"> 提高</w:t>
      </w:r>
      <w:r>
        <w:rPr>
          <w:rFonts w:hint="eastAsia"/>
          <w:szCs w:val="21"/>
          <w:lang w:val="en-US" w:eastAsia="zh-CN"/>
        </w:rPr>
        <w:t>农业</w:t>
      </w:r>
      <w:r>
        <w:rPr>
          <w:szCs w:val="21"/>
        </w:rPr>
        <w:t>可持续发展能力</w:t>
      </w:r>
      <w:r>
        <w:rPr>
          <w:rFonts w:hint="eastAsia" w:ascii="仿宋_GB2312"/>
          <w:szCs w:val="32"/>
        </w:rPr>
        <w:t>，促进全区</w:t>
      </w:r>
      <w:r>
        <w:rPr>
          <w:rFonts w:hint="eastAsia" w:ascii="仿宋_GB2312"/>
          <w:szCs w:val="32"/>
          <w:lang w:val="en-US" w:eastAsia="zh-CN"/>
        </w:rPr>
        <w:t>粮食安全生产</w:t>
      </w:r>
      <w:r>
        <w:rPr>
          <w:rFonts w:hint="eastAsia" w:ascii="仿宋_GB2312"/>
          <w:szCs w:val="32"/>
        </w:rPr>
        <w:t>高质量发展。</w:t>
      </w:r>
    </w:p>
    <w:p w14:paraId="08573521">
      <w:pPr>
        <w:ind w:firstLine="600" w:firstLineChars="200"/>
        <w:rPr>
          <w:szCs w:val="21"/>
        </w:rPr>
      </w:pPr>
      <w:r>
        <w:rPr>
          <w:rFonts w:ascii="仿宋_GB2312"/>
          <w:szCs w:val="32"/>
        </w:rPr>
        <w:t>3.</w:t>
      </w:r>
      <w:r>
        <w:rPr>
          <w:rFonts w:hint="eastAsia" w:ascii="仿宋_GB2312"/>
          <w:szCs w:val="32"/>
        </w:rPr>
        <w:t>满意度指标完成情况分析。</w:t>
      </w:r>
      <w:r>
        <w:rPr>
          <w:szCs w:val="21"/>
        </w:rPr>
        <w:t>行业抽样满意度达到</w:t>
      </w:r>
      <w:r>
        <w:rPr>
          <w:rFonts w:hint="eastAsia"/>
          <w:szCs w:val="21"/>
          <w:lang w:val="en-US" w:eastAsia="zh-CN"/>
        </w:rPr>
        <w:t>9</w:t>
      </w:r>
      <w:r>
        <w:rPr>
          <w:rFonts w:hint="eastAsia"/>
          <w:szCs w:val="21"/>
        </w:rPr>
        <w:t>0%以上。</w:t>
      </w:r>
    </w:p>
    <w:p w14:paraId="3F28C55D">
      <w:pPr>
        <w:ind w:firstLine="600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三、偏离绩效目标的原因和下一步改进措施</w:t>
      </w:r>
    </w:p>
    <w:p w14:paraId="0AF22B70">
      <w:pPr>
        <w:ind w:firstLine="60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（一）偏离绩效目标原因。</w:t>
      </w:r>
    </w:p>
    <w:p w14:paraId="14322B25">
      <w:pPr>
        <w:spacing w:line="580" w:lineRule="exact"/>
        <w:ind w:firstLine="60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项目严格按照项目计划实施，没有偏离绩效目标。</w:t>
      </w:r>
    </w:p>
    <w:p w14:paraId="4FABF454">
      <w:pPr>
        <w:spacing w:line="580" w:lineRule="exact"/>
        <w:ind w:firstLine="60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（二）下步整改措施。一是要大力宣传</w:t>
      </w:r>
      <w:r>
        <w:rPr>
          <w:rFonts w:hint="eastAsia" w:ascii="仿宋_GB2312"/>
          <w:szCs w:val="32"/>
          <w:lang w:val="en-US" w:eastAsia="zh-CN"/>
        </w:rPr>
        <w:t>农业</w:t>
      </w:r>
      <w:r>
        <w:rPr>
          <w:rFonts w:hint="eastAsia" w:ascii="仿宋_GB2312"/>
          <w:szCs w:val="32"/>
        </w:rPr>
        <w:t>有关法律法规，提高全社会对保护</w:t>
      </w:r>
      <w:r>
        <w:rPr>
          <w:rFonts w:hint="eastAsia" w:ascii="仿宋_GB2312"/>
          <w:szCs w:val="32"/>
          <w:lang w:val="en-US" w:eastAsia="zh-CN"/>
        </w:rPr>
        <w:t>粮食安全</w:t>
      </w:r>
      <w:r>
        <w:rPr>
          <w:rFonts w:hint="eastAsia" w:ascii="仿宋_GB2312"/>
          <w:szCs w:val="32"/>
        </w:rPr>
        <w:t>的认识。二是要加大绿色</w:t>
      </w:r>
      <w:r>
        <w:rPr>
          <w:rFonts w:hint="eastAsia" w:ascii="仿宋_GB2312"/>
          <w:szCs w:val="32"/>
          <w:lang w:val="en-US" w:eastAsia="zh-CN"/>
        </w:rPr>
        <w:t>农业</w:t>
      </w:r>
      <w:r>
        <w:rPr>
          <w:rFonts w:hint="eastAsia" w:ascii="仿宋_GB2312"/>
          <w:szCs w:val="32"/>
        </w:rPr>
        <w:t>的推介活动，做到家喻户晓。</w:t>
      </w:r>
    </w:p>
    <w:p w14:paraId="4DA8A150">
      <w:pPr>
        <w:spacing w:line="580" w:lineRule="exact"/>
        <w:ind w:firstLine="602" w:firstLineChars="200"/>
        <w:rPr>
          <w:b/>
          <w:szCs w:val="30"/>
        </w:rPr>
      </w:pPr>
      <w:r>
        <w:rPr>
          <w:rFonts w:hint="eastAsia"/>
          <w:b/>
          <w:szCs w:val="30"/>
        </w:rPr>
        <w:t>四、绩效自评结果拟应用和公开情况</w:t>
      </w:r>
    </w:p>
    <w:p w14:paraId="6E957BC4">
      <w:pPr>
        <w:spacing w:line="580" w:lineRule="exact"/>
        <w:ind w:firstLine="600" w:firstLineChars="200"/>
      </w:pPr>
      <w:r>
        <w:rPr>
          <w:rFonts w:hint="eastAsia"/>
          <w:szCs w:val="30"/>
        </w:rPr>
        <w:t>我单位将切实做好</w:t>
      </w:r>
      <w:r>
        <w:rPr>
          <w:rFonts w:hint="eastAsia"/>
          <w:szCs w:val="30"/>
          <w:lang w:val="en-US" w:eastAsia="zh-CN"/>
        </w:rPr>
        <w:t>粮食安全</w:t>
      </w:r>
      <w:r>
        <w:rPr>
          <w:rFonts w:hint="eastAsia" w:ascii="仿宋_GB2312"/>
          <w:szCs w:val="30"/>
          <w:lang w:val="en-US" w:eastAsia="zh-CN"/>
        </w:rPr>
        <w:t>病虫害防控</w:t>
      </w:r>
      <w:r>
        <w:rPr>
          <w:rFonts w:hint="eastAsia" w:ascii="仿宋_GB2312"/>
          <w:szCs w:val="30"/>
        </w:rPr>
        <w:t>补助经费</w:t>
      </w:r>
      <w:r>
        <w:rPr>
          <w:szCs w:val="30"/>
        </w:rPr>
        <w:t>政务公开工作</w:t>
      </w:r>
      <w:r>
        <w:rPr>
          <w:rFonts w:hint="eastAsia"/>
          <w:szCs w:val="30"/>
        </w:rPr>
        <w:t>，</w:t>
      </w:r>
      <w:r>
        <w:rPr>
          <w:rFonts w:hint="eastAsia" w:ascii="仿宋_GB2312"/>
          <w:szCs w:val="32"/>
        </w:rPr>
        <w:t>将绩效自评结果作为以后年度专项转移支付预算申请、安排、分配的重要依据。</w:t>
      </w:r>
    </w:p>
    <w:p w14:paraId="0BEA300B">
      <w:r>
        <w:rPr>
          <w:rFonts w:hint="eastAsia"/>
        </w:rPr>
        <w:t xml:space="preserve">                              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bookmarkStart w:id="0" w:name="_GoBack"/>
      <w:bookmarkEnd w:id="0"/>
      <w:r>
        <w:rPr>
          <w:rFonts w:hint="eastAsia"/>
        </w:rPr>
        <w:t>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0E420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3BEFBA44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1F759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72472D9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50"/>
  <w:drawingGridVerticalSpacing w:val="581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82"/>
    <w:rsid w:val="000101E1"/>
    <w:rsid w:val="00021848"/>
    <w:rsid w:val="00051D9C"/>
    <w:rsid w:val="000732DA"/>
    <w:rsid w:val="00075CDC"/>
    <w:rsid w:val="000B1E8F"/>
    <w:rsid w:val="000B6964"/>
    <w:rsid w:val="000E031F"/>
    <w:rsid w:val="000F1C6B"/>
    <w:rsid w:val="00103D16"/>
    <w:rsid w:val="00111928"/>
    <w:rsid w:val="0012041C"/>
    <w:rsid w:val="00125DA9"/>
    <w:rsid w:val="00164D84"/>
    <w:rsid w:val="00173016"/>
    <w:rsid w:val="00194023"/>
    <w:rsid w:val="00194DD9"/>
    <w:rsid w:val="00197FE4"/>
    <w:rsid w:val="001A4E46"/>
    <w:rsid w:val="001E03FE"/>
    <w:rsid w:val="00222B21"/>
    <w:rsid w:val="00237957"/>
    <w:rsid w:val="002473A6"/>
    <w:rsid w:val="00250053"/>
    <w:rsid w:val="00273B69"/>
    <w:rsid w:val="002A336E"/>
    <w:rsid w:val="002A5FA7"/>
    <w:rsid w:val="002E1B95"/>
    <w:rsid w:val="002E2497"/>
    <w:rsid w:val="002F6705"/>
    <w:rsid w:val="00301FC0"/>
    <w:rsid w:val="0031527A"/>
    <w:rsid w:val="00323EAC"/>
    <w:rsid w:val="00336A16"/>
    <w:rsid w:val="003570B8"/>
    <w:rsid w:val="003663A3"/>
    <w:rsid w:val="00384698"/>
    <w:rsid w:val="00387DD5"/>
    <w:rsid w:val="003C6374"/>
    <w:rsid w:val="004046AC"/>
    <w:rsid w:val="00406B58"/>
    <w:rsid w:val="00413F12"/>
    <w:rsid w:val="00433112"/>
    <w:rsid w:val="00447684"/>
    <w:rsid w:val="00455F81"/>
    <w:rsid w:val="00462278"/>
    <w:rsid w:val="00466F56"/>
    <w:rsid w:val="00493012"/>
    <w:rsid w:val="004A05CC"/>
    <w:rsid w:val="004A1E8B"/>
    <w:rsid w:val="004A36C8"/>
    <w:rsid w:val="004D2137"/>
    <w:rsid w:val="004D4E2B"/>
    <w:rsid w:val="00541649"/>
    <w:rsid w:val="0058521C"/>
    <w:rsid w:val="005D1514"/>
    <w:rsid w:val="005D1925"/>
    <w:rsid w:val="005D4A29"/>
    <w:rsid w:val="005D7CC3"/>
    <w:rsid w:val="005E3DAB"/>
    <w:rsid w:val="006218A1"/>
    <w:rsid w:val="00653284"/>
    <w:rsid w:val="00654CFE"/>
    <w:rsid w:val="006818EA"/>
    <w:rsid w:val="0069048C"/>
    <w:rsid w:val="006978CD"/>
    <w:rsid w:val="006A74BF"/>
    <w:rsid w:val="006B63EC"/>
    <w:rsid w:val="006C1CEE"/>
    <w:rsid w:val="006C2689"/>
    <w:rsid w:val="006F5FDB"/>
    <w:rsid w:val="00722A7D"/>
    <w:rsid w:val="00724A6B"/>
    <w:rsid w:val="007A221F"/>
    <w:rsid w:val="007A652F"/>
    <w:rsid w:val="007E0A2A"/>
    <w:rsid w:val="007E3C68"/>
    <w:rsid w:val="00836C3F"/>
    <w:rsid w:val="00841C71"/>
    <w:rsid w:val="00852C3E"/>
    <w:rsid w:val="00853195"/>
    <w:rsid w:val="00853AA1"/>
    <w:rsid w:val="00854B69"/>
    <w:rsid w:val="008720F1"/>
    <w:rsid w:val="008A11E0"/>
    <w:rsid w:val="008B2F56"/>
    <w:rsid w:val="008B6885"/>
    <w:rsid w:val="008D56A5"/>
    <w:rsid w:val="008E02D4"/>
    <w:rsid w:val="00903791"/>
    <w:rsid w:val="00913D71"/>
    <w:rsid w:val="00957CFA"/>
    <w:rsid w:val="009600BD"/>
    <w:rsid w:val="00961C83"/>
    <w:rsid w:val="00973BBF"/>
    <w:rsid w:val="009948E4"/>
    <w:rsid w:val="009C1932"/>
    <w:rsid w:val="009E0D8C"/>
    <w:rsid w:val="009F2A53"/>
    <w:rsid w:val="00A20296"/>
    <w:rsid w:val="00A25077"/>
    <w:rsid w:val="00A56F9E"/>
    <w:rsid w:val="00A8737E"/>
    <w:rsid w:val="00AA19AF"/>
    <w:rsid w:val="00AE777C"/>
    <w:rsid w:val="00AF16E4"/>
    <w:rsid w:val="00B04C18"/>
    <w:rsid w:val="00B1693F"/>
    <w:rsid w:val="00B17D74"/>
    <w:rsid w:val="00B301E7"/>
    <w:rsid w:val="00B544E3"/>
    <w:rsid w:val="00B737A8"/>
    <w:rsid w:val="00BD3FE0"/>
    <w:rsid w:val="00BD7AB4"/>
    <w:rsid w:val="00BE3208"/>
    <w:rsid w:val="00BE58CF"/>
    <w:rsid w:val="00BF3135"/>
    <w:rsid w:val="00C02E95"/>
    <w:rsid w:val="00C0503A"/>
    <w:rsid w:val="00C3204E"/>
    <w:rsid w:val="00CB5ED7"/>
    <w:rsid w:val="00CC3A6F"/>
    <w:rsid w:val="00CC4B5F"/>
    <w:rsid w:val="00D04826"/>
    <w:rsid w:val="00D0502D"/>
    <w:rsid w:val="00D11B99"/>
    <w:rsid w:val="00D3731B"/>
    <w:rsid w:val="00D50663"/>
    <w:rsid w:val="00D63908"/>
    <w:rsid w:val="00D828E4"/>
    <w:rsid w:val="00D90343"/>
    <w:rsid w:val="00D94872"/>
    <w:rsid w:val="00DA1282"/>
    <w:rsid w:val="00DC524D"/>
    <w:rsid w:val="00DF10E1"/>
    <w:rsid w:val="00E60BF1"/>
    <w:rsid w:val="00E9013C"/>
    <w:rsid w:val="00E97513"/>
    <w:rsid w:val="00EE6C53"/>
    <w:rsid w:val="00EF2D5A"/>
    <w:rsid w:val="00EF4D09"/>
    <w:rsid w:val="00F015E4"/>
    <w:rsid w:val="00F55B89"/>
    <w:rsid w:val="00F56D56"/>
    <w:rsid w:val="00F57F82"/>
    <w:rsid w:val="00F91B52"/>
    <w:rsid w:val="00F91EAE"/>
    <w:rsid w:val="00FA086C"/>
    <w:rsid w:val="00FA357A"/>
    <w:rsid w:val="00FD09EB"/>
    <w:rsid w:val="037D0BC8"/>
    <w:rsid w:val="0845082D"/>
    <w:rsid w:val="09B66FAD"/>
    <w:rsid w:val="09E965F2"/>
    <w:rsid w:val="11346592"/>
    <w:rsid w:val="139840D3"/>
    <w:rsid w:val="143E091F"/>
    <w:rsid w:val="14865FC8"/>
    <w:rsid w:val="150C2DB0"/>
    <w:rsid w:val="170130E4"/>
    <w:rsid w:val="17C26892"/>
    <w:rsid w:val="1A676352"/>
    <w:rsid w:val="1E761F05"/>
    <w:rsid w:val="1FC7205C"/>
    <w:rsid w:val="21654DD3"/>
    <w:rsid w:val="228B3D05"/>
    <w:rsid w:val="2EBB11F0"/>
    <w:rsid w:val="2ED12B62"/>
    <w:rsid w:val="30A96D80"/>
    <w:rsid w:val="31186167"/>
    <w:rsid w:val="37D0431E"/>
    <w:rsid w:val="38EF7AD8"/>
    <w:rsid w:val="3C22299B"/>
    <w:rsid w:val="3E1672E6"/>
    <w:rsid w:val="3E9A66C5"/>
    <w:rsid w:val="415F08D8"/>
    <w:rsid w:val="44E2230F"/>
    <w:rsid w:val="46BA5918"/>
    <w:rsid w:val="46D563B4"/>
    <w:rsid w:val="47082C0B"/>
    <w:rsid w:val="477C4BFA"/>
    <w:rsid w:val="48B51347"/>
    <w:rsid w:val="491B45FA"/>
    <w:rsid w:val="4A55216A"/>
    <w:rsid w:val="4BD62F5B"/>
    <w:rsid w:val="4F8578F9"/>
    <w:rsid w:val="4F92202B"/>
    <w:rsid w:val="4FE0696A"/>
    <w:rsid w:val="520D4D6D"/>
    <w:rsid w:val="552407DF"/>
    <w:rsid w:val="55673508"/>
    <w:rsid w:val="564F17AE"/>
    <w:rsid w:val="59595A6F"/>
    <w:rsid w:val="5969568F"/>
    <w:rsid w:val="599330CA"/>
    <w:rsid w:val="5A330B5B"/>
    <w:rsid w:val="60393372"/>
    <w:rsid w:val="60D5009F"/>
    <w:rsid w:val="660721C9"/>
    <w:rsid w:val="661E6C75"/>
    <w:rsid w:val="668278FD"/>
    <w:rsid w:val="67F75FF5"/>
    <w:rsid w:val="681D4831"/>
    <w:rsid w:val="692E4B19"/>
    <w:rsid w:val="69513EF7"/>
    <w:rsid w:val="69CC01B6"/>
    <w:rsid w:val="6BF3256F"/>
    <w:rsid w:val="6CE7018A"/>
    <w:rsid w:val="6E3E3F2D"/>
    <w:rsid w:val="715A0D4F"/>
    <w:rsid w:val="715B2F02"/>
    <w:rsid w:val="754F053B"/>
    <w:rsid w:val="76A548F2"/>
    <w:rsid w:val="7765772E"/>
    <w:rsid w:val="77867685"/>
    <w:rsid w:val="781F36B6"/>
    <w:rsid w:val="790627AD"/>
    <w:rsid w:val="7AD95B3E"/>
    <w:rsid w:val="7ADC59FA"/>
    <w:rsid w:val="7B3375BE"/>
    <w:rsid w:val="7DD87955"/>
    <w:rsid w:val="7DDD794F"/>
    <w:rsid w:val="7DEC0D89"/>
    <w:rsid w:val="7F42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8">
    <w:name w:val="批注框文本 Char"/>
    <w:link w:val="2"/>
    <w:qFormat/>
    <w:locked/>
    <w:uiPriority w:val="99"/>
    <w:rPr>
      <w:rFonts w:eastAsia="仿宋_GB2312" w:cs="Times New Roman"/>
      <w:kern w:val="2"/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rFonts w:eastAsia="仿宋_GB2312" w:cs="Times New Roman"/>
      <w:kern w:val="2"/>
      <w:sz w:val="18"/>
      <w:szCs w:val="18"/>
    </w:rPr>
  </w:style>
  <w:style w:type="character" w:customStyle="1" w:styleId="10">
    <w:name w:val="页眉 Char"/>
    <w:link w:val="4"/>
    <w:qFormat/>
    <w:locked/>
    <w:uiPriority w:val="99"/>
    <w:rPr>
      <w:rFonts w:eastAsia="仿宋_GB2312" w:cs="Times New Roman"/>
      <w:kern w:val="2"/>
      <w:sz w:val="18"/>
      <w:szCs w:val="18"/>
    </w:rPr>
  </w:style>
  <w:style w:type="character" w:customStyle="1" w:styleId="11">
    <w:name w:val="txtbreak"/>
    <w:qFormat/>
    <w:uiPriority w:val="99"/>
    <w:rPr>
      <w:rFonts w:cs="Times New Roman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809</Words>
  <Characters>836</Characters>
  <Lines>7</Lines>
  <Paragraphs>2</Paragraphs>
  <TotalTime>6</TotalTime>
  <ScaleCrop>false</ScaleCrop>
  <LinksUpToDate>false</LinksUpToDate>
  <CharactersWithSpaces>872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2025-03-12T04:02:00Z</dcterms:created>
  <dc:creator>lhn</dc:creator>
  <cp:lastModifiedBy>孟复利</cp:lastModifiedBy>
  <cp:lastPrinted>2025-03-12T09:32:00Z</cp:lastPrinted>
  <dcterms:modified xsi:type="dcterms:W3CDTF">2026-03-03T07:55:33Z</dcterms:modified>
  <dc:title>财政支出绩效评价报告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A7AF67D984894D0A9C708BA01F8BF63E_13</vt:lpwstr>
  </property>
  <property fmtid="{D5CDD505-2E9C-101B-9397-08002B2CF9AE}" pid="4" name="KSOTemplateDocerSaveRecord">
    <vt:lpwstr>eyJoZGlkIjoiOTVlODkzZWNhODNkM2U5OGNmZWJkZGY3N2I0ZTQxZmIiLCJ1c2VySWQiOiI2MDM4NjkxODMifQ==</vt:lpwstr>
  </property>
</Properties>
</file>