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F9F87">
      <w:pPr>
        <w:spacing w:before="120" w:line="218" w:lineRule="auto"/>
        <w:jc w:val="center"/>
        <w:rPr>
          <w:rFonts w:ascii="宋体" w:hAnsi="宋体" w:eastAsia="宋体" w:cs="宋体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eastAsia="zh-CN"/>
        </w:rPr>
        <w:t>一般性</w:t>
      </w: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转移支付202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年度绩效自评报告</w:t>
      </w:r>
    </w:p>
    <w:p w14:paraId="25CADBBC">
      <w:pPr>
        <w:numPr>
          <w:ilvl w:val="0"/>
          <w:numId w:val="0"/>
        </w:numPr>
        <w:spacing w:before="120" w:line="218" w:lineRule="auto"/>
        <w:jc w:val="left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</w:pPr>
    </w:p>
    <w:p w14:paraId="42A5ABC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  <w:t>绩效目标分解下达情况</w:t>
      </w:r>
    </w:p>
    <w:p w14:paraId="12B7F75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baseline"/>
        <w:rPr>
          <w:rFonts w:hint="default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2025年相山区政府下达我局中央对地方一般性转移支付资金32013.118万元。主要包含：成品油税费改革资金114.828万元、交通运输领域专项资金168.19万元、中央财政城镇保障性安居工程（老旧小区改造）补助资金7255万元、城市更新中央基建投资（老旧小区改造）资金21386万元、中央财政城镇保障性安居工程（城市危旧房改造）补助资金277万元、农村危房改造补助资金10.1万元、城市排水管网提升改造补助资金2802万元。</w:t>
      </w:r>
    </w:p>
    <w:p w14:paraId="189E15A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  <w:t>绩效情况分析</w:t>
      </w:r>
    </w:p>
    <w:p w14:paraId="25FE55FD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  <w:t>资金投入情况分析</w:t>
      </w:r>
    </w:p>
    <w:p w14:paraId="1FC4D46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baseline"/>
        <w:rPr>
          <w:rFonts w:hint="default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2025年中央对地方转移支付资金已全部到位，资金到位率100%。我局用于2025年农村公路建设管养项目、老旧小区综合改造项目、保障性安居工程项目、农村危房改造项目资金共计19690.57万元。</w:t>
      </w:r>
    </w:p>
    <w:p w14:paraId="5BF39A04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  <w:t>资金管理情况分析</w:t>
      </w:r>
    </w:p>
    <w:p w14:paraId="7606585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eastAsia="zh-CN"/>
        </w:rPr>
        <w:t>我局实施符合财经法规和有关专项资金管理办法，中央对地方转移支付资金作为项目资金管理，资金使用均按“三重一大”经局领导班子研究通过，支付环节相关科室、财务人员、分管领导、主要领导层层审核，未发生截留、挤占、挪用、虚列支出等情况。</w:t>
      </w:r>
    </w:p>
    <w:p w14:paraId="56292047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  <w:t>总体绩效目标完成情况分析</w:t>
      </w:r>
    </w:p>
    <w:p w14:paraId="68DA1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2025年中央对地方转移支付资金的使用，进一步推动了2025年重点项目的实施。</w:t>
      </w:r>
      <w:r>
        <w:rPr>
          <w:rFonts w:hint="eastAsia" w:ascii="仿宋" w:hAnsi="仿宋" w:eastAsia="仿宋" w:cs="仿宋"/>
          <w:b/>
          <w:bCs/>
          <w:spacing w:val="-11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按期完成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31个老旧小区改造项目，总建筑面积约170万平方米，总投资3亿元，惠及居民1.56万户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完成2025年农村公路提质改造工程4.859公里建设任务，对辖区农村公路联网路实施拓宽、重建，同步推进路灯新建、绿化种植等配套工程。完成农村公路养护提升工程，对7.698公里道路实施修复性养护，对16.47公里道路实施预防性养护，全面提升农村公路通行条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三是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完成52套D级危房治理工作，其中原市奶牛场职工宿舍2套危房拆除，原物资局家属楼50套危房通过业主自主更新模式完成拆除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四是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排水管理与防汛保障有力，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排查整改寇湾汽车城内30家经营户排水问题，解决流河路、滨河花园小区等污水返流、内涝问题。建立“1+3+N”防汛工作体系，排查13处市政易涝点、185个封闭式小区及105个地下停车库，安排65人组成值班专班驻守11个易涝点，响应防汛预警8次，保障群众出行安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五是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完成农村危旧房屋改造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户。</w:t>
      </w:r>
    </w:p>
    <w:p w14:paraId="79298D56">
      <w:pPr>
        <w:keepNext/>
        <w:keepLines w:val="0"/>
        <w:pageBreakBefore w:val="0"/>
        <w:widowControl w:val="0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  <w:t>绩效指标完成情况分析</w:t>
      </w:r>
    </w:p>
    <w:p w14:paraId="11B71954">
      <w:pPr>
        <w:keepNext/>
        <w:keepLines w:val="0"/>
        <w:pageBreakBefore w:val="0"/>
        <w:widowControl w:val="0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数量指标：完成31个老旧小区改造；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农村公路提质改造工程4.859公里，7.698公里道路实施修复性养护，16.47公里道路实施预防性养护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8户农村危旧房改造。</w:t>
      </w:r>
    </w:p>
    <w:p w14:paraId="6331FE73">
      <w:pPr>
        <w:keepNext/>
        <w:keepLines w:val="0"/>
        <w:pageBreakBefore w:val="0"/>
        <w:widowControl w:val="0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质量指标；建设项目均完成验收。</w:t>
      </w:r>
    </w:p>
    <w:p w14:paraId="149A3FB9">
      <w:pPr>
        <w:keepNext/>
        <w:keepLines w:val="0"/>
        <w:pageBreakBefore w:val="0"/>
        <w:widowControl w:val="0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时效指标：各项目均在2025年12月前竣工。</w:t>
      </w:r>
    </w:p>
    <w:p w14:paraId="39C7D8F7">
      <w:pPr>
        <w:keepNext/>
        <w:keepLines w:val="0"/>
        <w:pageBreakBefore w:val="0"/>
        <w:widowControl w:val="0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成本指标：建设项目投资额均在概算内</w:t>
      </w:r>
    </w:p>
    <w:p w14:paraId="47684566">
      <w:pPr>
        <w:keepNext/>
        <w:keepLines w:val="0"/>
        <w:pageBreakBefore w:val="0"/>
        <w:widowControl w:val="0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社会效益指标：各项目的实施改善了居民生活居住环境，解决了新市民、青年人等群体的住房困难问题及农村贫困群体住房安全问题。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为农村群众出行和生产提供了更加优质的服务和保障。</w:t>
      </w:r>
    </w:p>
    <w:p w14:paraId="5DE7ADB9">
      <w:pPr>
        <w:keepNext/>
        <w:keepLines w:val="0"/>
        <w:pageBreakBefore w:val="0"/>
        <w:widowControl w:val="0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服对象满意度指标：建设项目受益群众满意度良好。</w:t>
      </w:r>
    </w:p>
    <w:p w14:paraId="3458AC5C">
      <w:pPr>
        <w:keepNext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  <w:t>三、偏离绩效目标的原因和下一步改进措施</w:t>
      </w:r>
    </w:p>
    <w:p w14:paraId="63DBC09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96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eastAsia="zh-CN"/>
        </w:rPr>
        <w:t>各项资金的支付均根据项目建设进度支付，各项目虽已竣工验收，但审计结算尚未全部出具，故结余结转部分资金用于支付项目尾款。</w:t>
      </w:r>
    </w:p>
    <w:p w14:paraId="6F01109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  <w:t>四、绩效自评结果拟应用和公开情况</w:t>
      </w:r>
    </w:p>
    <w:p w14:paraId="7774395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eastAsia="zh-CN"/>
        </w:rPr>
        <w:t>拟通过相山区政府网站实施公开。</w:t>
      </w:r>
    </w:p>
    <w:p w14:paraId="357C8DA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  <w:t>五、其他需要说明的问题</w:t>
      </w:r>
    </w:p>
    <w:p w14:paraId="669AC30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eastAsia="zh-CN"/>
        </w:rPr>
        <w:t>巡视、审计和财会监督中发现的问题及所涉及的金额，无。</w:t>
      </w:r>
    </w:p>
    <w:p w14:paraId="4ADF17C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eastAsia="zh-CN"/>
        </w:rPr>
      </w:pPr>
    </w:p>
    <w:p w14:paraId="7EA7EA5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eastAsia="zh-CN"/>
        </w:rPr>
      </w:pPr>
    </w:p>
    <w:p w14:paraId="4B999EE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eastAsia="zh-CN"/>
        </w:rPr>
      </w:pPr>
    </w:p>
    <w:p w14:paraId="42997DB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eastAsia="zh-CN"/>
        </w:rPr>
      </w:pPr>
    </w:p>
    <w:p w14:paraId="7CB8055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200" w:firstLine="3278" w:firstLineChars="11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eastAsia="zh-CN"/>
        </w:rPr>
        <w:t>淮北市相山区住房和城乡建设局</w:t>
      </w:r>
    </w:p>
    <w:p w14:paraId="352C419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200" w:firstLine="4768" w:firstLineChars="1600"/>
        <w:jc w:val="both"/>
        <w:textAlignment w:val="baseline"/>
        <w:rPr>
          <w:rFonts w:hint="default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2026年3月5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日</w:t>
      </w:r>
    </w:p>
    <w:sectPr>
      <w:footerReference r:id="rId5" w:type="default"/>
      <w:pgSz w:w="11810" w:h="16720"/>
      <w:pgMar w:top="1701" w:right="1474" w:bottom="1417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615FB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CA2486"/>
    <w:multiLevelType w:val="singleLevel"/>
    <w:tmpl w:val="E1CA248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1D6838"/>
    <w:multiLevelType w:val="singleLevel"/>
    <w:tmpl w:val="031D6838"/>
    <w:lvl w:ilvl="0" w:tentative="0">
      <w:start w:val="1"/>
      <w:numFmt w:val="decimal"/>
      <w:suff w:val="nothing"/>
      <w:lvlText w:val="%1、"/>
      <w:lvlJc w:val="left"/>
      <w:pPr>
        <w:ind w:left="-176"/>
      </w:pPr>
    </w:lvl>
  </w:abstractNum>
  <w:abstractNum w:abstractNumId="2">
    <w:nsid w:val="47D4D188"/>
    <w:multiLevelType w:val="singleLevel"/>
    <w:tmpl w:val="47D4D188"/>
    <w:lvl w:ilvl="0" w:tentative="0">
      <w:start w:val="1"/>
      <w:numFmt w:val="chineseCounting"/>
      <w:suff w:val="nothing"/>
      <w:lvlText w:val="%1、"/>
      <w:lvlJc w:val="left"/>
      <w:pPr>
        <w:ind w:left="0" w:firstLine="3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FmNGRjMzYyZTUwNGY2ZjlkMWNlODlhMDk3NzRiNjgifQ=="/>
  </w:docVars>
  <w:rsids>
    <w:rsidRoot w:val="00000000"/>
    <w:rsid w:val="00B0507A"/>
    <w:rsid w:val="00CB286B"/>
    <w:rsid w:val="00D310F7"/>
    <w:rsid w:val="01297F68"/>
    <w:rsid w:val="01CF7782"/>
    <w:rsid w:val="03084CFA"/>
    <w:rsid w:val="043D36FD"/>
    <w:rsid w:val="04535227"/>
    <w:rsid w:val="055B42DF"/>
    <w:rsid w:val="05DF6FB1"/>
    <w:rsid w:val="06D05B2E"/>
    <w:rsid w:val="074B1659"/>
    <w:rsid w:val="07A174CB"/>
    <w:rsid w:val="08AB60F5"/>
    <w:rsid w:val="08E95C65"/>
    <w:rsid w:val="09154928"/>
    <w:rsid w:val="095F13EB"/>
    <w:rsid w:val="09837E07"/>
    <w:rsid w:val="09D72C99"/>
    <w:rsid w:val="0A7D421F"/>
    <w:rsid w:val="0A8119D2"/>
    <w:rsid w:val="0B942479"/>
    <w:rsid w:val="0C104C1F"/>
    <w:rsid w:val="0C8A2C23"/>
    <w:rsid w:val="0D710F59"/>
    <w:rsid w:val="0D7A0A02"/>
    <w:rsid w:val="0D855D0D"/>
    <w:rsid w:val="0F0C791F"/>
    <w:rsid w:val="0F60532F"/>
    <w:rsid w:val="0F87169C"/>
    <w:rsid w:val="11166833"/>
    <w:rsid w:val="121F796A"/>
    <w:rsid w:val="12665599"/>
    <w:rsid w:val="132059DF"/>
    <w:rsid w:val="134E7AA9"/>
    <w:rsid w:val="137D2B9A"/>
    <w:rsid w:val="141B6690"/>
    <w:rsid w:val="14C447F8"/>
    <w:rsid w:val="157306F8"/>
    <w:rsid w:val="18743B51"/>
    <w:rsid w:val="18E36480"/>
    <w:rsid w:val="1ADF05DE"/>
    <w:rsid w:val="1D7F1C04"/>
    <w:rsid w:val="1DE43387"/>
    <w:rsid w:val="1DF95513"/>
    <w:rsid w:val="1E43507E"/>
    <w:rsid w:val="1E545F78"/>
    <w:rsid w:val="1F204D21"/>
    <w:rsid w:val="1F61621D"/>
    <w:rsid w:val="20174376"/>
    <w:rsid w:val="205C462C"/>
    <w:rsid w:val="214818FB"/>
    <w:rsid w:val="21B45E04"/>
    <w:rsid w:val="225615B4"/>
    <w:rsid w:val="24415E66"/>
    <w:rsid w:val="24B40FD4"/>
    <w:rsid w:val="25EC2D52"/>
    <w:rsid w:val="28FB32DD"/>
    <w:rsid w:val="2E6868C1"/>
    <w:rsid w:val="2E9F3EB4"/>
    <w:rsid w:val="2EB16166"/>
    <w:rsid w:val="2F29166A"/>
    <w:rsid w:val="300A6857"/>
    <w:rsid w:val="31F84007"/>
    <w:rsid w:val="3287138D"/>
    <w:rsid w:val="334037E5"/>
    <w:rsid w:val="33F1163C"/>
    <w:rsid w:val="34140EA1"/>
    <w:rsid w:val="34B7692C"/>
    <w:rsid w:val="34FA3D0D"/>
    <w:rsid w:val="38047D7C"/>
    <w:rsid w:val="3B27770B"/>
    <w:rsid w:val="3BB0325D"/>
    <w:rsid w:val="3C4B567C"/>
    <w:rsid w:val="3D5B369C"/>
    <w:rsid w:val="3F1461F9"/>
    <w:rsid w:val="3F680126"/>
    <w:rsid w:val="3F7B0026"/>
    <w:rsid w:val="3FE21E53"/>
    <w:rsid w:val="40C14999"/>
    <w:rsid w:val="416640F1"/>
    <w:rsid w:val="41E735CD"/>
    <w:rsid w:val="426E5C20"/>
    <w:rsid w:val="42A8519C"/>
    <w:rsid w:val="458C4D3B"/>
    <w:rsid w:val="460D5750"/>
    <w:rsid w:val="47AF596A"/>
    <w:rsid w:val="48D03B71"/>
    <w:rsid w:val="48EA708C"/>
    <w:rsid w:val="49BE6515"/>
    <w:rsid w:val="4D022DEC"/>
    <w:rsid w:val="52EA5A01"/>
    <w:rsid w:val="53497B8C"/>
    <w:rsid w:val="54DE797F"/>
    <w:rsid w:val="54F30503"/>
    <w:rsid w:val="55BC0499"/>
    <w:rsid w:val="55E055C2"/>
    <w:rsid w:val="574C1A84"/>
    <w:rsid w:val="59D93E6F"/>
    <w:rsid w:val="5A231584"/>
    <w:rsid w:val="5A581029"/>
    <w:rsid w:val="5A6D5D0C"/>
    <w:rsid w:val="5A81679B"/>
    <w:rsid w:val="5B94004E"/>
    <w:rsid w:val="5D706898"/>
    <w:rsid w:val="5F795ED8"/>
    <w:rsid w:val="5F972B6F"/>
    <w:rsid w:val="601243E7"/>
    <w:rsid w:val="620A1105"/>
    <w:rsid w:val="62467BC8"/>
    <w:rsid w:val="62497CC0"/>
    <w:rsid w:val="627362A3"/>
    <w:rsid w:val="63413B45"/>
    <w:rsid w:val="678C6785"/>
    <w:rsid w:val="6796423A"/>
    <w:rsid w:val="698D197B"/>
    <w:rsid w:val="6DC009BA"/>
    <w:rsid w:val="6E407BC1"/>
    <w:rsid w:val="6EA72C1D"/>
    <w:rsid w:val="70122199"/>
    <w:rsid w:val="70623A05"/>
    <w:rsid w:val="71DF0378"/>
    <w:rsid w:val="734C2AC5"/>
    <w:rsid w:val="748E3C46"/>
    <w:rsid w:val="7735228D"/>
    <w:rsid w:val="782D1E8E"/>
    <w:rsid w:val="7967694A"/>
    <w:rsid w:val="7B076C86"/>
    <w:rsid w:val="7D7A1317"/>
    <w:rsid w:val="7E7C79BD"/>
    <w:rsid w:val="7F7F45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1253</Words>
  <Characters>1397</Characters>
  <TotalTime>1</TotalTime>
  <ScaleCrop>false</ScaleCrop>
  <LinksUpToDate>false</LinksUpToDate>
  <CharactersWithSpaces>1397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2024-03-28T15:07:00Z</dcterms:created>
  <dc:creator>Administrator</dc:creator>
  <cp:lastModifiedBy>阿鱼儿</cp:lastModifiedBy>
  <cp:lastPrinted>2024-04-16T09:32:00Z</cp:lastPrinted>
  <dcterms:modified xsi:type="dcterms:W3CDTF">2026-03-05T05:10:19Z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2024-03-28T15:07:44Z</vt:filetime>
  </property>
  <property fmtid="{D5CDD505-2E9C-101B-9397-08002B2CF9AE}" pid="4" name="UsrData">
    <vt:lpwstr>66051737364788001f9fdf02wl</vt:lpwstr>
  </property>
  <property fmtid="{D5CDD505-2E9C-101B-9397-08002B2CF9AE}" pid="5" name="KSOProductBuildVer">
    <vt:lpwstr>2052-12.1.0.25225</vt:lpwstr>
  </property>
  <property fmtid="{D5CDD505-2E9C-101B-9397-08002B2CF9AE}" pid="6" name="ICV">
    <vt:lpwstr>A3ED7BAAED834F61B8C94FF07731E07F_12</vt:lpwstr>
  </property>
  <property fmtid="{D5CDD505-2E9C-101B-9397-08002B2CF9AE}" pid="7" name="KSOTemplateDocerSaveRecord">
    <vt:lpwstr>eyJoZGlkIjoiMjI4NGYyYTU4ODBiMzU3NGM3YWVmMjQwMDZkMDQyMWMiLCJ1c2VySWQiOiIxMDc4NjY0MzkxIn0=</vt:lpwstr>
  </property>
</Properties>
</file>