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5DB05" w14:textId="77777777" w:rsidR="00B475A4" w:rsidRDefault="00000000">
      <w:pPr>
        <w:spacing w:line="560" w:lineRule="exact"/>
        <w:jc w:val="center"/>
        <w:rPr>
          <w:rFonts w:ascii="Times New Roman" w:eastAsia="方正小标宋简体"/>
          <w:sz w:val="44"/>
          <w:szCs w:val="44"/>
        </w:rPr>
      </w:pPr>
      <w:r>
        <w:rPr>
          <w:rFonts w:ascii="Times New Roman" w:eastAsia="方正小标宋简体"/>
          <w:sz w:val="44"/>
          <w:szCs w:val="44"/>
        </w:rPr>
        <w:t>关于相山区</w:t>
      </w:r>
      <w:r>
        <w:rPr>
          <w:rFonts w:ascii="Times New Roman" w:eastAsia="方正小标宋简体"/>
          <w:sz w:val="44"/>
          <w:szCs w:val="44"/>
        </w:rPr>
        <w:t>2026</w:t>
      </w:r>
      <w:r>
        <w:rPr>
          <w:rFonts w:ascii="Times New Roman" w:eastAsia="方正小标宋简体"/>
          <w:sz w:val="44"/>
          <w:szCs w:val="44"/>
        </w:rPr>
        <w:t>年上半年国民经济和社会</w:t>
      </w:r>
    </w:p>
    <w:p w14:paraId="3C11AEBF" w14:textId="77777777" w:rsidR="00B475A4" w:rsidRDefault="00000000">
      <w:pPr>
        <w:spacing w:line="560" w:lineRule="exact"/>
        <w:jc w:val="center"/>
        <w:rPr>
          <w:rFonts w:ascii="Times New Roman" w:eastAsia="方正小标宋简体"/>
          <w:sz w:val="44"/>
          <w:szCs w:val="44"/>
        </w:rPr>
      </w:pPr>
      <w:r>
        <w:rPr>
          <w:rFonts w:ascii="Times New Roman" w:eastAsia="方正小标宋简体"/>
          <w:sz w:val="44"/>
          <w:szCs w:val="44"/>
        </w:rPr>
        <w:t>发展计划执行情况的报告</w:t>
      </w:r>
    </w:p>
    <w:p w14:paraId="5DB042BF" w14:textId="54C5C385" w:rsidR="00B475A4" w:rsidRDefault="00000000">
      <w:pPr>
        <w:spacing w:line="560" w:lineRule="exact"/>
        <w:jc w:val="center"/>
        <w:rPr>
          <w:rFonts w:ascii="Times New Roman" w:eastAsia="楷体_GB2312"/>
          <w:b/>
          <w:bCs/>
        </w:rPr>
      </w:pPr>
      <w:r>
        <w:rPr>
          <w:rFonts w:ascii="Times New Roman" w:eastAsia="楷体_GB2312"/>
          <w:b/>
          <w:bCs/>
        </w:rPr>
        <w:t>（</w:t>
      </w:r>
      <w:r w:rsidR="0097075E">
        <w:rPr>
          <w:rFonts w:ascii="Times New Roman" w:eastAsia="楷体_GB2312" w:hint="eastAsia"/>
          <w:b/>
          <w:bCs/>
        </w:rPr>
        <w:t>征求意见稿</w:t>
      </w:r>
      <w:r>
        <w:rPr>
          <w:rFonts w:ascii="Times New Roman" w:eastAsia="楷体_GB2312"/>
          <w:b/>
          <w:bCs/>
        </w:rPr>
        <w:t>）</w:t>
      </w:r>
    </w:p>
    <w:p w14:paraId="3227CE04" w14:textId="77777777" w:rsidR="00B475A4" w:rsidRDefault="00B475A4">
      <w:pPr>
        <w:spacing w:line="560" w:lineRule="exact"/>
        <w:ind w:firstLineChars="200" w:firstLine="640"/>
        <w:rPr>
          <w:rFonts w:ascii="Times New Roman"/>
        </w:rPr>
      </w:pPr>
    </w:p>
    <w:p w14:paraId="4AD6F951" w14:textId="77777777" w:rsidR="00B475A4" w:rsidRDefault="00000000">
      <w:pPr>
        <w:spacing w:line="560" w:lineRule="exact"/>
        <w:rPr>
          <w:rFonts w:ascii="Times New Roman"/>
        </w:rPr>
      </w:pPr>
      <w:r>
        <w:rPr>
          <w:rFonts w:ascii="Times New Roman"/>
        </w:rPr>
        <w:t>主任、副主任、各位委员：</w:t>
      </w:r>
    </w:p>
    <w:p w14:paraId="0EB4B8FD" w14:textId="77777777" w:rsidR="00B475A4" w:rsidRDefault="00000000">
      <w:pPr>
        <w:spacing w:line="560" w:lineRule="exact"/>
        <w:ind w:firstLineChars="200" w:firstLine="640"/>
        <w:rPr>
          <w:rFonts w:ascii="Times New Roman"/>
        </w:rPr>
      </w:pPr>
      <w:r>
        <w:rPr>
          <w:rFonts w:ascii="Times New Roman"/>
        </w:rPr>
        <w:t>根据会议安排，受区人民政府委托，现向区十二届人大常委会报告关于相山区</w:t>
      </w:r>
      <w:r>
        <w:rPr>
          <w:rFonts w:ascii="Times New Roman"/>
        </w:rPr>
        <w:t>2026</w:t>
      </w:r>
      <w:r>
        <w:rPr>
          <w:rFonts w:ascii="Times New Roman"/>
        </w:rPr>
        <w:t>年上半年国民经济和社会发展计划执行情况，请予以审议。</w:t>
      </w:r>
    </w:p>
    <w:p w14:paraId="20AEA5C1" w14:textId="77777777" w:rsidR="00B475A4" w:rsidRDefault="00000000">
      <w:pPr>
        <w:spacing w:line="560" w:lineRule="exact"/>
        <w:ind w:firstLineChars="200" w:firstLine="640"/>
        <w:rPr>
          <w:rFonts w:ascii="Times New Roman"/>
        </w:rPr>
      </w:pPr>
      <w:r>
        <w:rPr>
          <w:rFonts w:ascii="Times New Roman"/>
        </w:rPr>
        <w:t>2026</w:t>
      </w:r>
      <w:r>
        <w:rPr>
          <w:rFonts w:ascii="Times New Roman"/>
        </w:rPr>
        <w:t>年是</w:t>
      </w:r>
      <w:r>
        <w:rPr>
          <w:rFonts w:ascii="Times New Roman"/>
        </w:rPr>
        <w:t>“</w:t>
      </w:r>
      <w:r>
        <w:rPr>
          <w:rFonts w:ascii="Times New Roman"/>
        </w:rPr>
        <w:t>十五五</w:t>
      </w:r>
      <w:r>
        <w:rPr>
          <w:rFonts w:ascii="Times New Roman"/>
        </w:rPr>
        <w:t>”</w:t>
      </w:r>
      <w:r>
        <w:rPr>
          <w:rFonts w:ascii="Times New Roman"/>
        </w:rPr>
        <w:t>规划开局起步之年，全区上下在区委的正确领导下，在区人大、政协的监督支持下，坚持以习近平新时代中国特色社会主义思想为指导，全面贯彻落实党的二十大和二十届历次全会精神，坚决贯彻落实习近平总书记对安徽工作重要讲话重要指示精神，坚决贯彻落实党中央、省委、市委决策部署，攻坚克难、实干争先，经济运行稳中提质，民生福祉保障有力，社会事业协调发展。</w:t>
      </w:r>
    </w:p>
    <w:p w14:paraId="2B08A6C9" w14:textId="77777777" w:rsidR="00B475A4" w:rsidRDefault="00000000">
      <w:pPr>
        <w:spacing w:line="560" w:lineRule="exact"/>
        <w:ind w:firstLineChars="200" w:firstLine="640"/>
        <w:rPr>
          <w:rFonts w:ascii="Times New Roman"/>
        </w:rPr>
      </w:pPr>
      <w:r>
        <w:rPr>
          <w:rFonts w:ascii="Times New Roman"/>
        </w:rPr>
        <w:t>上半年，全区实现生产总值</w:t>
      </w:r>
      <w:r>
        <w:rPr>
          <w:rFonts w:ascii="Times New Roman"/>
        </w:rPr>
        <w:t>239.6</w:t>
      </w:r>
      <w:r>
        <w:rPr>
          <w:rFonts w:ascii="Times New Roman"/>
        </w:rPr>
        <w:t>亿元，同比增长</w:t>
      </w:r>
      <w:r>
        <w:rPr>
          <w:rFonts w:ascii="Times New Roman"/>
        </w:rPr>
        <w:t>2.8%</w:t>
      </w:r>
      <w:r>
        <w:rPr>
          <w:rFonts w:ascii="Times New Roman"/>
        </w:rPr>
        <w:t>；规模以上工业增加值</w:t>
      </w:r>
      <w:r>
        <w:rPr>
          <w:rFonts w:ascii="Times New Roman"/>
          <w:color w:val="000000"/>
        </w:rPr>
        <w:t>完成</w:t>
      </w:r>
      <w:r>
        <w:rPr>
          <w:rFonts w:ascii="Times New Roman"/>
          <w:color w:val="000000"/>
        </w:rPr>
        <w:t>67.8</w:t>
      </w:r>
      <w:r>
        <w:rPr>
          <w:rFonts w:ascii="Times New Roman"/>
          <w:color w:val="000000"/>
        </w:rPr>
        <w:t>亿元，</w:t>
      </w:r>
      <w:r>
        <w:rPr>
          <w:rFonts w:ascii="Times New Roman"/>
        </w:rPr>
        <w:t>同比增长</w:t>
      </w:r>
      <w:r>
        <w:rPr>
          <w:rFonts w:ascii="Times New Roman"/>
        </w:rPr>
        <w:t>5.2%</w:t>
      </w:r>
      <w:r>
        <w:rPr>
          <w:rFonts w:ascii="Times New Roman"/>
        </w:rPr>
        <w:t>；固定资产投资完成</w:t>
      </w:r>
      <w:r>
        <w:rPr>
          <w:rFonts w:ascii="Times New Roman"/>
        </w:rPr>
        <w:t>38.0</w:t>
      </w:r>
      <w:r>
        <w:rPr>
          <w:rFonts w:ascii="Times New Roman"/>
        </w:rPr>
        <w:t>亿元，同比下降</w:t>
      </w:r>
      <w:r>
        <w:rPr>
          <w:rFonts w:ascii="Times New Roman"/>
        </w:rPr>
        <w:t>8.3%</w:t>
      </w:r>
      <w:r>
        <w:rPr>
          <w:rFonts w:ascii="Times New Roman"/>
        </w:rPr>
        <w:t>，增速位居三区一县第一；服务业增加值</w:t>
      </w:r>
      <w:r>
        <w:rPr>
          <w:rFonts w:ascii="Times New Roman"/>
        </w:rPr>
        <w:t>180.3</w:t>
      </w:r>
      <w:r>
        <w:rPr>
          <w:rFonts w:ascii="Times New Roman"/>
        </w:rPr>
        <w:t>亿元，同比增长</w:t>
      </w:r>
      <w:r>
        <w:rPr>
          <w:rFonts w:ascii="Times New Roman"/>
        </w:rPr>
        <w:t>3.6%</w:t>
      </w:r>
      <w:r>
        <w:rPr>
          <w:rFonts w:ascii="Times New Roman"/>
        </w:rPr>
        <w:t>；社会消费品零售总额完成</w:t>
      </w:r>
      <w:r>
        <w:rPr>
          <w:rFonts w:ascii="Times New Roman"/>
        </w:rPr>
        <w:t>119.6</w:t>
      </w:r>
      <w:r>
        <w:rPr>
          <w:rFonts w:ascii="Times New Roman"/>
        </w:rPr>
        <w:t>亿元，同比增长</w:t>
      </w:r>
      <w:r>
        <w:rPr>
          <w:rFonts w:ascii="Times New Roman"/>
        </w:rPr>
        <w:t>1.1%</w:t>
      </w:r>
      <w:r>
        <w:rPr>
          <w:rFonts w:ascii="Times New Roman"/>
        </w:rPr>
        <w:t>；一般公共预算收入完成</w:t>
      </w:r>
      <w:r>
        <w:rPr>
          <w:rFonts w:ascii="Times New Roman"/>
        </w:rPr>
        <w:t>4.6</w:t>
      </w:r>
      <w:r>
        <w:rPr>
          <w:rFonts w:ascii="Times New Roman"/>
        </w:rPr>
        <w:t>亿元，同比增长</w:t>
      </w:r>
      <w:r>
        <w:rPr>
          <w:rFonts w:ascii="Times New Roman"/>
        </w:rPr>
        <w:t>9.8%</w:t>
      </w:r>
      <w:r>
        <w:rPr>
          <w:rFonts w:ascii="Times New Roman"/>
        </w:rPr>
        <w:t>；城镇常住居民人均可支配收入</w:t>
      </w:r>
      <w:r>
        <w:rPr>
          <w:rFonts w:ascii="Times New Roman"/>
        </w:rPr>
        <w:t>29189</w:t>
      </w:r>
      <w:r>
        <w:rPr>
          <w:rFonts w:ascii="Times New Roman"/>
        </w:rPr>
        <w:t>元，同比增长</w:t>
      </w:r>
      <w:r>
        <w:rPr>
          <w:rFonts w:ascii="Times New Roman"/>
        </w:rPr>
        <w:t>5.2%</w:t>
      </w:r>
      <w:r>
        <w:rPr>
          <w:rFonts w:ascii="Times New Roman"/>
        </w:rPr>
        <w:t>；农村居民人均可支配收入</w:t>
      </w:r>
      <w:r>
        <w:rPr>
          <w:rFonts w:ascii="Times New Roman"/>
        </w:rPr>
        <w:t>13514</w:t>
      </w:r>
      <w:r>
        <w:rPr>
          <w:rFonts w:ascii="Times New Roman"/>
        </w:rPr>
        <w:t>元，同比增长</w:t>
      </w:r>
      <w:r>
        <w:rPr>
          <w:rFonts w:ascii="Times New Roman"/>
        </w:rPr>
        <w:t>6.0%</w:t>
      </w:r>
      <w:r>
        <w:rPr>
          <w:rFonts w:ascii="Times New Roman"/>
        </w:rPr>
        <w:t>。</w:t>
      </w:r>
    </w:p>
    <w:p w14:paraId="15FDD9A1" w14:textId="77777777" w:rsidR="00B475A4" w:rsidRDefault="00000000">
      <w:pPr>
        <w:spacing w:line="560" w:lineRule="exact"/>
        <w:ind w:firstLineChars="200" w:firstLine="640"/>
        <w:rPr>
          <w:rFonts w:ascii="Times New Roman"/>
        </w:rPr>
      </w:pPr>
      <w:r>
        <w:rPr>
          <w:rFonts w:ascii="Times New Roman" w:eastAsia="国标黑体"/>
        </w:rPr>
        <w:lastRenderedPageBreak/>
        <w:t>一、</w:t>
      </w:r>
      <w:r>
        <w:rPr>
          <w:rFonts w:ascii="Times New Roman" w:eastAsia="国标黑体"/>
        </w:rPr>
        <w:t>2026</w:t>
      </w:r>
      <w:r>
        <w:rPr>
          <w:rFonts w:ascii="Times New Roman" w:eastAsia="国标黑体"/>
        </w:rPr>
        <w:t>年上半年国民经济和社会发展计划执行情况</w:t>
      </w:r>
      <w:r>
        <w:rPr>
          <w:rFonts w:ascii="Times New Roman"/>
        </w:rPr>
        <w:t> </w:t>
      </w:r>
    </w:p>
    <w:p w14:paraId="3F58280B"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（一）聚焦产业升级，经济质效稳步提升</w:t>
      </w:r>
    </w:p>
    <w:p w14:paraId="6B42557E" w14:textId="77777777" w:rsidR="00B475A4" w:rsidRDefault="00000000">
      <w:pPr>
        <w:spacing w:line="560" w:lineRule="exact"/>
        <w:ind w:firstLineChars="200" w:firstLine="643"/>
        <w:rPr>
          <w:rFonts w:ascii="Times New Roman"/>
        </w:rPr>
      </w:pPr>
      <w:r>
        <w:rPr>
          <w:rFonts w:ascii="Times New Roman"/>
          <w:b/>
          <w:bCs/>
        </w:rPr>
        <w:t>工业转型成果丰硕。</w:t>
      </w:r>
      <w:r>
        <w:rPr>
          <w:rFonts w:ascii="Times New Roman"/>
        </w:rPr>
        <w:t>落实</w:t>
      </w:r>
      <w:r>
        <w:rPr>
          <w:rFonts w:ascii="Times New Roman"/>
        </w:rPr>
        <w:t>“135”</w:t>
      </w:r>
      <w:r>
        <w:rPr>
          <w:rFonts w:ascii="Times New Roman"/>
        </w:rPr>
        <w:t>梯度培育机制，对高成长性企业</w:t>
      </w:r>
      <w:r>
        <w:rPr>
          <w:rFonts w:ascii="Times New Roman"/>
        </w:rPr>
        <w:t>“</w:t>
      </w:r>
      <w:r>
        <w:rPr>
          <w:rFonts w:ascii="Times New Roman"/>
        </w:rPr>
        <w:t>一企一策</w:t>
      </w:r>
      <w:r>
        <w:rPr>
          <w:rFonts w:ascii="Times New Roman"/>
        </w:rPr>
        <w:t>”</w:t>
      </w:r>
      <w:r>
        <w:rPr>
          <w:rFonts w:ascii="Times New Roman"/>
        </w:rPr>
        <w:t>量身定制扶持方案，支持重点企业扩大产能、延伸链条。积极引导制造业企业</w:t>
      </w:r>
      <w:r>
        <w:rPr>
          <w:rFonts w:ascii="Times New Roman"/>
        </w:rPr>
        <w:t>“</w:t>
      </w:r>
      <w:r>
        <w:rPr>
          <w:rFonts w:ascii="Times New Roman"/>
        </w:rPr>
        <w:t>三化</w:t>
      </w:r>
      <w:r>
        <w:rPr>
          <w:rFonts w:ascii="Times New Roman"/>
        </w:rPr>
        <w:t>”</w:t>
      </w:r>
      <w:r>
        <w:rPr>
          <w:rFonts w:ascii="Times New Roman"/>
        </w:rPr>
        <w:t>改造，实施</w:t>
      </w:r>
      <w:r>
        <w:rPr>
          <w:rFonts w:ascii="Times New Roman"/>
        </w:rPr>
        <w:t>“</w:t>
      </w:r>
      <w:r>
        <w:rPr>
          <w:rFonts w:ascii="Times New Roman"/>
        </w:rPr>
        <w:t>三化</w:t>
      </w:r>
      <w:r>
        <w:rPr>
          <w:rFonts w:ascii="Times New Roman"/>
        </w:rPr>
        <w:t>”</w:t>
      </w:r>
      <w:r>
        <w:rPr>
          <w:rFonts w:ascii="Times New Roman"/>
        </w:rPr>
        <w:t>改造项目</w:t>
      </w:r>
      <w:r>
        <w:rPr>
          <w:rFonts w:ascii="Times New Roman"/>
        </w:rPr>
        <w:t>8</w:t>
      </w:r>
      <w:r>
        <w:rPr>
          <w:rFonts w:ascii="Times New Roman"/>
        </w:rPr>
        <w:t>个。新增省级创新型中小企业</w:t>
      </w:r>
      <w:r>
        <w:rPr>
          <w:rFonts w:ascii="Times New Roman"/>
        </w:rPr>
        <w:t>3</w:t>
      </w:r>
      <w:r>
        <w:rPr>
          <w:rFonts w:ascii="Times New Roman"/>
        </w:rPr>
        <w:t>家、培育省专精特新企业</w:t>
      </w:r>
      <w:r>
        <w:rPr>
          <w:rFonts w:ascii="Times New Roman"/>
        </w:rPr>
        <w:t>4</w:t>
      </w:r>
      <w:r>
        <w:rPr>
          <w:rFonts w:ascii="Times New Roman"/>
        </w:rPr>
        <w:t>家。新认定基础级智能工厂</w:t>
      </w:r>
      <w:r>
        <w:rPr>
          <w:rFonts w:ascii="Times New Roman"/>
        </w:rPr>
        <w:t>3</w:t>
      </w:r>
      <w:r>
        <w:rPr>
          <w:rFonts w:ascii="Times New Roman"/>
        </w:rPr>
        <w:t>家，相山经济开发区获省级</w:t>
      </w:r>
      <w:r>
        <w:rPr>
          <w:rFonts w:ascii="Times New Roman"/>
        </w:rPr>
        <w:t>2025</w:t>
      </w:r>
      <w:r>
        <w:rPr>
          <w:rFonts w:ascii="Times New Roman"/>
        </w:rPr>
        <w:t>年制造业数字化转型示范园区并成功通过最终验收。上半年，制造业投资同比增长</w:t>
      </w:r>
      <w:r>
        <w:rPr>
          <w:rFonts w:ascii="Times New Roman"/>
        </w:rPr>
        <w:t>4.3%</w:t>
      </w:r>
      <w:r>
        <w:rPr>
          <w:rFonts w:ascii="Times New Roman"/>
        </w:rPr>
        <w:t>，排名三区一县第一。促成贝宝食品与江南大学开展产学研合作，共建联合实验室、研发新产品。推动盛美诺与中科院过程研究所张贵锋院士签订院士工作站建站协议，指导德兰和创在上海建立</w:t>
      </w:r>
      <w:r>
        <w:rPr>
          <w:rFonts w:ascii="Times New Roman"/>
        </w:rPr>
        <w:t>“</w:t>
      </w:r>
      <w:r>
        <w:rPr>
          <w:rFonts w:ascii="Times New Roman"/>
        </w:rPr>
        <w:t>人才</w:t>
      </w:r>
      <w:proofErr w:type="gramStart"/>
      <w:r>
        <w:rPr>
          <w:rFonts w:ascii="Times New Roman"/>
        </w:rPr>
        <w:t>飞地</w:t>
      </w:r>
      <w:proofErr w:type="gramEnd"/>
      <w:r>
        <w:rPr>
          <w:rFonts w:ascii="Times New Roman"/>
        </w:rPr>
        <w:t>”</w:t>
      </w:r>
      <w:r>
        <w:rPr>
          <w:rFonts w:ascii="Times New Roman"/>
        </w:rPr>
        <w:t>。常态化开展长三角产学研联动，推介科技成果</w:t>
      </w:r>
      <w:r>
        <w:rPr>
          <w:rFonts w:ascii="Times New Roman"/>
        </w:rPr>
        <w:t>13</w:t>
      </w:r>
      <w:r>
        <w:rPr>
          <w:rFonts w:ascii="Times New Roman"/>
        </w:rPr>
        <w:t>期</w:t>
      </w:r>
      <w:r>
        <w:rPr>
          <w:rFonts w:ascii="Times New Roman"/>
        </w:rPr>
        <w:t>32</w:t>
      </w:r>
      <w:r>
        <w:rPr>
          <w:rFonts w:ascii="Times New Roman"/>
        </w:rPr>
        <w:t>项，实施产学研合作</w:t>
      </w:r>
      <w:r>
        <w:rPr>
          <w:rFonts w:ascii="Times New Roman"/>
        </w:rPr>
        <w:t>152</w:t>
      </w:r>
      <w:r>
        <w:rPr>
          <w:rFonts w:ascii="Times New Roman"/>
        </w:rPr>
        <w:t>项，登记科技成果</w:t>
      </w:r>
      <w:r>
        <w:rPr>
          <w:rFonts w:ascii="Times New Roman"/>
        </w:rPr>
        <w:t>60</w:t>
      </w:r>
      <w:r>
        <w:rPr>
          <w:rFonts w:ascii="Times New Roman"/>
        </w:rPr>
        <w:t>项。组织万特科贸争创安徽省人工智能十大标杆案例、曦强乳业成功入选</w:t>
      </w:r>
      <w:r>
        <w:rPr>
          <w:rFonts w:ascii="Times New Roman"/>
        </w:rPr>
        <w:t>2026</w:t>
      </w:r>
      <w:r>
        <w:rPr>
          <w:rFonts w:ascii="Times New Roman"/>
        </w:rPr>
        <w:t>年度安徽省人工智能场景创新项目榜单。</w:t>
      </w:r>
      <w:r>
        <w:rPr>
          <w:rFonts w:ascii="Times New Roman"/>
        </w:rPr>
        <w:t xml:space="preserve">  </w:t>
      </w:r>
    </w:p>
    <w:p w14:paraId="7F3640BF" w14:textId="77777777" w:rsidR="00B475A4" w:rsidRDefault="00000000">
      <w:pPr>
        <w:spacing w:line="560" w:lineRule="exact"/>
        <w:ind w:firstLineChars="200" w:firstLine="643"/>
        <w:rPr>
          <w:rFonts w:ascii="Times New Roman"/>
        </w:rPr>
      </w:pPr>
      <w:r>
        <w:rPr>
          <w:rFonts w:ascii="Times New Roman"/>
          <w:b/>
          <w:bCs/>
        </w:rPr>
        <w:t>现代服务业扩能提质。</w:t>
      </w:r>
      <w:r>
        <w:rPr>
          <w:rFonts w:ascii="Times New Roman"/>
        </w:rPr>
        <w:t>深入实施服务业扩能提质行动，推进生产性服务业向专业化和价值链高端延伸，为实体经济提供坚实支撑。全力推进老电厂</w:t>
      </w:r>
      <w:r>
        <w:rPr>
          <w:rFonts w:ascii="Times New Roman"/>
        </w:rPr>
        <w:t>1969</w:t>
      </w:r>
      <w:r>
        <w:rPr>
          <w:rFonts w:ascii="Times New Roman"/>
        </w:rPr>
        <w:t>蒸汽市集、夔牛水世界等项目建设，皖新文化工业街区、淮北工业记忆全民健身体育公园等项目建成运营。持续强化平台载体集聚效应，加快服务业企业培育，完成年度入规企业</w:t>
      </w:r>
      <w:r>
        <w:rPr>
          <w:rFonts w:ascii="Times New Roman"/>
        </w:rPr>
        <w:t>8</w:t>
      </w:r>
      <w:r>
        <w:rPr>
          <w:rFonts w:ascii="Times New Roman"/>
        </w:rPr>
        <w:t>家。上半年，全区服务业增加值</w:t>
      </w:r>
      <w:r>
        <w:rPr>
          <w:rFonts w:ascii="Times New Roman"/>
        </w:rPr>
        <w:t>180.3</w:t>
      </w:r>
      <w:r>
        <w:rPr>
          <w:rFonts w:ascii="Times New Roman"/>
        </w:rPr>
        <w:t>亿元，增长</w:t>
      </w:r>
      <w:r>
        <w:rPr>
          <w:rFonts w:ascii="Times New Roman"/>
        </w:rPr>
        <w:t>3.6%</w:t>
      </w:r>
      <w:r>
        <w:rPr>
          <w:rFonts w:ascii="Times New Roman"/>
        </w:rPr>
        <w:t>，服务业增加值占</w:t>
      </w:r>
      <w:r>
        <w:rPr>
          <w:rFonts w:ascii="Times New Roman"/>
        </w:rPr>
        <w:t>GDP</w:t>
      </w:r>
      <w:r>
        <w:rPr>
          <w:rFonts w:ascii="Times New Roman"/>
        </w:rPr>
        <w:t>比重为</w:t>
      </w:r>
      <w:r>
        <w:rPr>
          <w:rFonts w:ascii="Times New Roman"/>
        </w:rPr>
        <w:t>75.3%</w:t>
      </w:r>
      <w:r>
        <w:rPr>
          <w:rFonts w:ascii="Times New Roman"/>
        </w:rPr>
        <w:t>，其他营利性服务</w:t>
      </w:r>
      <w:r>
        <w:rPr>
          <w:rFonts w:ascii="Times New Roman"/>
        </w:rPr>
        <w:lastRenderedPageBreak/>
        <w:t>业营收同比增长</w:t>
      </w:r>
      <w:r>
        <w:rPr>
          <w:rFonts w:ascii="Times New Roman"/>
        </w:rPr>
        <w:t>6.4%</w:t>
      </w:r>
      <w:r>
        <w:rPr>
          <w:rFonts w:ascii="Times New Roman"/>
        </w:rPr>
        <w:t>。</w:t>
      </w:r>
    </w:p>
    <w:p w14:paraId="5DDBE975" w14:textId="77777777" w:rsidR="00B475A4" w:rsidRDefault="00000000">
      <w:pPr>
        <w:spacing w:line="560" w:lineRule="exact"/>
        <w:ind w:firstLineChars="200" w:firstLine="643"/>
        <w:rPr>
          <w:rFonts w:ascii="Times New Roman"/>
        </w:rPr>
      </w:pPr>
      <w:r>
        <w:rPr>
          <w:rFonts w:ascii="Times New Roman" w:eastAsia="楷体_GB2312"/>
          <w:b/>
          <w:bCs/>
        </w:rPr>
        <w:t>（二）深入扩大内需，增长支撑更加稳固</w:t>
      </w:r>
    </w:p>
    <w:p w14:paraId="5865FBFD" w14:textId="77777777" w:rsidR="00B475A4" w:rsidRDefault="00000000">
      <w:pPr>
        <w:spacing w:line="560" w:lineRule="exact"/>
        <w:ind w:firstLineChars="200" w:firstLine="643"/>
        <w:rPr>
          <w:rFonts w:ascii="Times New Roman"/>
        </w:rPr>
      </w:pPr>
      <w:r>
        <w:rPr>
          <w:rFonts w:ascii="Times New Roman"/>
          <w:b/>
          <w:bCs/>
        </w:rPr>
        <w:t>双招双引协同发力。</w:t>
      </w:r>
      <w:r>
        <w:rPr>
          <w:rFonts w:ascii="Times New Roman"/>
        </w:rPr>
        <w:t>健全全员招商机制，四大班子领导带头外出攻坚，累计外出招商</w:t>
      </w:r>
      <w:r>
        <w:rPr>
          <w:rFonts w:ascii="Times New Roman"/>
        </w:rPr>
        <w:t>68</w:t>
      </w:r>
      <w:r>
        <w:rPr>
          <w:rFonts w:ascii="Times New Roman"/>
        </w:rPr>
        <w:t>次，实地考察项目</w:t>
      </w:r>
      <w:r>
        <w:rPr>
          <w:rFonts w:ascii="Times New Roman"/>
        </w:rPr>
        <w:t>130</w:t>
      </w:r>
      <w:r>
        <w:rPr>
          <w:rFonts w:ascii="Times New Roman"/>
        </w:rPr>
        <w:t>个。上半年，全区新签约亿元以上项目</w:t>
      </w:r>
      <w:r>
        <w:rPr>
          <w:rFonts w:ascii="Times New Roman"/>
        </w:rPr>
        <w:t>26</w:t>
      </w:r>
      <w:r>
        <w:rPr>
          <w:rFonts w:ascii="Times New Roman"/>
        </w:rPr>
        <w:t>个，总投资额</w:t>
      </w:r>
      <w:r>
        <w:rPr>
          <w:rFonts w:ascii="Times New Roman"/>
        </w:rPr>
        <w:t>70.44</w:t>
      </w:r>
      <w:r>
        <w:rPr>
          <w:rFonts w:ascii="Times New Roman"/>
        </w:rPr>
        <w:t>亿元。成功引进理士智慧能源电池、欢歌笑语康养社区、宇萱生物食品工业园</w:t>
      </w:r>
      <w:r>
        <w:rPr>
          <w:rFonts w:ascii="Times New Roman"/>
        </w:rPr>
        <w:t>3</w:t>
      </w:r>
      <w:r>
        <w:rPr>
          <w:rFonts w:ascii="Times New Roman"/>
        </w:rPr>
        <w:t>个</w:t>
      </w:r>
      <w:r>
        <w:rPr>
          <w:rFonts w:ascii="Times New Roman"/>
        </w:rPr>
        <w:t>10</w:t>
      </w:r>
      <w:r>
        <w:rPr>
          <w:rFonts w:ascii="Times New Roman"/>
        </w:rPr>
        <w:t>亿级以上项目。举办人才专场招聘会</w:t>
      </w:r>
      <w:r>
        <w:rPr>
          <w:rFonts w:ascii="Times New Roman"/>
        </w:rPr>
        <w:t>48</w:t>
      </w:r>
      <w:r>
        <w:rPr>
          <w:rFonts w:ascii="Times New Roman"/>
        </w:rPr>
        <w:t>场，为企输送人才</w:t>
      </w:r>
      <w:r>
        <w:rPr>
          <w:rFonts w:ascii="Times New Roman"/>
        </w:rPr>
        <w:t>400</w:t>
      </w:r>
      <w:r>
        <w:rPr>
          <w:rFonts w:ascii="Times New Roman"/>
        </w:rPr>
        <w:t>余名。遴选党政人才</w:t>
      </w:r>
      <w:r>
        <w:rPr>
          <w:rFonts w:ascii="Times New Roman"/>
        </w:rPr>
        <w:t>4</w:t>
      </w:r>
      <w:r>
        <w:rPr>
          <w:rFonts w:ascii="Times New Roman"/>
        </w:rPr>
        <w:t>名来相挂职，公开竞聘城投集团中高层领导</w:t>
      </w:r>
      <w:r>
        <w:rPr>
          <w:rFonts w:ascii="Times New Roman"/>
        </w:rPr>
        <w:t>5</w:t>
      </w:r>
      <w:r>
        <w:rPr>
          <w:rFonts w:ascii="Times New Roman"/>
        </w:rPr>
        <w:t>名，选派</w:t>
      </w:r>
      <w:r>
        <w:rPr>
          <w:rFonts w:ascii="Times New Roman"/>
        </w:rPr>
        <w:t>2</w:t>
      </w:r>
      <w:r>
        <w:rPr>
          <w:rFonts w:ascii="Times New Roman"/>
        </w:rPr>
        <w:t>名年轻干部赴徐州学习锻炼。通过银企对接等活动帮助企业争取市级专项资金</w:t>
      </w:r>
      <w:r>
        <w:rPr>
          <w:rFonts w:ascii="Times New Roman"/>
        </w:rPr>
        <w:t>414.97</w:t>
      </w:r>
      <w:r>
        <w:rPr>
          <w:rFonts w:ascii="Times New Roman"/>
        </w:rPr>
        <w:t>万元、融资</w:t>
      </w:r>
      <w:r>
        <w:rPr>
          <w:rFonts w:ascii="Times New Roman"/>
        </w:rPr>
        <w:t>2800</w:t>
      </w:r>
      <w:r>
        <w:rPr>
          <w:rFonts w:ascii="Times New Roman"/>
        </w:rPr>
        <w:t>万元，累计解决人才政策咨询、市场拓展等诉求</w:t>
      </w:r>
      <w:r>
        <w:rPr>
          <w:rFonts w:ascii="Times New Roman"/>
        </w:rPr>
        <w:t>72</w:t>
      </w:r>
      <w:r>
        <w:rPr>
          <w:rFonts w:ascii="Times New Roman"/>
        </w:rPr>
        <w:t>个。</w:t>
      </w:r>
    </w:p>
    <w:p w14:paraId="170F66F9" w14:textId="77777777" w:rsidR="00B475A4" w:rsidRDefault="00000000">
      <w:pPr>
        <w:spacing w:line="560" w:lineRule="exact"/>
        <w:ind w:firstLineChars="200" w:firstLine="643"/>
        <w:rPr>
          <w:rFonts w:ascii="Times New Roman"/>
        </w:rPr>
      </w:pPr>
      <w:r>
        <w:rPr>
          <w:rFonts w:ascii="Times New Roman"/>
          <w:b/>
          <w:bCs/>
        </w:rPr>
        <w:t>重点项目攻坚有力。</w:t>
      </w:r>
      <w:r>
        <w:rPr>
          <w:rFonts w:ascii="Times New Roman"/>
        </w:rPr>
        <w:t>全年计划实施重点项目</w:t>
      </w:r>
      <w:r>
        <w:rPr>
          <w:rFonts w:ascii="Times New Roman"/>
        </w:rPr>
        <w:t>130</w:t>
      </w:r>
      <w:r>
        <w:rPr>
          <w:rFonts w:ascii="Times New Roman"/>
        </w:rPr>
        <w:t>个，年计划投资</w:t>
      </w:r>
      <w:r>
        <w:rPr>
          <w:rFonts w:ascii="Times New Roman"/>
        </w:rPr>
        <w:t>85.3</w:t>
      </w:r>
      <w:r>
        <w:rPr>
          <w:rFonts w:ascii="Times New Roman"/>
        </w:rPr>
        <w:t>亿元。紧盯中央预算内投资、超长期特别国债、地方政府专项债、新型政策性金融工具等上级政策窗口期，积极围绕产业升级、基础设施、民生保障等重点领域开展项目谋划。宇萱绿色食品产业园、淮北市工业城市记忆等</w:t>
      </w:r>
      <w:r>
        <w:rPr>
          <w:rFonts w:ascii="Times New Roman"/>
        </w:rPr>
        <w:t>42</w:t>
      </w:r>
      <w:r>
        <w:rPr>
          <w:rFonts w:ascii="Times New Roman"/>
        </w:rPr>
        <w:t>个项目开工建设，皖新文化广场、味知轩二期等</w:t>
      </w:r>
      <w:r>
        <w:rPr>
          <w:rFonts w:ascii="Times New Roman"/>
        </w:rPr>
        <w:t>53</w:t>
      </w:r>
      <w:r>
        <w:rPr>
          <w:rFonts w:ascii="Times New Roman"/>
        </w:rPr>
        <w:t>个项目加快推进。上半年，争取各类政策性资金项目</w:t>
      </w:r>
      <w:r>
        <w:rPr>
          <w:rFonts w:ascii="Times New Roman"/>
        </w:rPr>
        <w:t>12</w:t>
      </w:r>
      <w:r>
        <w:rPr>
          <w:rFonts w:ascii="Times New Roman"/>
        </w:rPr>
        <w:t>个，总投资</w:t>
      </w:r>
      <w:r>
        <w:rPr>
          <w:rFonts w:ascii="Times New Roman"/>
        </w:rPr>
        <w:t>62.75</w:t>
      </w:r>
      <w:r>
        <w:rPr>
          <w:rFonts w:ascii="Times New Roman"/>
        </w:rPr>
        <w:t>亿元，获批上级政策资金</w:t>
      </w:r>
      <w:r>
        <w:rPr>
          <w:rFonts w:ascii="Times New Roman"/>
        </w:rPr>
        <w:t>5.824</w:t>
      </w:r>
      <w:r>
        <w:rPr>
          <w:rFonts w:ascii="Times New Roman"/>
        </w:rPr>
        <w:t>亿元。其中，中央预算内资金项目</w:t>
      </w:r>
      <w:r>
        <w:rPr>
          <w:rFonts w:ascii="Times New Roman"/>
        </w:rPr>
        <w:t>5</w:t>
      </w:r>
      <w:r>
        <w:rPr>
          <w:rFonts w:ascii="Times New Roman"/>
        </w:rPr>
        <w:t>个，获批资金</w:t>
      </w:r>
      <w:r>
        <w:rPr>
          <w:rFonts w:ascii="Times New Roman"/>
        </w:rPr>
        <w:t>3.214</w:t>
      </w:r>
      <w:r>
        <w:rPr>
          <w:rFonts w:ascii="Times New Roman"/>
        </w:rPr>
        <w:t>亿元；国债资金项目</w:t>
      </w:r>
      <w:r>
        <w:rPr>
          <w:rFonts w:ascii="Times New Roman"/>
        </w:rPr>
        <w:t>3</w:t>
      </w:r>
      <w:r>
        <w:rPr>
          <w:rFonts w:ascii="Times New Roman"/>
        </w:rPr>
        <w:t>个，获批资金</w:t>
      </w:r>
      <w:r>
        <w:rPr>
          <w:rFonts w:ascii="Times New Roman"/>
        </w:rPr>
        <w:t>1.4</w:t>
      </w:r>
      <w:r>
        <w:rPr>
          <w:rFonts w:ascii="Times New Roman"/>
        </w:rPr>
        <w:t>亿元；地方政府专项债券资金项目</w:t>
      </w:r>
      <w:r>
        <w:rPr>
          <w:rFonts w:ascii="Times New Roman"/>
        </w:rPr>
        <w:t>4</w:t>
      </w:r>
      <w:r>
        <w:rPr>
          <w:rFonts w:ascii="Times New Roman"/>
        </w:rPr>
        <w:t>个，获批资金</w:t>
      </w:r>
      <w:r>
        <w:rPr>
          <w:rFonts w:ascii="Times New Roman"/>
        </w:rPr>
        <w:t>1.21</w:t>
      </w:r>
      <w:r>
        <w:rPr>
          <w:rFonts w:ascii="Times New Roman"/>
        </w:rPr>
        <w:t>亿元。</w:t>
      </w:r>
    </w:p>
    <w:p w14:paraId="0B0036B6" w14:textId="77777777" w:rsidR="00B475A4" w:rsidRDefault="00000000">
      <w:pPr>
        <w:spacing w:line="560" w:lineRule="exact"/>
        <w:ind w:firstLineChars="200" w:firstLine="643"/>
        <w:rPr>
          <w:rFonts w:ascii="Times New Roman"/>
        </w:rPr>
      </w:pPr>
      <w:r>
        <w:rPr>
          <w:rFonts w:ascii="Times New Roman"/>
          <w:b/>
          <w:bCs/>
        </w:rPr>
        <w:t>消费拉动成效明显。</w:t>
      </w:r>
      <w:r>
        <w:rPr>
          <w:rFonts w:ascii="Times New Roman"/>
        </w:rPr>
        <w:t>围绕汽车、家电数码等板块精准投放消</w:t>
      </w:r>
      <w:r>
        <w:rPr>
          <w:rFonts w:ascii="Times New Roman"/>
        </w:rPr>
        <w:lastRenderedPageBreak/>
        <w:t>费券</w:t>
      </w:r>
      <w:r>
        <w:rPr>
          <w:rFonts w:ascii="Times New Roman"/>
        </w:rPr>
        <w:t>910</w:t>
      </w:r>
      <w:r>
        <w:rPr>
          <w:rFonts w:ascii="Times New Roman"/>
        </w:rPr>
        <w:t>万元，促进消费超</w:t>
      </w:r>
      <w:r>
        <w:rPr>
          <w:rFonts w:ascii="Times New Roman"/>
        </w:rPr>
        <w:t>2.09</w:t>
      </w:r>
      <w:r>
        <w:rPr>
          <w:rFonts w:ascii="Times New Roman"/>
        </w:rPr>
        <w:t>亿元，拉动全区零售业</w:t>
      </w:r>
      <w:r>
        <w:rPr>
          <w:rFonts w:ascii="Times New Roman"/>
        </w:rPr>
        <w:t>5</w:t>
      </w:r>
      <w:r>
        <w:rPr>
          <w:rFonts w:ascii="Times New Roman"/>
        </w:rPr>
        <w:t>个百分点。消费品以旧换新完成</w:t>
      </w:r>
      <w:r>
        <w:rPr>
          <w:rFonts w:ascii="Times New Roman"/>
        </w:rPr>
        <w:t>6.24</w:t>
      </w:r>
      <w:r>
        <w:rPr>
          <w:rFonts w:ascii="Times New Roman"/>
        </w:rPr>
        <w:t>万笔，销售额</w:t>
      </w:r>
      <w:r>
        <w:rPr>
          <w:rFonts w:ascii="Times New Roman"/>
        </w:rPr>
        <w:t>2.32</w:t>
      </w:r>
      <w:r>
        <w:rPr>
          <w:rFonts w:ascii="Times New Roman"/>
        </w:rPr>
        <w:t>亿元，指导万达、碧乐城等商超综合体开展促消费活动</w:t>
      </w:r>
      <w:r>
        <w:rPr>
          <w:rFonts w:ascii="Times New Roman"/>
        </w:rPr>
        <w:t>50</w:t>
      </w:r>
      <w:r>
        <w:rPr>
          <w:rFonts w:ascii="Times New Roman"/>
        </w:rPr>
        <w:t>余场，消费潜能持续释放。首店经济蓬勃发展，成功引进区域首店品牌</w:t>
      </w:r>
      <w:r>
        <w:rPr>
          <w:rFonts w:ascii="Times New Roman"/>
        </w:rPr>
        <w:t>10</w:t>
      </w:r>
      <w:r>
        <w:rPr>
          <w:rFonts w:ascii="Times New Roman"/>
        </w:rPr>
        <w:t>家。华为、小米新能源体验店，极狐、东风岚图等新能源品牌</w:t>
      </w:r>
      <w:r>
        <w:rPr>
          <w:rFonts w:ascii="Times New Roman"/>
        </w:rPr>
        <w:t>4S</w:t>
      </w:r>
      <w:r>
        <w:rPr>
          <w:rFonts w:ascii="Times New Roman"/>
        </w:rPr>
        <w:t>店先后入驻运营，消费场景进一步丰富。上半年，全区社会消费品零售总额</w:t>
      </w:r>
      <w:r>
        <w:rPr>
          <w:rFonts w:ascii="Times New Roman"/>
        </w:rPr>
        <w:t>119.6</w:t>
      </w:r>
      <w:r>
        <w:rPr>
          <w:rFonts w:ascii="Times New Roman"/>
        </w:rPr>
        <w:t>亿元，同比增长</w:t>
      </w:r>
      <w:r>
        <w:rPr>
          <w:rFonts w:ascii="Times New Roman"/>
        </w:rPr>
        <w:t>1.1%</w:t>
      </w:r>
      <w:r>
        <w:rPr>
          <w:rFonts w:ascii="Times New Roman"/>
        </w:rPr>
        <w:t>。</w:t>
      </w:r>
    </w:p>
    <w:p w14:paraId="54A7ED9E"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（三）统筹城乡融合，持续优化区域布局</w:t>
      </w:r>
    </w:p>
    <w:p w14:paraId="46AF48AB" w14:textId="77777777" w:rsidR="00B475A4" w:rsidRDefault="00000000">
      <w:pPr>
        <w:spacing w:line="560" w:lineRule="exact"/>
        <w:ind w:firstLineChars="200" w:firstLine="643"/>
        <w:rPr>
          <w:rFonts w:ascii="Times New Roman"/>
        </w:rPr>
      </w:pPr>
      <w:r>
        <w:rPr>
          <w:rFonts w:ascii="Times New Roman"/>
          <w:b/>
          <w:bCs/>
        </w:rPr>
        <w:t>城市品质加速精进。</w:t>
      </w:r>
      <w:r>
        <w:rPr>
          <w:rFonts w:ascii="Times New Roman"/>
        </w:rPr>
        <w:t>持续推进城市更新行动。老城片区老旧小区屋面防水维修及路网改造重点项目加快建设，覆盖</w:t>
      </w:r>
      <w:r>
        <w:rPr>
          <w:rFonts w:ascii="Times New Roman"/>
        </w:rPr>
        <w:t>112</w:t>
      </w:r>
      <w:r>
        <w:rPr>
          <w:rFonts w:ascii="Times New Roman"/>
        </w:rPr>
        <w:t>个老旧小区，</w:t>
      </w:r>
      <w:r>
        <w:rPr>
          <w:rFonts w:ascii="Times New Roman"/>
        </w:rPr>
        <w:t>40425</w:t>
      </w:r>
      <w:r>
        <w:rPr>
          <w:rFonts w:ascii="Times New Roman"/>
        </w:rPr>
        <w:t>户居民受益，改造屋面防水</w:t>
      </w:r>
      <w:r>
        <w:rPr>
          <w:rFonts w:ascii="Times New Roman"/>
        </w:rPr>
        <w:t>74.2</w:t>
      </w:r>
      <w:r>
        <w:rPr>
          <w:rFonts w:ascii="Times New Roman"/>
        </w:rPr>
        <w:t>万平方米、配套路网</w:t>
      </w:r>
      <w:r>
        <w:rPr>
          <w:rFonts w:ascii="Times New Roman"/>
        </w:rPr>
        <w:t>8.696</w:t>
      </w:r>
      <w:r>
        <w:rPr>
          <w:rFonts w:ascii="Times New Roman"/>
        </w:rPr>
        <w:t>公里。将</w:t>
      </w:r>
      <w:r>
        <w:rPr>
          <w:rFonts w:ascii="Times New Roman"/>
        </w:rPr>
        <w:t>6</w:t>
      </w:r>
      <w:r>
        <w:rPr>
          <w:rFonts w:ascii="Times New Roman"/>
        </w:rPr>
        <w:t>条断头路纳入路网改造工程，任圩路、横六路已顺利通车。实施城市排水管网改造提升，完成</w:t>
      </w:r>
      <w:r>
        <w:rPr>
          <w:rFonts w:ascii="Times New Roman"/>
        </w:rPr>
        <w:t>5.5</w:t>
      </w:r>
      <w:r>
        <w:rPr>
          <w:rFonts w:ascii="Times New Roman"/>
        </w:rPr>
        <w:t>公里易涝点管道铺设、</w:t>
      </w:r>
      <w:r>
        <w:rPr>
          <w:rFonts w:ascii="Times New Roman"/>
        </w:rPr>
        <w:t>50</w:t>
      </w:r>
      <w:r>
        <w:rPr>
          <w:rFonts w:ascii="Times New Roman"/>
        </w:rPr>
        <w:t>公里管网清淤检测、</w:t>
      </w:r>
      <w:r>
        <w:rPr>
          <w:rFonts w:ascii="Times New Roman"/>
        </w:rPr>
        <w:t>42</w:t>
      </w:r>
      <w:r>
        <w:rPr>
          <w:rFonts w:ascii="Times New Roman"/>
        </w:rPr>
        <w:t>公里管网非开挖修复。维修更换护栏、路灯、座椅等设施</w:t>
      </w:r>
      <w:r>
        <w:rPr>
          <w:rFonts w:ascii="Times New Roman"/>
        </w:rPr>
        <w:t>100</w:t>
      </w:r>
      <w:r>
        <w:rPr>
          <w:rFonts w:ascii="Times New Roman"/>
        </w:rPr>
        <w:t>余处，翻新景观设施</w:t>
      </w:r>
      <w:r>
        <w:rPr>
          <w:rFonts w:ascii="Times New Roman"/>
        </w:rPr>
        <w:t>60</w:t>
      </w:r>
      <w:r>
        <w:rPr>
          <w:rFonts w:ascii="Times New Roman"/>
        </w:rPr>
        <w:t>余处。淮北首例自主更新、原拆原建的危房改造项目（物资局家属楼）顺利实施。</w:t>
      </w:r>
    </w:p>
    <w:p w14:paraId="291BFC36" w14:textId="77777777" w:rsidR="00B475A4" w:rsidRDefault="00000000">
      <w:pPr>
        <w:spacing w:line="560" w:lineRule="exact"/>
        <w:ind w:firstLineChars="200" w:firstLine="643"/>
        <w:rPr>
          <w:rFonts w:ascii="Times New Roman"/>
        </w:rPr>
      </w:pPr>
      <w:r>
        <w:rPr>
          <w:rFonts w:ascii="Times New Roman"/>
          <w:b/>
          <w:bCs/>
        </w:rPr>
        <w:t>乡村振兴动能强劲。</w:t>
      </w:r>
      <w:r>
        <w:rPr>
          <w:rFonts w:ascii="Times New Roman"/>
        </w:rPr>
        <w:t>完成粮食播种</w:t>
      </w:r>
      <w:r>
        <w:rPr>
          <w:rFonts w:ascii="Times New Roman"/>
        </w:rPr>
        <w:t>11.27</w:t>
      </w:r>
      <w:r>
        <w:rPr>
          <w:rFonts w:ascii="Times New Roman"/>
        </w:rPr>
        <w:t>万亩、油料播种</w:t>
      </w:r>
      <w:r>
        <w:rPr>
          <w:rFonts w:ascii="Times New Roman"/>
        </w:rPr>
        <w:t>0.24</w:t>
      </w:r>
      <w:r>
        <w:rPr>
          <w:rFonts w:ascii="Times New Roman"/>
        </w:rPr>
        <w:t>万亩，圆满完成夏收任务。乡村面貌持续改善，瓦房精品示范村顺利通过省级验收。钟楼村大梨园省级中心村主体工程基本完工，钟楼村精品示范村建设及司桥、徐大洼省级中心村项目有序开展。完成户改厕</w:t>
      </w:r>
      <w:r>
        <w:rPr>
          <w:rFonts w:ascii="Times New Roman"/>
        </w:rPr>
        <w:t>30</w:t>
      </w:r>
      <w:r>
        <w:rPr>
          <w:rFonts w:ascii="Times New Roman"/>
        </w:rPr>
        <w:t>户。常态化开展防返贫动态监测，精准落实</w:t>
      </w:r>
      <w:r>
        <w:rPr>
          <w:rFonts w:ascii="Times New Roman"/>
        </w:rPr>
        <w:t>“</w:t>
      </w:r>
      <w:r>
        <w:rPr>
          <w:rFonts w:ascii="Times New Roman"/>
        </w:rPr>
        <w:t>一户</w:t>
      </w:r>
      <w:r>
        <w:rPr>
          <w:rFonts w:ascii="Times New Roman"/>
        </w:rPr>
        <w:lastRenderedPageBreak/>
        <w:t>一方案</w:t>
      </w:r>
      <w:r>
        <w:rPr>
          <w:rFonts w:ascii="Times New Roman"/>
        </w:rPr>
        <w:t>”</w:t>
      </w:r>
      <w:r>
        <w:rPr>
          <w:rFonts w:ascii="Times New Roman"/>
        </w:rPr>
        <w:t>帮扶举措。</w:t>
      </w:r>
    </w:p>
    <w:p w14:paraId="71E3CC08" w14:textId="77777777" w:rsidR="00B475A4" w:rsidRDefault="00000000">
      <w:pPr>
        <w:spacing w:line="560" w:lineRule="exact"/>
        <w:ind w:firstLineChars="200" w:firstLine="643"/>
        <w:rPr>
          <w:rFonts w:ascii="Times New Roman"/>
        </w:rPr>
      </w:pPr>
      <w:r>
        <w:rPr>
          <w:rFonts w:ascii="Times New Roman" w:eastAsia="楷体_GB2312"/>
          <w:b/>
          <w:bCs/>
        </w:rPr>
        <w:t>（四）深化改革创新，提升开放合作能级</w:t>
      </w:r>
    </w:p>
    <w:p w14:paraId="0456A42B" w14:textId="77777777" w:rsidR="00B475A4" w:rsidRDefault="00000000">
      <w:pPr>
        <w:spacing w:line="560" w:lineRule="exact"/>
        <w:ind w:firstLineChars="200" w:firstLine="643"/>
        <w:rPr>
          <w:rFonts w:ascii="Times New Roman"/>
        </w:rPr>
      </w:pPr>
      <w:r>
        <w:rPr>
          <w:rFonts w:ascii="Times New Roman"/>
          <w:b/>
          <w:bCs/>
        </w:rPr>
        <w:t>以改革破难题增动力。</w:t>
      </w:r>
      <w:r>
        <w:rPr>
          <w:rFonts w:ascii="Times New Roman"/>
        </w:rPr>
        <w:t>制定相山经济开发区进一步深化管理体制和运行机制改革方案，积极探索开发区体制机制改革，通过创新人事管理路径、深化薪酬体系改革、优化职能机构设置，进一步增强开发区内生动力、提升区域发展能级。持续推进集团化办学改革，组建</w:t>
      </w:r>
      <w:r>
        <w:rPr>
          <w:rFonts w:ascii="Times New Roman"/>
        </w:rPr>
        <w:t>7</w:t>
      </w:r>
      <w:r>
        <w:rPr>
          <w:rFonts w:ascii="Times New Roman"/>
        </w:rPr>
        <w:t>个校共体，顺利通过县域义务教育优质均衡省级督导评估。制定</w:t>
      </w:r>
      <w:r>
        <w:rPr>
          <w:rFonts w:ascii="Times New Roman"/>
        </w:rPr>
        <w:t>“</w:t>
      </w:r>
      <w:r>
        <w:rPr>
          <w:rFonts w:ascii="Times New Roman"/>
        </w:rPr>
        <w:t>高效办成一件事</w:t>
      </w:r>
      <w:r>
        <w:rPr>
          <w:rFonts w:ascii="Times New Roman"/>
        </w:rPr>
        <w:t>”</w:t>
      </w:r>
      <w:r>
        <w:rPr>
          <w:rFonts w:ascii="Times New Roman"/>
        </w:rPr>
        <w:t>重点事项清单，累计上线</w:t>
      </w:r>
      <w:r>
        <w:rPr>
          <w:rFonts w:ascii="Times New Roman"/>
        </w:rPr>
        <w:t>“</w:t>
      </w:r>
      <w:r>
        <w:rPr>
          <w:rFonts w:ascii="Times New Roman"/>
        </w:rPr>
        <w:t>一件事</w:t>
      </w:r>
      <w:r>
        <w:rPr>
          <w:rFonts w:ascii="Times New Roman"/>
        </w:rPr>
        <w:t>”</w:t>
      </w:r>
      <w:r>
        <w:rPr>
          <w:rFonts w:ascii="Times New Roman"/>
        </w:rPr>
        <w:t>集成服务</w:t>
      </w:r>
      <w:r>
        <w:rPr>
          <w:rFonts w:ascii="Times New Roman"/>
        </w:rPr>
        <w:t>28</w:t>
      </w:r>
      <w:r>
        <w:rPr>
          <w:rFonts w:ascii="Times New Roman"/>
        </w:rPr>
        <w:t>件。推动</w:t>
      </w:r>
      <w:r>
        <w:rPr>
          <w:rFonts w:ascii="Times New Roman"/>
        </w:rPr>
        <w:t>“</w:t>
      </w:r>
      <w:r>
        <w:rPr>
          <w:rFonts w:ascii="Times New Roman"/>
        </w:rPr>
        <w:t>免提交</w:t>
      </w:r>
      <w:r>
        <w:rPr>
          <w:rFonts w:ascii="Times New Roman"/>
        </w:rPr>
        <w:t>”“</w:t>
      </w:r>
      <w:r>
        <w:rPr>
          <w:rFonts w:ascii="Times New Roman"/>
        </w:rPr>
        <w:t>免照即办</w:t>
      </w:r>
      <w:r>
        <w:rPr>
          <w:rFonts w:ascii="Times New Roman"/>
        </w:rPr>
        <w:t>”</w:t>
      </w:r>
      <w:r>
        <w:rPr>
          <w:rFonts w:ascii="Times New Roman"/>
        </w:rPr>
        <w:t>落地见效，平均每件事办理时限压缩</w:t>
      </w:r>
      <w:r>
        <w:rPr>
          <w:rFonts w:ascii="Times New Roman"/>
        </w:rPr>
        <w:t>67%</w:t>
      </w:r>
      <w:r>
        <w:rPr>
          <w:rFonts w:ascii="Times New Roman"/>
        </w:rPr>
        <w:t>，申请材料减少</w:t>
      </w:r>
      <w:r>
        <w:rPr>
          <w:rFonts w:ascii="Times New Roman"/>
        </w:rPr>
        <w:t>62%</w:t>
      </w:r>
      <w:r>
        <w:rPr>
          <w:rFonts w:ascii="Times New Roman"/>
        </w:rPr>
        <w:t>。以相南街道海宫南村为试点，探索实施</w:t>
      </w:r>
      <w:r>
        <w:rPr>
          <w:rFonts w:ascii="Times New Roman"/>
        </w:rPr>
        <w:t>“</w:t>
      </w:r>
      <w:r>
        <w:rPr>
          <w:rFonts w:ascii="Times New Roman"/>
        </w:rPr>
        <w:t>五方共治</w:t>
      </w:r>
      <w:r>
        <w:rPr>
          <w:rFonts w:ascii="Times New Roman"/>
        </w:rPr>
        <w:t>”</w:t>
      </w:r>
      <w:bookmarkStart w:id="0" w:name="OLE_LINK3"/>
      <w:r>
        <w:rPr>
          <w:rFonts w:ascii="Times New Roman"/>
        </w:rPr>
        <w:t>模式，推动老旧小区物业服务提档升级</w:t>
      </w:r>
      <w:bookmarkEnd w:id="0"/>
      <w:r>
        <w:rPr>
          <w:rFonts w:ascii="Times New Roman"/>
        </w:rPr>
        <w:t>，实现从</w:t>
      </w:r>
      <w:r>
        <w:rPr>
          <w:rFonts w:ascii="Times New Roman"/>
        </w:rPr>
        <w:t>“</w:t>
      </w:r>
      <w:r>
        <w:rPr>
          <w:rFonts w:ascii="Times New Roman"/>
        </w:rPr>
        <w:t>无人管</w:t>
      </w:r>
      <w:r>
        <w:rPr>
          <w:rFonts w:ascii="Times New Roman"/>
        </w:rPr>
        <w:t>”</w:t>
      </w:r>
      <w:r>
        <w:rPr>
          <w:rFonts w:ascii="Times New Roman"/>
        </w:rPr>
        <w:t>到</w:t>
      </w:r>
      <w:r>
        <w:rPr>
          <w:rFonts w:ascii="Times New Roman"/>
        </w:rPr>
        <w:t>“</w:t>
      </w:r>
      <w:r>
        <w:rPr>
          <w:rFonts w:ascii="Times New Roman"/>
        </w:rPr>
        <w:t>有人管</w:t>
      </w:r>
      <w:r>
        <w:rPr>
          <w:rFonts w:ascii="Times New Roman"/>
        </w:rPr>
        <w:t>”</w:t>
      </w:r>
      <w:r>
        <w:rPr>
          <w:rFonts w:ascii="Times New Roman"/>
        </w:rPr>
        <w:t>、从</w:t>
      </w:r>
      <w:r>
        <w:rPr>
          <w:rFonts w:ascii="Times New Roman"/>
        </w:rPr>
        <w:t>“</w:t>
      </w:r>
      <w:r>
        <w:rPr>
          <w:rFonts w:ascii="Times New Roman"/>
        </w:rPr>
        <w:t>管得住</w:t>
      </w:r>
      <w:r>
        <w:rPr>
          <w:rFonts w:ascii="Times New Roman"/>
        </w:rPr>
        <w:t>”</w:t>
      </w:r>
      <w:r>
        <w:rPr>
          <w:rFonts w:ascii="Times New Roman"/>
        </w:rPr>
        <w:t>到</w:t>
      </w:r>
      <w:r>
        <w:rPr>
          <w:rFonts w:ascii="Times New Roman"/>
        </w:rPr>
        <w:t>“</w:t>
      </w:r>
      <w:r>
        <w:rPr>
          <w:rFonts w:ascii="Times New Roman"/>
        </w:rPr>
        <w:t>管得好</w:t>
      </w:r>
      <w:r>
        <w:rPr>
          <w:rFonts w:ascii="Times New Roman"/>
        </w:rPr>
        <w:t>”</w:t>
      </w:r>
      <w:r>
        <w:rPr>
          <w:rFonts w:ascii="Times New Roman"/>
        </w:rPr>
        <w:t>的转变。</w:t>
      </w:r>
    </w:p>
    <w:p w14:paraId="36AE5C0B" w14:textId="77777777" w:rsidR="00B475A4" w:rsidRDefault="00000000">
      <w:pPr>
        <w:spacing w:line="560" w:lineRule="exact"/>
        <w:ind w:firstLineChars="200" w:firstLine="643"/>
        <w:rPr>
          <w:rFonts w:ascii="Times New Roman"/>
        </w:rPr>
      </w:pPr>
      <w:r>
        <w:rPr>
          <w:rFonts w:ascii="Times New Roman"/>
          <w:b/>
          <w:bCs/>
        </w:rPr>
        <w:t>以合作汇资源拓空间。</w:t>
      </w:r>
      <w:r>
        <w:rPr>
          <w:rFonts w:ascii="Times New Roman"/>
        </w:rPr>
        <w:t>选派</w:t>
      </w:r>
      <w:r>
        <w:rPr>
          <w:rFonts w:ascii="Times New Roman"/>
        </w:rPr>
        <w:t>1</w:t>
      </w:r>
      <w:r>
        <w:rPr>
          <w:rFonts w:ascii="Times New Roman"/>
        </w:rPr>
        <w:t>名县处级干部、</w:t>
      </w:r>
      <w:r>
        <w:rPr>
          <w:rFonts w:ascii="Times New Roman"/>
        </w:rPr>
        <w:t>1</w:t>
      </w:r>
      <w:r>
        <w:rPr>
          <w:rFonts w:ascii="Times New Roman"/>
        </w:rPr>
        <w:t>名年轻科级干部分赴外地系统、重点企业挂职，推荐</w:t>
      </w:r>
      <w:r>
        <w:rPr>
          <w:rFonts w:ascii="Times New Roman"/>
        </w:rPr>
        <w:t>2</w:t>
      </w:r>
      <w:r>
        <w:rPr>
          <w:rFonts w:ascii="Times New Roman"/>
        </w:rPr>
        <w:t>名年轻干部赴先发地区学习。高标准举办</w:t>
      </w:r>
      <w:r>
        <w:rPr>
          <w:rFonts w:ascii="Times New Roman"/>
        </w:rPr>
        <w:t>2026</w:t>
      </w:r>
      <w:r>
        <w:rPr>
          <w:rFonts w:ascii="Times New Roman"/>
        </w:rPr>
        <w:t>淮北食博会，促成</w:t>
      </w:r>
      <w:r>
        <w:rPr>
          <w:rFonts w:ascii="Times New Roman"/>
        </w:rPr>
        <w:t>16</w:t>
      </w:r>
      <w:r>
        <w:rPr>
          <w:rFonts w:ascii="Times New Roman"/>
        </w:rPr>
        <w:t>家企业达成供需合作协议，合同签约总额</w:t>
      </w:r>
      <w:r>
        <w:rPr>
          <w:rFonts w:ascii="Times New Roman"/>
        </w:rPr>
        <w:t>2.2</w:t>
      </w:r>
      <w:r>
        <w:rPr>
          <w:rFonts w:ascii="Times New Roman"/>
        </w:rPr>
        <w:t>亿元。推动曦强乳业在徐州市云龙区新设</w:t>
      </w:r>
      <w:r>
        <w:rPr>
          <w:rFonts w:ascii="Times New Roman"/>
        </w:rPr>
        <w:t>3</w:t>
      </w:r>
      <w:r>
        <w:rPr>
          <w:rFonts w:ascii="Times New Roman"/>
        </w:rPr>
        <w:t>家直</w:t>
      </w:r>
      <w:proofErr w:type="gramStart"/>
      <w:r>
        <w:rPr>
          <w:rFonts w:ascii="Times New Roman"/>
        </w:rPr>
        <w:t>营</w:t>
      </w:r>
      <w:r>
        <w:rPr>
          <w:rFonts w:ascii="Times New Roman"/>
        </w:rPr>
        <w:t xml:space="preserve"> “</w:t>
      </w:r>
      <w:proofErr w:type="gramEnd"/>
      <w:r>
        <w:rPr>
          <w:rFonts w:ascii="Times New Roman"/>
        </w:rPr>
        <w:t>相山牛奶馆</w:t>
      </w:r>
      <w:r>
        <w:rPr>
          <w:rFonts w:ascii="Times New Roman"/>
        </w:rPr>
        <w:t>”</w:t>
      </w:r>
      <w:r>
        <w:rPr>
          <w:rFonts w:ascii="Times New Roman"/>
        </w:rPr>
        <w:t>，深度融入徐州都市圈消费市场。组织园区企业参加</w:t>
      </w:r>
      <w:r>
        <w:rPr>
          <w:rFonts w:ascii="Times New Roman"/>
        </w:rPr>
        <w:t>FIC</w:t>
      </w:r>
      <w:r>
        <w:rPr>
          <w:rFonts w:ascii="Times New Roman"/>
        </w:rPr>
        <w:t>国际食品添加剂和配料展览会、全国春季糖酒会等大型展会</w:t>
      </w:r>
      <w:r>
        <w:rPr>
          <w:rFonts w:ascii="Times New Roman"/>
        </w:rPr>
        <w:t>10</w:t>
      </w:r>
      <w:r>
        <w:rPr>
          <w:rFonts w:ascii="Times New Roman"/>
        </w:rPr>
        <w:t>余次，有效帮助企业开拓市场、争取订单。新培育淮北静昇贸易、淮北市诺贝斯智能科技等外贸进出口实绩企业</w:t>
      </w:r>
      <w:r>
        <w:rPr>
          <w:rFonts w:ascii="Times New Roman"/>
        </w:rPr>
        <w:t>3</w:t>
      </w:r>
      <w:r>
        <w:rPr>
          <w:rFonts w:ascii="Times New Roman"/>
        </w:rPr>
        <w:t>家。</w:t>
      </w:r>
    </w:p>
    <w:p w14:paraId="25D3FB05" w14:textId="77777777" w:rsidR="00B475A4" w:rsidRDefault="00000000">
      <w:pPr>
        <w:spacing w:line="560" w:lineRule="exact"/>
        <w:ind w:firstLineChars="200" w:firstLine="643"/>
        <w:rPr>
          <w:rFonts w:ascii="Times New Roman"/>
        </w:rPr>
      </w:pPr>
      <w:r>
        <w:rPr>
          <w:rFonts w:ascii="Times New Roman" w:eastAsia="楷体_GB2312"/>
          <w:b/>
          <w:bCs/>
        </w:rPr>
        <w:lastRenderedPageBreak/>
        <w:t>（五）坚持生态优先，涵养绿色发展底蕴</w:t>
      </w:r>
    </w:p>
    <w:p w14:paraId="764A2F10" w14:textId="77777777" w:rsidR="00B475A4" w:rsidRDefault="00000000">
      <w:pPr>
        <w:spacing w:line="560" w:lineRule="exact"/>
        <w:ind w:firstLineChars="200" w:firstLine="643"/>
        <w:rPr>
          <w:rFonts w:ascii="Times New Roman"/>
        </w:rPr>
      </w:pPr>
      <w:r>
        <w:rPr>
          <w:rFonts w:ascii="Times New Roman"/>
          <w:b/>
          <w:bCs/>
        </w:rPr>
        <w:t>低碳转型不断深入。</w:t>
      </w:r>
      <w:r>
        <w:rPr>
          <w:rFonts w:ascii="Times New Roman"/>
        </w:rPr>
        <w:t>强化重点用能单位和重点用能设备的节能管理，推进淮矿集团、金冠玻璃等重点用能单位加强能耗在线监测系统建设工作。扎实推进风光热储智慧能源项目、分布式光伏项目建设，一期项目总装机容量</w:t>
      </w:r>
      <w:r>
        <w:rPr>
          <w:rFonts w:ascii="Times New Roman"/>
        </w:rPr>
        <w:t>45.3</w:t>
      </w:r>
      <w:r>
        <w:rPr>
          <w:rFonts w:ascii="Times New Roman"/>
        </w:rPr>
        <w:t>兆瓦，预计年发电量</w:t>
      </w:r>
      <w:r>
        <w:rPr>
          <w:rFonts w:ascii="Times New Roman"/>
        </w:rPr>
        <w:t>4466</w:t>
      </w:r>
      <w:r>
        <w:rPr>
          <w:rFonts w:ascii="Times New Roman"/>
        </w:rPr>
        <w:t>万千瓦时，园区绿色低碳、安全高效的能源保障体系加快构建。</w:t>
      </w:r>
    </w:p>
    <w:p w14:paraId="6A4CE0B2" w14:textId="77777777" w:rsidR="00B475A4" w:rsidRDefault="00000000">
      <w:pPr>
        <w:spacing w:line="560" w:lineRule="exact"/>
        <w:ind w:firstLineChars="200" w:firstLine="643"/>
        <w:rPr>
          <w:rFonts w:ascii="Times New Roman"/>
        </w:rPr>
      </w:pPr>
      <w:r>
        <w:rPr>
          <w:rFonts w:ascii="Times New Roman"/>
          <w:b/>
          <w:bCs/>
        </w:rPr>
        <w:t>环境治理持续改善。</w:t>
      </w:r>
      <w:r>
        <w:rPr>
          <w:rFonts w:ascii="Times New Roman"/>
        </w:rPr>
        <w:t>PM2.5</w:t>
      </w:r>
      <w:r>
        <w:rPr>
          <w:rFonts w:ascii="Times New Roman"/>
        </w:rPr>
        <w:t>平均浓度为</w:t>
      </w:r>
      <w:r>
        <w:rPr>
          <w:rFonts w:ascii="Times New Roman"/>
        </w:rPr>
        <w:t>44.5</w:t>
      </w:r>
      <w:r>
        <w:rPr>
          <w:rFonts w:ascii="Times New Roman"/>
        </w:rPr>
        <w:t>微克</w:t>
      </w:r>
      <w:r>
        <w:rPr>
          <w:rFonts w:ascii="Times New Roman"/>
        </w:rPr>
        <w:t>/</w:t>
      </w:r>
      <w:r>
        <w:rPr>
          <w:rFonts w:ascii="Times New Roman"/>
        </w:rPr>
        <w:t>立方米，较去年同期下降</w:t>
      </w:r>
      <w:r>
        <w:rPr>
          <w:rFonts w:ascii="Times New Roman"/>
        </w:rPr>
        <w:t>3.5%</w:t>
      </w:r>
      <w:r>
        <w:rPr>
          <w:rFonts w:ascii="Times New Roman"/>
        </w:rPr>
        <w:t>，优良天数比例为</w:t>
      </w:r>
      <w:r>
        <w:rPr>
          <w:rFonts w:ascii="Times New Roman"/>
        </w:rPr>
        <w:t>59.7%</w:t>
      </w:r>
      <w:r>
        <w:rPr>
          <w:rFonts w:ascii="Times New Roman"/>
        </w:rPr>
        <w:t>，同比提升</w:t>
      </w:r>
      <w:r>
        <w:rPr>
          <w:rFonts w:ascii="Times New Roman"/>
        </w:rPr>
        <w:t>9.4</w:t>
      </w:r>
      <w:r>
        <w:rPr>
          <w:rFonts w:ascii="Times New Roman"/>
        </w:rPr>
        <w:t>个百分点，在全市三区一县中排名第一。开展餐饮油烟治理专项行动，累计排查餐饮经营单位</w:t>
      </w:r>
      <w:r>
        <w:rPr>
          <w:rFonts w:ascii="Times New Roman"/>
        </w:rPr>
        <w:t>1960</w:t>
      </w:r>
      <w:r>
        <w:rPr>
          <w:rFonts w:ascii="Times New Roman"/>
        </w:rPr>
        <w:t>家，发现问题</w:t>
      </w:r>
      <w:r>
        <w:rPr>
          <w:rFonts w:ascii="Times New Roman"/>
        </w:rPr>
        <w:t>27</w:t>
      </w:r>
      <w:r>
        <w:rPr>
          <w:rFonts w:ascii="Times New Roman"/>
        </w:rPr>
        <w:t>家，全部完成整改。推深做实跨界水体联防联控，与萧县共同开展萧濉新河、湘西河、洪碱河交界处巡查，建立上下游开闸调度、水质信息共享、联合排查整治机制，协同推进交界区域水环境治理。推广农村黑臭水体治理</w:t>
      </w:r>
      <w:r>
        <w:rPr>
          <w:rFonts w:ascii="Times New Roman"/>
        </w:rPr>
        <w:t>“</w:t>
      </w:r>
      <w:r>
        <w:rPr>
          <w:rFonts w:ascii="Times New Roman"/>
        </w:rPr>
        <w:t>程阁模式</w:t>
      </w:r>
      <w:r>
        <w:rPr>
          <w:rFonts w:ascii="Times New Roman"/>
        </w:rPr>
        <w:t>”</w:t>
      </w:r>
      <w:r>
        <w:rPr>
          <w:rFonts w:ascii="Times New Roman"/>
        </w:rPr>
        <w:t>，实施瓦房村清洁小流域项目，整村推进生态治理修复。</w:t>
      </w:r>
    </w:p>
    <w:p w14:paraId="1E8197A2"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（六）兜牢民生底线，夯实群众幸福根基</w:t>
      </w:r>
    </w:p>
    <w:p w14:paraId="4E82641E" w14:textId="77777777" w:rsidR="00B475A4" w:rsidRDefault="00000000">
      <w:pPr>
        <w:spacing w:line="560" w:lineRule="exact"/>
        <w:ind w:firstLineChars="200" w:firstLine="643"/>
        <w:rPr>
          <w:rFonts w:ascii="Times New Roman"/>
        </w:rPr>
      </w:pPr>
      <w:r>
        <w:rPr>
          <w:rFonts w:ascii="Times New Roman"/>
          <w:b/>
          <w:bCs/>
        </w:rPr>
        <w:t>办好民生实事增福祉。</w:t>
      </w:r>
      <w:r>
        <w:rPr>
          <w:rFonts w:ascii="Times New Roman"/>
        </w:rPr>
        <w:t>上半年全区民生支出</w:t>
      </w:r>
      <w:r>
        <w:rPr>
          <w:rFonts w:ascii="Times New Roman"/>
        </w:rPr>
        <w:t>10.54</w:t>
      </w:r>
      <w:r>
        <w:rPr>
          <w:rFonts w:ascii="Times New Roman"/>
        </w:rPr>
        <w:t>亿元，占一般公共预算支出</w:t>
      </w:r>
      <w:r>
        <w:rPr>
          <w:rFonts w:ascii="Times New Roman"/>
        </w:rPr>
        <w:t>90%</w:t>
      </w:r>
      <w:r>
        <w:rPr>
          <w:rFonts w:ascii="Times New Roman"/>
        </w:rPr>
        <w:t>以上。</w:t>
      </w:r>
      <w:r>
        <w:rPr>
          <w:rFonts w:ascii="Times New Roman"/>
        </w:rPr>
        <w:t>30</w:t>
      </w:r>
      <w:r>
        <w:rPr>
          <w:rFonts w:ascii="Times New Roman"/>
        </w:rPr>
        <w:t>项省级民生实事和</w:t>
      </w:r>
      <w:r>
        <w:rPr>
          <w:rFonts w:ascii="Times New Roman"/>
        </w:rPr>
        <w:t>6</w:t>
      </w:r>
      <w:r>
        <w:rPr>
          <w:rFonts w:ascii="Times New Roman"/>
        </w:rPr>
        <w:t>项区级人大票决民生项目进展顺利，</w:t>
      </w:r>
      <w:r>
        <w:rPr>
          <w:rFonts w:ascii="Times New Roman"/>
        </w:rPr>
        <w:t>“</w:t>
      </w:r>
      <w:r>
        <w:rPr>
          <w:rFonts w:ascii="Times New Roman"/>
        </w:rPr>
        <w:t>十五分钟阅读圈</w:t>
      </w:r>
      <w:r>
        <w:rPr>
          <w:rFonts w:ascii="Times New Roman"/>
        </w:rPr>
        <w:t>”</w:t>
      </w:r>
      <w:r>
        <w:rPr>
          <w:rFonts w:ascii="Times New Roman"/>
        </w:rPr>
        <w:t>、工会驿站提质、新生儿疾病筛查等</w:t>
      </w:r>
      <w:r>
        <w:rPr>
          <w:rFonts w:ascii="Times New Roman"/>
        </w:rPr>
        <w:t>17</w:t>
      </w:r>
      <w:r>
        <w:rPr>
          <w:rFonts w:ascii="Times New Roman"/>
        </w:rPr>
        <w:t>项任务全面完成，居民文化生活场馆建设顺利竣工。城镇新增就业</w:t>
      </w:r>
      <w:r>
        <w:rPr>
          <w:rFonts w:ascii="Times New Roman"/>
        </w:rPr>
        <w:t>3544</w:t>
      </w:r>
      <w:r>
        <w:rPr>
          <w:rFonts w:ascii="Times New Roman"/>
        </w:rPr>
        <w:t>人，失业人员再就业</w:t>
      </w:r>
      <w:r>
        <w:rPr>
          <w:rFonts w:ascii="Times New Roman"/>
        </w:rPr>
        <w:t>1450</w:t>
      </w:r>
      <w:r>
        <w:rPr>
          <w:rFonts w:ascii="Times New Roman"/>
        </w:rPr>
        <w:t>人，就业困难人员再就业</w:t>
      </w:r>
      <w:r>
        <w:rPr>
          <w:rFonts w:ascii="Times New Roman"/>
        </w:rPr>
        <w:t>144</w:t>
      </w:r>
      <w:r>
        <w:rPr>
          <w:rFonts w:ascii="Times New Roman"/>
        </w:rPr>
        <w:t>人，相山区零工市场建成投入使用。发放</w:t>
      </w:r>
      <w:r>
        <w:rPr>
          <w:rFonts w:ascii="Times New Roman"/>
        </w:rPr>
        <w:lastRenderedPageBreak/>
        <w:t>城乡低保金</w:t>
      </w:r>
      <w:r>
        <w:rPr>
          <w:rFonts w:ascii="Times New Roman"/>
        </w:rPr>
        <w:t>2380.3</w:t>
      </w:r>
      <w:r>
        <w:rPr>
          <w:rFonts w:ascii="Times New Roman"/>
        </w:rPr>
        <w:t>万元，发放特困供养资金</w:t>
      </w:r>
      <w:r>
        <w:rPr>
          <w:rFonts w:ascii="Times New Roman"/>
        </w:rPr>
        <w:t>185.4</w:t>
      </w:r>
      <w:r>
        <w:rPr>
          <w:rFonts w:ascii="Times New Roman"/>
        </w:rPr>
        <w:t>万元，护理补贴</w:t>
      </w:r>
      <w:r>
        <w:rPr>
          <w:rFonts w:ascii="Times New Roman"/>
        </w:rPr>
        <w:t>44.6553</w:t>
      </w:r>
      <w:r>
        <w:rPr>
          <w:rFonts w:ascii="Times New Roman"/>
        </w:rPr>
        <w:t>万元。落实残疾人</w:t>
      </w:r>
      <w:r>
        <w:rPr>
          <w:rFonts w:ascii="Times New Roman"/>
        </w:rPr>
        <w:t>“</w:t>
      </w:r>
      <w:r>
        <w:rPr>
          <w:rFonts w:ascii="Times New Roman"/>
        </w:rPr>
        <w:t>两项补贴</w:t>
      </w:r>
      <w:r>
        <w:rPr>
          <w:rFonts w:ascii="Times New Roman"/>
        </w:rPr>
        <w:t>”</w:t>
      </w:r>
      <w:r>
        <w:rPr>
          <w:rFonts w:ascii="Times New Roman"/>
        </w:rPr>
        <w:t>政策，发放补贴资金</w:t>
      </w:r>
      <w:r>
        <w:rPr>
          <w:rFonts w:ascii="Times New Roman"/>
        </w:rPr>
        <w:t>290</w:t>
      </w:r>
      <w:r>
        <w:rPr>
          <w:rFonts w:ascii="Times New Roman"/>
        </w:rPr>
        <w:t>万元，惠及残疾人</w:t>
      </w:r>
      <w:r>
        <w:rPr>
          <w:rFonts w:ascii="Times New Roman"/>
        </w:rPr>
        <w:t>3</w:t>
      </w:r>
      <w:r>
        <w:rPr>
          <w:rFonts w:ascii="Times New Roman"/>
        </w:rPr>
        <w:t>万余人次。</w:t>
      </w:r>
    </w:p>
    <w:p w14:paraId="53CF5CCB" w14:textId="77777777" w:rsidR="00B475A4" w:rsidRDefault="00000000">
      <w:pPr>
        <w:spacing w:line="560" w:lineRule="exact"/>
        <w:ind w:firstLineChars="200" w:firstLine="643"/>
        <w:rPr>
          <w:rFonts w:ascii="Times New Roman"/>
        </w:rPr>
      </w:pPr>
      <w:r>
        <w:rPr>
          <w:rFonts w:ascii="Times New Roman"/>
          <w:b/>
          <w:bCs/>
        </w:rPr>
        <w:t>做优公共服务提品质。</w:t>
      </w:r>
      <w:r>
        <w:rPr>
          <w:rFonts w:ascii="Times New Roman"/>
        </w:rPr>
        <w:t>学前教育普惠提质，公办园在园幼儿占比达</w:t>
      </w:r>
      <w:r>
        <w:rPr>
          <w:rFonts w:ascii="Times New Roman"/>
        </w:rPr>
        <w:t>70.3%</w:t>
      </w:r>
      <w:r>
        <w:rPr>
          <w:rFonts w:ascii="Times New Roman"/>
        </w:rPr>
        <w:t>，相山获评国家学前教育普及普惠区。推进鹰山公墓改扩建，争取省级专项资金</w:t>
      </w:r>
      <w:r>
        <w:rPr>
          <w:rFonts w:ascii="Times New Roman"/>
        </w:rPr>
        <w:t>62.7</w:t>
      </w:r>
      <w:r>
        <w:rPr>
          <w:rFonts w:ascii="Times New Roman"/>
        </w:rPr>
        <w:t>万元，新建墓穴</w:t>
      </w:r>
      <w:r>
        <w:rPr>
          <w:rFonts w:ascii="Times New Roman"/>
        </w:rPr>
        <w:t>300</w:t>
      </w:r>
      <w:r>
        <w:rPr>
          <w:rFonts w:ascii="Times New Roman"/>
        </w:rPr>
        <w:t>个。基层文化阵地提质升级，孔子雅苑、淮北市青少年宫</w:t>
      </w:r>
      <w:r>
        <w:rPr>
          <w:rFonts w:ascii="Times New Roman"/>
        </w:rPr>
        <w:t>2</w:t>
      </w:r>
      <w:r>
        <w:rPr>
          <w:rFonts w:ascii="Times New Roman"/>
        </w:rPr>
        <w:t>处公共文化空间完成改造优化。深挖本土非遗资源，认定区级非遗工坊</w:t>
      </w:r>
      <w:r>
        <w:rPr>
          <w:rFonts w:ascii="Times New Roman"/>
        </w:rPr>
        <w:t>4</w:t>
      </w:r>
      <w:r>
        <w:rPr>
          <w:rFonts w:ascii="Times New Roman"/>
        </w:rPr>
        <w:t>家，获评市级非遗工坊</w:t>
      </w:r>
      <w:r>
        <w:rPr>
          <w:rFonts w:ascii="Times New Roman"/>
        </w:rPr>
        <w:t>2</w:t>
      </w:r>
      <w:r>
        <w:rPr>
          <w:rFonts w:ascii="Times New Roman"/>
        </w:rPr>
        <w:t>家。重启</w:t>
      </w:r>
      <w:r>
        <w:rPr>
          <w:rFonts w:ascii="Times New Roman"/>
        </w:rPr>
        <w:t>2026</w:t>
      </w:r>
      <w:r>
        <w:rPr>
          <w:rFonts w:ascii="Times New Roman"/>
        </w:rPr>
        <w:t>相山古庙会，累计接待游客量突破</w:t>
      </w:r>
      <w:r>
        <w:rPr>
          <w:rFonts w:ascii="Times New Roman"/>
        </w:rPr>
        <w:t>49</w:t>
      </w:r>
      <w:r>
        <w:rPr>
          <w:rFonts w:ascii="Times New Roman"/>
        </w:rPr>
        <w:t>万人次，营业额达</w:t>
      </w:r>
      <w:r>
        <w:rPr>
          <w:rFonts w:ascii="Times New Roman"/>
        </w:rPr>
        <w:t>3000</w:t>
      </w:r>
      <w:r>
        <w:rPr>
          <w:rFonts w:ascii="Times New Roman"/>
        </w:rPr>
        <w:t>万元。任圩街道余庄社区、南黎街道学院社区嵌入式养老服务机构（综合体）项目加快建设，推动</w:t>
      </w:r>
      <w:r>
        <w:rPr>
          <w:rFonts w:ascii="Times New Roman"/>
        </w:rPr>
        <w:t>7</w:t>
      </w:r>
      <w:r>
        <w:rPr>
          <w:rFonts w:ascii="Times New Roman"/>
        </w:rPr>
        <w:t>家医养结合机构内设医务室、</w:t>
      </w:r>
      <w:r>
        <w:rPr>
          <w:rFonts w:ascii="Times New Roman"/>
        </w:rPr>
        <w:t>10</w:t>
      </w:r>
      <w:r>
        <w:rPr>
          <w:rFonts w:ascii="Times New Roman"/>
        </w:rPr>
        <w:t>家养老机构推行</w:t>
      </w:r>
      <w:r>
        <w:rPr>
          <w:rFonts w:ascii="Times New Roman"/>
        </w:rPr>
        <w:t>“</w:t>
      </w:r>
      <w:r>
        <w:rPr>
          <w:rFonts w:ascii="Times New Roman"/>
        </w:rPr>
        <w:t>签约协作</w:t>
      </w:r>
      <w:r>
        <w:rPr>
          <w:rFonts w:ascii="Times New Roman"/>
        </w:rPr>
        <w:t>”</w:t>
      </w:r>
      <w:r>
        <w:rPr>
          <w:rFonts w:ascii="Times New Roman"/>
        </w:rPr>
        <w:t>模式，实现医养康养融合发展。</w:t>
      </w:r>
    </w:p>
    <w:p w14:paraId="19B46AF8" w14:textId="77777777" w:rsidR="00B475A4" w:rsidRDefault="00000000">
      <w:pPr>
        <w:spacing w:line="560" w:lineRule="exact"/>
        <w:ind w:firstLineChars="200" w:firstLine="643"/>
        <w:rPr>
          <w:rFonts w:ascii="Times New Roman"/>
        </w:rPr>
      </w:pPr>
      <w:r>
        <w:rPr>
          <w:rFonts w:ascii="Times New Roman"/>
          <w:b/>
          <w:bCs/>
        </w:rPr>
        <w:t>抓实基层治理强根基。</w:t>
      </w:r>
      <w:r>
        <w:rPr>
          <w:rFonts w:ascii="Times New Roman"/>
        </w:rPr>
        <w:t>全区信访总量</w:t>
      </w:r>
      <w:r>
        <w:rPr>
          <w:rFonts w:ascii="Times New Roman"/>
        </w:rPr>
        <w:t>501</w:t>
      </w:r>
      <w:r>
        <w:rPr>
          <w:rFonts w:ascii="Times New Roman"/>
        </w:rPr>
        <w:t>件，及时受理率、按期答复率均为</w:t>
      </w:r>
      <w:r>
        <w:rPr>
          <w:rFonts w:ascii="Times New Roman"/>
        </w:rPr>
        <w:t>100%</w:t>
      </w:r>
      <w:r>
        <w:rPr>
          <w:rFonts w:ascii="Times New Roman"/>
        </w:rPr>
        <w:t>。搭建相山区多元化解纠纷调解中心，实现诉求反映</w:t>
      </w:r>
      <w:r>
        <w:rPr>
          <w:rFonts w:ascii="Times New Roman"/>
        </w:rPr>
        <w:t>“</w:t>
      </w:r>
      <w:r>
        <w:rPr>
          <w:rFonts w:ascii="Times New Roman"/>
        </w:rPr>
        <w:t>只进一扇门</w:t>
      </w:r>
      <w:r>
        <w:rPr>
          <w:rFonts w:ascii="Times New Roman"/>
        </w:rPr>
        <w:t>”“</w:t>
      </w:r>
      <w:r>
        <w:rPr>
          <w:rFonts w:ascii="Times New Roman"/>
        </w:rPr>
        <w:t>最多跑一地</w:t>
      </w:r>
      <w:r>
        <w:rPr>
          <w:rFonts w:ascii="Times New Roman"/>
        </w:rPr>
        <w:t>”</w:t>
      </w:r>
      <w:r>
        <w:rPr>
          <w:rFonts w:ascii="Times New Roman"/>
        </w:rPr>
        <w:t>，受理纠纷</w:t>
      </w:r>
      <w:r>
        <w:rPr>
          <w:rFonts w:ascii="Times New Roman"/>
        </w:rPr>
        <w:t>108</w:t>
      </w:r>
      <w:r>
        <w:rPr>
          <w:rFonts w:ascii="Times New Roman"/>
        </w:rPr>
        <w:t>件，成功化解</w:t>
      </w:r>
      <w:r>
        <w:rPr>
          <w:rFonts w:ascii="Times New Roman"/>
        </w:rPr>
        <w:t>95</w:t>
      </w:r>
      <w:r>
        <w:rPr>
          <w:rFonts w:ascii="Times New Roman"/>
        </w:rPr>
        <w:t>件，开展诉前调解</w:t>
      </w:r>
      <w:r>
        <w:rPr>
          <w:rFonts w:ascii="Times New Roman"/>
        </w:rPr>
        <w:t>105</w:t>
      </w:r>
      <w:r>
        <w:rPr>
          <w:rFonts w:ascii="Times New Roman"/>
        </w:rPr>
        <w:t>件，成功调解</w:t>
      </w:r>
      <w:r>
        <w:rPr>
          <w:rFonts w:ascii="Times New Roman"/>
        </w:rPr>
        <w:t>71</w:t>
      </w:r>
      <w:r>
        <w:rPr>
          <w:rFonts w:ascii="Times New Roman"/>
        </w:rPr>
        <w:t>件。常态化推进扫黑除恶常态化斗争，立案涉黑刑事案件</w:t>
      </w:r>
      <w:r>
        <w:rPr>
          <w:rFonts w:ascii="Times New Roman"/>
        </w:rPr>
        <w:t>42</w:t>
      </w:r>
      <w:r>
        <w:rPr>
          <w:rFonts w:ascii="Times New Roman"/>
        </w:rPr>
        <w:t>起，破案</w:t>
      </w:r>
      <w:r>
        <w:rPr>
          <w:rFonts w:ascii="Times New Roman"/>
        </w:rPr>
        <w:t>29</w:t>
      </w:r>
      <w:r>
        <w:rPr>
          <w:rFonts w:ascii="Times New Roman"/>
        </w:rPr>
        <w:t>起。常态化开展执法</w:t>
      </w:r>
      <w:r>
        <w:rPr>
          <w:rFonts w:ascii="Times New Roman"/>
        </w:rPr>
        <w:t>“</w:t>
      </w:r>
      <w:r>
        <w:rPr>
          <w:rFonts w:ascii="Times New Roman"/>
        </w:rPr>
        <w:t>六乱</w:t>
      </w:r>
      <w:r>
        <w:rPr>
          <w:rFonts w:ascii="Times New Roman"/>
        </w:rPr>
        <w:t>”</w:t>
      </w:r>
      <w:r>
        <w:rPr>
          <w:rFonts w:ascii="Times New Roman"/>
        </w:rPr>
        <w:t>问题专项排查，严厉整治趋利执法、异地执法以及乱收费、乱罚款等突出问题，集中清理行政处罚公示信息</w:t>
      </w:r>
      <w:r>
        <w:rPr>
          <w:rFonts w:ascii="Times New Roman"/>
        </w:rPr>
        <w:t>980</w:t>
      </w:r>
      <w:r>
        <w:rPr>
          <w:rFonts w:ascii="Times New Roman"/>
        </w:rPr>
        <w:t>条。持续推进治本攻坚三年行动，累计排查重大隐患</w:t>
      </w:r>
      <w:r>
        <w:rPr>
          <w:rFonts w:ascii="Times New Roman"/>
        </w:rPr>
        <w:t>113</w:t>
      </w:r>
      <w:r>
        <w:rPr>
          <w:rFonts w:ascii="Times New Roman"/>
        </w:rPr>
        <w:t>项，已整改</w:t>
      </w:r>
      <w:r>
        <w:rPr>
          <w:rFonts w:ascii="Times New Roman"/>
        </w:rPr>
        <w:t>110</w:t>
      </w:r>
      <w:r>
        <w:rPr>
          <w:rFonts w:ascii="Times New Roman"/>
        </w:rPr>
        <w:t>项，整改率</w:t>
      </w:r>
      <w:r>
        <w:rPr>
          <w:rFonts w:ascii="Times New Roman"/>
        </w:rPr>
        <w:t>97.35%</w:t>
      </w:r>
      <w:r>
        <w:rPr>
          <w:rFonts w:ascii="Times New Roman"/>
        </w:rPr>
        <w:t>。中央安全生产考核巡查反馈</w:t>
      </w:r>
      <w:r>
        <w:rPr>
          <w:rFonts w:ascii="Times New Roman"/>
        </w:rPr>
        <w:t>36</w:t>
      </w:r>
      <w:r>
        <w:rPr>
          <w:rFonts w:ascii="Times New Roman"/>
        </w:rPr>
        <w:lastRenderedPageBreak/>
        <w:t>项问题全部完成整改。</w:t>
      </w:r>
    </w:p>
    <w:p w14:paraId="5A0DD151" w14:textId="77777777" w:rsidR="00B475A4" w:rsidRDefault="00000000">
      <w:pPr>
        <w:spacing w:line="560" w:lineRule="exact"/>
        <w:ind w:firstLineChars="200" w:firstLine="640"/>
        <w:rPr>
          <w:rFonts w:ascii="Times New Roman" w:eastAsia="国标黑体"/>
        </w:rPr>
      </w:pPr>
      <w:r>
        <w:rPr>
          <w:rFonts w:ascii="Times New Roman" w:eastAsia="国标黑体"/>
        </w:rPr>
        <w:t>二、存在的问题</w:t>
      </w:r>
    </w:p>
    <w:p w14:paraId="469F179A" w14:textId="77777777" w:rsidR="00B475A4" w:rsidRDefault="00000000">
      <w:pPr>
        <w:spacing w:line="560" w:lineRule="exact"/>
        <w:ind w:firstLineChars="200" w:firstLine="643"/>
        <w:rPr>
          <w:rFonts w:ascii="Times New Roman"/>
        </w:rPr>
      </w:pPr>
      <w:r>
        <w:rPr>
          <w:rFonts w:ascii="Times New Roman" w:eastAsia="楷体_GB2312"/>
          <w:b/>
          <w:bCs/>
        </w:rPr>
        <w:t>（一）产业带动效能偏弱。</w:t>
      </w:r>
      <w:r>
        <w:rPr>
          <w:rFonts w:ascii="Times New Roman"/>
        </w:rPr>
        <w:t>受宏观经济承压、市场需求疲软等因素影响，全区产业增长动能不足、支撑不稳。战略性新兴产业整体体量偏小、产业链条不完整，对经济增长的拉动作用有限。房地产市场持续承压，开发投资降幅明显，房屋销售规模收缩，支撑动能持续弱化。新兴服务业业态培育不足、规模体量较小，产业结构不均衡，整体对全区经济的支撑作用未达预期。</w:t>
      </w:r>
    </w:p>
    <w:p w14:paraId="75DBE83E" w14:textId="77777777" w:rsidR="00B475A4" w:rsidRDefault="00000000">
      <w:pPr>
        <w:spacing w:line="560" w:lineRule="exact"/>
        <w:ind w:firstLineChars="200" w:firstLine="643"/>
        <w:rPr>
          <w:rFonts w:ascii="Times New Roman"/>
        </w:rPr>
      </w:pPr>
      <w:r>
        <w:rPr>
          <w:rFonts w:ascii="Times New Roman" w:eastAsia="楷体_GB2312"/>
          <w:b/>
          <w:bCs/>
        </w:rPr>
        <w:t>（二）要素保障支撑不足。</w:t>
      </w:r>
      <w:r>
        <w:rPr>
          <w:rFonts w:ascii="Times New Roman"/>
        </w:rPr>
        <w:t>园区蒸汽、用电、物流等生产要素成本较周边先进地区偏高，企业生产经营成本压力较大。部分小微企业融资渠道有限，融资难、融资贵问题依然存在。企业引才育才主动性不足，自主培育人才、引进高端人才的内生动力不强。</w:t>
      </w:r>
    </w:p>
    <w:p w14:paraId="6B1EC54E" w14:textId="77777777" w:rsidR="00B475A4" w:rsidRDefault="00000000">
      <w:pPr>
        <w:spacing w:line="560" w:lineRule="exact"/>
        <w:ind w:firstLineChars="200" w:firstLine="643"/>
        <w:rPr>
          <w:rFonts w:ascii="Times New Roman"/>
        </w:rPr>
      </w:pPr>
      <w:r>
        <w:rPr>
          <w:rFonts w:ascii="Times New Roman" w:eastAsia="楷体_GB2312"/>
          <w:b/>
          <w:bCs/>
        </w:rPr>
        <w:t>（三）社会事业短板尚存。</w:t>
      </w:r>
      <w:r>
        <w:rPr>
          <w:rFonts w:ascii="Times New Roman"/>
        </w:rPr>
        <w:t>优质公共服务资源配置不均衡，优质教育、医疗资源供给总量不足、分布不均，城乡公共服务差距依然存在。新兴产业专业人才供给不足，</w:t>
      </w:r>
      <w:r>
        <w:rPr>
          <w:rFonts w:ascii="Times New Roman"/>
        </w:rPr>
        <w:t>“</w:t>
      </w:r>
      <w:r>
        <w:rPr>
          <w:rFonts w:ascii="Times New Roman"/>
        </w:rPr>
        <w:t>招工难</w:t>
      </w:r>
      <w:r>
        <w:rPr>
          <w:rFonts w:ascii="Times New Roman"/>
        </w:rPr>
        <w:t>”</w:t>
      </w:r>
      <w:r>
        <w:rPr>
          <w:rFonts w:ascii="Times New Roman"/>
        </w:rPr>
        <w:t>与</w:t>
      </w:r>
      <w:r>
        <w:rPr>
          <w:rFonts w:ascii="Times New Roman"/>
        </w:rPr>
        <w:t>“</w:t>
      </w:r>
      <w:r>
        <w:rPr>
          <w:rFonts w:ascii="Times New Roman"/>
        </w:rPr>
        <w:t>就业难</w:t>
      </w:r>
      <w:r>
        <w:rPr>
          <w:rFonts w:ascii="Times New Roman"/>
        </w:rPr>
        <w:t>”</w:t>
      </w:r>
      <w:r>
        <w:rPr>
          <w:rFonts w:ascii="Times New Roman"/>
        </w:rPr>
        <w:t>双向并存，重点群体就业创业帮扶力度仍需加大。</w:t>
      </w:r>
    </w:p>
    <w:p w14:paraId="295386E6" w14:textId="77777777" w:rsidR="00B475A4" w:rsidRDefault="00000000">
      <w:pPr>
        <w:spacing w:line="560" w:lineRule="exact"/>
        <w:ind w:firstLineChars="200" w:firstLine="640"/>
        <w:rPr>
          <w:rFonts w:ascii="Times New Roman"/>
        </w:rPr>
      </w:pPr>
      <w:r>
        <w:rPr>
          <w:rFonts w:ascii="Times New Roman" w:eastAsia="国标黑体"/>
        </w:rPr>
        <w:t>三、下半年工作计划</w:t>
      </w:r>
    </w:p>
    <w:p w14:paraId="3A1D0A4B" w14:textId="77777777" w:rsidR="00B475A4" w:rsidRDefault="00000000">
      <w:pPr>
        <w:spacing w:line="560" w:lineRule="exact"/>
        <w:ind w:firstLineChars="200" w:firstLine="640"/>
        <w:rPr>
          <w:rFonts w:ascii="Times New Roman"/>
        </w:rPr>
      </w:pPr>
      <w:r>
        <w:rPr>
          <w:rFonts w:ascii="Times New Roman"/>
        </w:rPr>
        <w:t>下半年，区政府将坚持以习近平新时代中国特色社会主义思想为指导，把握稳中求进的工作总基调，推动经济持续向新向优向好发展，努力实现</w:t>
      </w:r>
      <w:r>
        <w:rPr>
          <w:rFonts w:ascii="Times New Roman"/>
        </w:rPr>
        <w:t>“</w:t>
      </w:r>
      <w:r>
        <w:rPr>
          <w:rFonts w:ascii="Times New Roman"/>
        </w:rPr>
        <w:t>十五五</w:t>
      </w:r>
      <w:r>
        <w:rPr>
          <w:rFonts w:ascii="Times New Roman"/>
        </w:rPr>
        <w:t>”</w:t>
      </w:r>
      <w:r>
        <w:rPr>
          <w:rFonts w:ascii="Times New Roman"/>
        </w:rPr>
        <w:t>良好开局。</w:t>
      </w:r>
    </w:p>
    <w:p w14:paraId="0B83F413"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（一）持续扩大有效投资，让经济质效更</w:t>
      </w:r>
      <w:r>
        <w:rPr>
          <w:rFonts w:ascii="Times New Roman" w:eastAsia="楷体_GB2312"/>
          <w:b/>
          <w:bCs/>
        </w:rPr>
        <w:t>“</w:t>
      </w:r>
      <w:r>
        <w:rPr>
          <w:rFonts w:ascii="Times New Roman" w:eastAsia="楷体_GB2312"/>
          <w:b/>
          <w:bCs/>
        </w:rPr>
        <w:t>优</w:t>
      </w:r>
      <w:r>
        <w:rPr>
          <w:rFonts w:ascii="Times New Roman" w:eastAsia="楷体_GB2312"/>
          <w:b/>
          <w:bCs/>
        </w:rPr>
        <w:t>”</w:t>
      </w:r>
    </w:p>
    <w:p w14:paraId="624C9DF9" w14:textId="77777777" w:rsidR="00B475A4" w:rsidRDefault="00000000">
      <w:pPr>
        <w:spacing w:line="560" w:lineRule="exact"/>
        <w:ind w:firstLineChars="200" w:firstLine="643"/>
        <w:rPr>
          <w:rFonts w:ascii="Times New Roman"/>
        </w:rPr>
      </w:pPr>
      <w:r>
        <w:rPr>
          <w:rFonts w:ascii="Times New Roman"/>
          <w:b/>
          <w:bCs/>
        </w:rPr>
        <w:lastRenderedPageBreak/>
        <w:t>精准谋划储备项目。</w:t>
      </w:r>
      <w:r>
        <w:rPr>
          <w:rFonts w:ascii="Times New Roman"/>
        </w:rPr>
        <w:t>统筹抓好重大项目全链条管控，建立优质项目储备库，围绕工业技改、城市更新、商贸文旅、民生等领域深挖项目资源，滚动增补重大项目入库清单。持续落实重点项目会商调度机制，加快推进相山区城市排水管网提升改造、国金大厦等在建项目建设进度，相山经开区排水防涝提升工程二期、相山区清洁能源项目等计划新开工项目尽快开工建设，集中攻坚征地拆迁、要素审批、施工梗阻等突出问题，持续巩固全市领先的招商项目开工率，全面提升项目开工率、竣工率、达产转化率。</w:t>
      </w:r>
    </w:p>
    <w:p w14:paraId="529CEB2C" w14:textId="77777777" w:rsidR="00B475A4" w:rsidRDefault="00000000">
      <w:pPr>
        <w:spacing w:line="560" w:lineRule="exact"/>
        <w:ind w:firstLineChars="200" w:firstLine="643"/>
        <w:rPr>
          <w:rFonts w:ascii="Times New Roman"/>
        </w:rPr>
      </w:pPr>
      <w:r>
        <w:rPr>
          <w:rFonts w:ascii="Times New Roman"/>
          <w:b/>
          <w:bCs/>
        </w:rPr>
        <w:t>精准扩大有效投资。</w:t>
      </w:r>
      <w:r>
        <w:rPr>
          <w:rFonts w:ascii="Times New Roman"/>
        </w:rPr>
        <w:t>深入研判国家产业政策、中央及省、市级资金投向，第一时间把握政策调整和新增方向。紧盯</w:t>
      </w:r>
      <w:hyperlink r:id="rId6" w:tooltip="点击可查看项目明细" w:history="1">
        <w:r>
          <w:rPr>
            <w:rFonts w:ascii="Times New Roman"/>
          </w:rPr>
          <w:t>老城片区老旧小区屋面防水维修及路网改造工程</w:t>
        </w:r>
      </w:hyperlink>
      <w:r>
        <w:rPr>
          <w:rFonts w:ascii="Times New Roman"/>
        </w:rPr>
        <w:t>、</w:t>
      </w:r>
      <w:hyperlink r:id="rId7" w:tooltip="点击可查看项目明细" w:history="1">
        <w:r>
          <w:rPr>
            <w:rFonts w:ascii="Times New Roman"/>
          </w:rPr>
          <w:t>相山区城市排水管网提升改造项目</w:t>
        </w:r>
      </w:hyperlink>
      <w:r>
        <w:rPr>
          <w:rFonts w:ascii="Times New Roman"/>
        </w:rPr>
        <w:t>等资金已下达项目建设进度，尽快形成实物工作量。用好省新质生产力投资平台和皖北振兴专项资金政策，积极向上推送项目，帮助企业解决融资问题。紧盯在谈重点招商项目，力争禾丰肉鸭产业链项目、山东恒丰</w:t>
      </w:r>
      <w:r>
        <w:rPr>
          <w:rFonts w:ascii="Times New Roman"/>
        </w:rPr>
        <w:t>“</w:t>
      </w:r>
      <w:r>
        <w:rPr>
          <w:rFonts w:ascii="Times New Roman"/>
        </w:rPr>
        <w:t>口腔医疗器械生产</w:t>
      </w:r>
      <w:r>
        <w:rPr>
          <w:rFonts w:ascii="Times New Roman"/>
        </w:rPr>
        <w:t>”</w:t>
      </w:r>
      <w:r>
        <w:rPr>
          <w:rFonts w:ascii="Times New Roman"/>
        </w:rPr>
        <w:t>项目、揽纯饮品等一批重大项目尽快签约落地，全年力争引进亿元以上项目不少于</w:t>
      </w:r>
      <w:r>
        <w:rPr>
          <w:rFonts w:ascii="Times New Roman"/>
        </w:rPr>
        <w:t>35</w:t>
      </w:r>
      <w:r>
        <w:rPr>
          <w:rFonts w:ascii="Times New Roman"/>
        </w:rPr>
        <w:t>个，新开工亿元以上项目不少于</w:t>
      </w:r>
      <w:r>
        <w:rPr>
          <w:rFonts w:ascii="Times New Roman"/>
        </w:rPr>
        <w:t>35</w:t>
      </w:r>
      <w:r>
        <w:rPr>
          <w:rFonts w:ascii="Times New Roman"/>
        </w:rPr>
        <w:t>个。</w:t>
      </w:r>
    </w:p>
    <w:p w14:paraId="46CED936"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（二）持续推进产业升级，让发展动能更</w:t>
      </w:r>
      <w:r>
        <w:rPr>
          <w:rFonts w:ascii="Times New Roman" w:eastAsia="楷体_GB2312"/>
          <w:b/>
          <w:bCs/>
        </w:rPr>
        <w:t>“</w:t>
      </w:r>
      <w:r>
        <w:rPr>
          <w:rFonts w:ascii="Times New Roman" w:eastAsia="楷体_GB2312"/>
          <w:b/>
          <w:bCs/>
        </w:rPr>
        <w:t>强</w:t>
      </w:r>
      <w:r>
        <w:rPr>
          <w:rFonts w:ascii="Times New Roman" w:eastAsia="楷体_GB2312"/>
          <w:b/>
          <w:bCs/>
        </w:rPr>
        <w:t>”</w:t>
      </w:r>
    </w:p>
    <w:p w14:paraId="674A258F" w14:textId="77777777" w:rsidR="00B475A4" w:rsidRDefault="00000000">
      <w:pPr>
        <w:spacing w:line="560" w:lineRule="exact"/>
        <w:ind w:firstLineChars="200" w:firstLine="643"/>
        <w:rPr>
          <w:rFonts w:ascii="Times New Roman"/>
        </w:rPr>
      </w:pPr>
      <w:r>
        <w:rPr>
          <w:rFonts w:ascii="Times New Roman"/>
          <w:b/>
          <w:bCs/>
        </w:rPr>
        <w:t>培育壮大新质生产力。</w:t>
      </w:r>
      <w:r>
        <w:rPr>
          <w:rFonts w:ascii="Times New Roman"/>
        </w:rPr>
        <w:t>落实制造业三年提升行动，完善</w:t>
      </w:r>
      <w:r>
        <w:rPr>
          <w:rFonts w:ascii="Times New Roman"/>
        </w:rPr>
        <w:t>“135”</w:t>
      </w:r>
      <w:r>
        <w:rPr>
          <w:rFonts w:ascii="Times New Roman"/>
        </w:rPr>
        <w:t>梯度培育机制。支持翌光科技、智好汽车电子等企业融入全省汽车电子产业链，重点扶持味知轩、</w:t>
      </w:r>
      <w:proofErr w:type="gramStart"/>
      <w:r>
        <w:rPr>
          <w:rFonts w:ascii="Times New Roman"/>
        </w:rPr>
        <w:t>缘份</w:t>
      </w:r>
      <w:proofErr w:type="gramEnd"/>
      <w:r>
        <w:rPr>
          <w:rFonts w:ascii="Times New Roman"/>
        </w:rPr>
        <w:t>多等企业快速成长为</w:t>
      </w:r>
      <w:r>
        <w:rPr>
          <w:rFonts w:ascii="Times New Roman"/>
        </w:rPr>
        <w:t>“</w:t>
      </w:r>
      <w:r>
        <w:rPr>
          <w:rFonts w:ascii="Times New Roman"/>
        </w:rPr>
        <w:t>链主</w:t>
      </w:r>
      <w:r>
        <w:rPr>
          <w:rFonts w:ascii="Times New Roman"/>
        </w:rPr>
        <w:t>”</w:t>
      </w:r>
      <w:r>
        <w:rPr>
          <w:rFonts w:ascii="Times New Roman"/>
        </w:rPr>
        <w:t>型企业，加快味知轩二期、马培德二期等项目投产达效，推</w:t>
      </w:r>
      <w:r>
        <w:rPr>
          <w:rFonts w:ascii="Times New Roman"/>
        </w:rPr>
        <w:lastRenderedPageBreak/>
        <w:t>进理士智慧能源等新落地项目加快建设。引导贝宝食品、马培德食品等企业</w:t>
      </w:r>
      <w:r>
        <w:rPr>
          <w:rFonts w:ascii="Times New Roman"/>
        </w:rPr>
        <w:t>“</w:t>
      </w:r>
      <w:r>
        <w:rPr>
          <w:rFonts w:ascii="Times New Roman"/>
        </w:rPr>
        <w:t>三化</w:t>
      </w:r>
      <w:r>
        <w:rPr>
          <w:rFonts w:ascii="Times New Roman"/>
        </w:rPr>
        <w:t>”</w:t>
      </w:r>
      <w:r>
        <w:rPr>
          <w:rFonts w:ascii="Times New Roman"/>
        </w:rPr>
        <w:t>改造，支持曦强乳业等企业打造</w:t>
      </w:r>
      <w:r>
        <w:rPr>
          <w:rFonts w:ascii="Times New Roman"/>
        </w:rPr>
        <w:t>5G</w:t>
      </w:r>
      <w:r>
        <w:rPr>
          <w:rFonts w:ascii="Times New Roman"/>
        </w:rPr>
        <w:t>工厂、智能工厂、绿色工厂，全年实施技改项目</w:t>
      </w:r>
      <w:r>
        <w:rPr>
          <w:rFonts w:ascii="Times New Roman"/>
        </w:rPr>
        <w:t>20</w:t>
      </w:r>
      <w:r>
        <w:rPr>
          <w:rFonts w:ascii="Times New Roman"/>
        </w:rPr>
        <w:t>个以上。深入实施</w:t>
      </w:r>
      <w:r>
        <w:rPr>
          <w:rFonts w:ascii="Times New Roman"/>
        </w:rPr>
        <w:t>“</w:t>
      </w:r>
      <w:r>
        <w:rPr>
          <w:rFonts w:ascii="Times New Roman"/>
        </w:rPr>
        <w:t>三品</w:t>
      </w:r>
      <w:r>
        <w:rPr>
          <w:rFonts w:ascii="Times New Roman"/>
        </w:rPr>
        <w:t>”</w:t>
      </w:r>
      <w:r>
        <w:rPr>
          <w:rFonts w:ascii="Times New Roman"/>
        </w:rPr>
        <w:t>战略，支持盛美诺、虹源饲料等企业研新品、造精品，全年新增省级新产品、工业精品、</w:t>
      </w:r>
      <w:r>
        <w:rPr>
          <w:rFonts w:ascii="Times New Roman"/>
        </w:rPr>
        <w:t>“</w:t>
      </w:r>
      <w:r>
        <w:rPr>
          <w:rFonts w:ascii="Times New Roman"/>
        </w:rPr>
        <w:t>三首</w:t>
      </w:r>
      <w:r>
        <w:rPr>
          <w:rFonts w:ascii="Times New Roman"/>
        </w:rPr>
        <w:t>”</w:t>
      </w:r>
      <w:r>
        <w:rPr>
          <w:rFonts w:ascii="Times New Roman"/>
        </w:rPr>
        <w:t>产品</w:t>
      </w:r>
      <w:r>
        <w:rPr>
          <w:rFonts w:ascii="Times New Roman"/>
        </w:rPr>
        <w:t>5</w:t>
      </w:r>
      <w:r>
        <w:rPr>
          <w:rFonts w:ascii="Times New Roman"/>
        </w:rPr>
        <w:t>个以上。培育高新技术企业</w:t>
      </w:r>
      <w:r>
        <w:rPr>
          <w:rFonts w:ascii="Times New Roman"/>
        </w:rPr>
        <w:t>20</w:t>
      </w:r>
      <w:r>
        <w:rPr>
          <w:rFonts w:ascii="Times New Roman"/>
        </w:rPr>
        <w:t>家以上，备案科技型中小企业</w:t>
      </w:r>
      <w:r>
        <w:rPr>
          <w:rFonts w:ascii="Times New Roman"/>
        </w:rPr>
        <w:t>145</w:t>
      </w:r>
      <w:r>
        <w:rPr>
          <w:rFonts w:ascii="Times New Roman"/>
        </w:rPr>
        <w:t>家以上。支持瓦比特、和携科技、安徽肽元素等企业争创省市级高层次科技团队。</w:t>
      </w:r>
    </w:p>
    <w:p w14:paraId="2D90C709" w14:textId="77777777" w:rsidR="00B475A4" w:rsidRDefault="00000000">
      <w:pPr>
        <w:spacing w:line="560" w:lineRule="exact"/>
        <w:ind w:firstLineChars="200" w:firstLine="643"/>
        <w:rPr>
          <w:rFonts w:ascii="Times New Roman"/>
        </w:rPr>
      </w:pPr>
      <w:r>
        <w:rPr>
          <w:rFonts w:ascii="Times New Roman"/>
          <w:b/>
          <w:bCs/>
        </w:rPr>
        <w:t>提质发展现代服务业。</w:t>
      </w:r>
      <w:r>
        <w:rPr>
          <w:rFonts w:ascii="Times New Roman"/>
        </w:rPr>
        <w:t>聚焦扩内需，鼓励发展新业态新模式新场景，积极培育新型消费增长点，持续挖掘消费潜力。用好</w:t>
      </w:r>
      <w:r>
        <w:rPr>
          <w:rFonts w:ascii="Times New Roman"/>
        </w:rPr>
        <w:t>“</w:t>
      </w:r>
      <w:r>
        <w:rPr>
          <w:rFonts w:ascii="Times New Roman"/>
        </w:rPr>
        <w:t>消费券</w:t>
      </w:r>
      <w:r>
        <w:rPr>
          <w:rFonts w:ascii="Times New Roman"/>
        </w:rPr>
        <w:t>+</w:t>
      </w:r>
      <w:r>
        <w:rPr>
          <w:rFonts w:ascii="Times New Roman"/>
        </w:rPr>
        <w:t>补贴</w:t>
      </w:r>
      <w:r>
        <w:rPr>
          <w:rFonts w:ascii="Times New Roman"/>
        </w:rPr>
        <w:t>”</w:t>
      </w:r>
      <w:r>
        <w:rPr>
          <w:rFonts w:ascii="Times New Roman"/>
        </w:rPr>
        <w:t>组合礼包，聚焦汽车、家电数码、零售百货等领域投放消费券，争取全年实现社会消费品零售总额同比增长</w:t>
      </w:r>
      <w:r>
        <w:rPr>
          <w:rFonts w:ascii="Times New Roman"/>
        </w:rPr>
        <w:t>5%</w:t>
      </w:r>
      <w:r>
        <w:rPr>
          <w:rFonts w:ascii="Times New Roman"/>
        </w:rPr>
        <w:t>以上。加快电商产业发展，依托皖北电商产业园、淮北婴童智创食品产业园、各镇街直播电商中心，力争网络零售额突破</w:t>
      </w:r>
      <w:r>
        <w:rPr>
          <w:rFonts w:ascii="Times New Roman"/>
        </w:rPr>
        <w:t>40</w:t>
      </w:r>
      <w:r>
        <w:rPr>
          <w:rFonts w:ascii="Times New Roman"/>
        </w:rPr>
        <w:t>亿元。紧盯新一代软件信息、检验检测、研发设计、商务服务等生产性服务业重点领域，着力搭建专业化平台经济。深入推动两业融合，不断扩大先进制造业与现代服务业融合发展试点效应，申报</w:t>
      </w:r>
      <w:r>
        <w:rPr>
          <w:rFonts w:ascii="Times New Roman"/>
        </w:rPr>
        <w:t>“</w:t>
      </w:r>
      <w:r>
        <w:rPr>
          <w:rFonts w:ascii="Times New Roman"/>
        </w:rPr>
        <w:t>两业融合</w:t>
      </w:r>
      <w:r>
        <w:rPr>
          <w:rFonts w:ascii="Times New Roman"/>
        </w:rPr>
        <w:t>”</w:t>
      </w:r>
      <w:r>
        <w:rPr>
          <w:rFonts w:ascii="Times New Roman"/>
        </w:rPr>
        <w:t>试点示范单位</w:t>
      </w:r>
      <w:r>
        <w:rPr>
          <w:rFonts w:ascii="Times New Roman"/>
        </w:rPr>
        <w:t>2</w:t>
      </w:r>
      <w:r>
        <w:rPr>
          <w:rFonts w:ascii="Times New Roman"/>
        </w:rPr>
        <w:t>家左右。</w:t>
      </w:r>
    </w:p>
    <w:p w14:paraId="74F4AE5B"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（三）持续深化改革开放，让发展活力更</w:t>
      </w:r>
      <w:r>
        <w:rPr>
          <w:rFonts w:ascii="Times New Roman" w:eastAsia="楷体_GB2312"/>
          <w:b/>
          <w:bCs/>
        </w:rPr>
        <w:t>“</w:t>
      </w:r>
      <w:r>
        <w:rPr>
          <w:rFonts w:ascii="Times New Roman" w:eastAsia="楷体_GB2312"/>
          <w:b/>
          <w:bCs/>
        </w:rPr>
        <w:t>新</w:t>
      </w:r>
      <w:r>
        <w:rPr>
          <w:rFonts w:ascii="Times New Roman" w:eastAsia="楷体_GB2312"/>
          <w:b/>
          <w:bCs/>
        </w:rPr>
        <w:t>”</w:t>
      </w:r>
    </w:p>
    <w:p w14:paraId="03C931E0" w14:textId="77777777" w:rsidR="00B475A4" w:rsidRDefault="00000000">
      <w:pPr>
        <w:spacing w:line="560" w:lineRule="exact"/>
        <w:ind w:firstLineChars="200" w:firstLine="643"/>
        <w:rPr>
          <w:rFonts w:ascii="Times New Roman"/>
        </w:rPr>
      </w:pPr>
      <w:r>
        <w:rPr>
          <w:rFonts w:ascii="Times New Roman"/>
          <w:b/>
          <w:bCs/>
        </w:rPr>
        <w:t>纵深推进重点改革。</w:t>
      </w:r>
      <w:r>
        <w:rPr>
          <w:rFonts w:ascii="Times New Roman"/>
        </w:rPr>
        <w:t>持续拓展</w:t>
      </w:r>
      <w:r>
        <w:rPr>
          <w:rFonts w:ascii="Times New Roman"/>
        </w:rPr>
        <w:t>“</w:t>
      </w:r>
      <w:r>
        <w:rPr>
          <w:rFonts w:ascii="Times New Roman"/>
        </w:rPr>
        <w:t>一件事</w:t>
      </w:r>
      <w:r>
        <w:rPr>
          <w:rFonts w:ascii="Times New Roman"/>
        </w:rPr>
        <w:t>”</w:t>
      </w:r>
      <w:r>
        <w:rPr>
          <w:rFonts w:ascii="Times New Roman"/>
        </w:rPr>
        <w:t>改革深度，聚焦企业和个人全生命周期，探索</w:t>
      </w:r>
      <w:r>
        <w:rPr>
          <w:rFonts w:ascii="Times New Roman"/>
        </w:rPr>
        <w:t>“</w:t>
      </w:r>
      <w:r>
        <w:rPr>
          <w:rFonts w:ascii="Times New Roman"/>
        </w:rPr>
        <w:t>高效办成一件事</w:t>
      </w:r>
      <w:r>
        <w:rPr>
          <w:rFonts w:ascii="Times New Roman"/>
        </w:rPr>
        <w:t>”</w:t>
      </w:r>
      <w:r>
        <w:rPr>
          <w:rFonts w:ascii="Times New Roman"/>
        </w:rPr>
        <w:t>向</w:t>
      </w:r>
      <w:r>
        <w:rPr>
          <w:rFonts w:ascii="Times New Roman"/>
        </w:rPr>
        <w:t>“</w:t>
      </w:r>
      <w:r>
        <w:rPr>
          <w:rFonts w:ascii="Times New Roman"/>
        </w:rPr>
        <w:t>高效办成一类事</w:t>
      </w:r>
      <w:r>
        <w:rPr>
          <w:rFonts w:ascii="Times New Roman"/>
        </w:rPr>
        <w:t>”</w:t>
      </w:r>
      <w:r>
        <w:rPr>
          <w:rFonts w:ascii="Times New Roman"/>
        </w:rPr>
        <w:t>拓展，最大限度便民利企。探索公共数据授权运营机制，推动数据产品在金融、医疗、交通等领域落地应用。加大</w:t>
      </w:r>
      <w:r>
        <w:rPr>
          <w:rFonts w:ascii="Times New Roman"/>
        </w:rPr>
        <w:t>“</w:t>
      </w:r>
      <w:r>
        <w:rPr>
          <w:rFonts w:ascii="Times New Roman"/>
        </w:rPr>
        <w:t>亩均论英雄</w:t>
      </w:r>
      <w:r>
        <w:rPr>
          <w:rFonts w:ascii="Times New Roman"/>
        </w:rPr>
        <w:t>”</w:t>
      </w:r>
      <w:r>
        <w:rPr>
          <w:rFonts w:ascii="Times New Roman"/>
        </w:rPr>
        <w:lastRenderedPageBreak/>
        <w:t>改革力度，分行业探索制造业亩均效益提升典型案例，引导低效用地企业</w:t>
      </w:r>
      <w:r>
        <w:rPr>
          <w:rFonts w:ascii="Times New Roman"/>
        </w:rPr>
        <w:t>“</w:t>
      </w:r>
      <w:r>
        <w:rPr>
          <w:rFonts w:ascii="Times New Roman"/>
        </w:rPr>
        <w:t>有样学样</w:t>
      </w:r>
      <w:r>
        <w:rPr>
          <w:rFonts w:ascii="Times New Roman"/>
        </w:rPr>
        <w:t>”</w:t>
      </w:r>
      <w:r>
        <w:rPr>
          <w:rFonts w:ascii="Times New Roman"/>
        </w:rPr>
        <w:t>，提升土地产出效益。深化</w:t>
      </w:r>
      <w:r>
        <w:rPr>
          <w:rFonts w:ascii="Times New Roman"/>
        </w:rPr>
        <w:t>“</w:t>
      </w:r>
      <w:r>
        <w:rPr>
          <w:rFonts w:ascii="Times New Roman"/>
        </w:rPr>
        <w:t>综合查一次</w:t>
      </w:r>
      <w:r>
        <w:rPr>
          <w:rFonts w:ascii="Times New Roman"/>
        </w:rPr>
        <w:t>”</w:t>
      </w:r>
      <w:r>
        <w:rPr>
          <w:rFonts w:ascii="Times New Roman"/>
        </w:rPr>
        <w:t>联合执法改革，推动跨部门联合执法，稳步推行</w:t>
      </w:r>
      <w:r>
        <w:rPr>
          <w:rFonts w:ascii="Times New Roman"/>
        </w:rPr>
        <w:t>“</w:t>
      </w:r>
      <w:r>
        <w:rPr>
          <w:rFonts w:ascii="Times New Roman"/>
        </w:rPr>
        <w:t>扫码入企</w:t>
      </w:r>
      <w:r>
        <w:rPr>
          <w:rFonts w:ascii="Times New Roman"/>
        </w:rPr>
        <w:t>”</w:t>
      </w:r>
      <w:r>
        <w:rPr>
          <w:rFonts w:ascii="Times New Roman"/>
        </w:rPr>
        <w:t>，切实减少检查频次、减轻企业负担。</w:t>
      </w:r>
    </w:p>
    <w:p w14:paraId="08F38A4A" w14:textId="77777777" w:rsidR="00B475A4" w:rsidRDefault="00000000">
      <w:pPr>
        <w:spacing w:line="560" w:lineRule="exact"/>
        <w:ind w:firstLineChars="200" w:firstLine="643"/>
        <w:rPr>
          <w:rFonts w:ascii="Times New Roman"/>
        </w:rPr>
      </w:pPr>
      <w:r>
        <w:rPr>
          <w:rFonts w:ascii="Times New Roman"/>
          <w:b/>
          <w:bCs/>
        </w:rPr>
        <w:t>打造优质营商环境。</w:t>
      </w:r>
      <w:r>
        <w:rPr>
          <w:rFonts w:ascii="Times New Roman"/>
        </w:rPr>
        <w:t>纵深推进</w:t>
      </w:r>
      <w:r>
        <w:rPr>
          <w:rFonts w:ascii="Times New Roman"/>
        </w:rPr>
        <w:t>“</w:t>
      </w:r>
      <w:r>
        <w:rPr>
          <w:rFonts w:ascii="Times New Roman"/>
        </w:rPr>
        <w:t>放管服</w:t>
      </w:r>
      <w:r>
        <w:rPr>
          <w:rFonts w:ascii="Times New Roman"/>
        </w:rPr>
        <w:t>”</w:t>
      </w:r>
      <w:r>
        <w:rPr>
          <w:rFonts w:ascii="Times New Roman"/>
        </w:rPr>
        <w:t>改革、</w:t>
      </w:r>
      <w:r>
        <w:rPr>
          <w:rFonts w:ascii="Times New Roman"/>
        </w:rPr>
        <w:t>“</w:t>
      </w:r>
      <w:r>
        <w:rPr>
          <w:rFonts w:ascii="Times New Roman"/>
        </w:rPr>
        <w:t>无证明城市</w:t>
      </w:r>
      <w:r>
        <w:rPr>
          <w:rFonts w:ascii="Times New Roman"/>
        </w:rPr>
        <w:t>”</w:t>
      </w:r>
      <w:r>
        <w:rPr>
          <w:rFonts w:ascii="Times New Roman"/>
        </w:rPr>
        <w:t>建设和</w:t>
      </w:r>
      <w:r>
        <w:rPr>
          <w:rFonts w:ascii="Times New Roman"/>
        </w:rPr>
        <w:t>“</w:t>
      </w:r>
      <w:r>
        <w:rPr>
          <w:rFonts w:ascii="Times New Roman"/>
        </w:rPr>
        <w:t>两集中、两到位</w:t>
      </w:r>
      <w:r>
        <w:rPr>
          <w:rFonts w:ascii="Times New Roman"/>
        </w:rPr>
        <w:t>”</w:t>
      </w:r>
      <w:r>
        <w:rPr>
          <w:rFonts w:ascii="Times New Roman"/>
        </w:rPr>
        <w:t>改革，持续精简办事材料、压缩审批时限，丰富</w:t>
      </w:r>
      <w:r>
        <w:rPr>
          <w:rFonts w:ascii="Times New Roman"/>
        </w:rPr>
        <w:t>“</w:t>
      </w:r>
      <w:r>
        <w:rPr>
          <w:rFonts w:ascii="Times New Roman"/>
        </w:rPr>
        <w:t>相办无忧</w:t>
      </w:r>
      <w:r>
        <w:rPr>
          <w:rFonts w:ascii="Times New Roman"/>
        </w:rPr>
        <w:t>”</w:t>
      </w:r>
      <w:r>
        <w:rPr>
          <w:rFonts w:ascii="Times New Roman"/>
        </w:rPr>
        <w:t>品牌内涵，做优线下线上同步服务，拓展增值服务内容，推动政务服务从</w:t>
      </w:r>
      <w:r>
        <w:rPr>
          <w:rFonts w:ascii="Times New Roman"/>
        </w:rPr>
        <w:t>“</w:t>
      </w:r>
      <w:r>
        <w:rPr>
          <w:rFonts w:ascii="Times New Roman"/>
        </w:rPr>
        <w:t>能办</w:t>
      </w:r>
      <w:r>
        <w:rPr>
          <w:rFonts w:ascii="Times New Roman"/>
        </w:rPr>
        <w:t>”</w:t>
      </w:r>
      <w:r>
        <w:rPr>
          <w:rFonts w:ascii="Times New Roman"/>
        </w:rPr>
        <w:t>向</w:t>
      </w:r>
      <w:r>
        <w:rPr>
          <w:rFonts w:ascii="Times New Roman"/>
        </w:rPr>
        <w:t>“</w:t>
      </w:r>
      <w:r>
        <w:rPr>
          <w:rFonts w:ascii="Times New Roman"/>
        </w:rPr>
        <w:t>好办、快办、智办</w:t>
      </w:r>
      <w:r>
        <w:rPr>
          <w:rFonts w:ascii="Times New Roman"/>
        </w:rPr>
        <w:t>”</w:t>
      </w:r>
      <w:r>
        <w:rPr>
          <w:rFonts w:ascii="Times New Roman"/>
        </w:rPr>
        <w:t>升级。持续开展产销对接活动，深挖园区食品和外贸企业外销渠道，把</w:t>
      </w:r>
      <w:r>
        <w:rPr>
          <w:rFonts w:ascii="Times New Roman"/>
        </w:rPr>
        <w:t>“</w:t>
      </w:r>
      <w:r>
        <w:rPr>
          <w:rFonts w:ascii="Times New Roman"/>
        </w:rPr>
        <w:t>我为企业找市场</w:t>
      </w:r>
      <w:r>
        <w:rPr>
          <w:rFonts w:ascii="Times New Roman"/>
        </w:rPr>
        <w:t>”</w:t>
      </w:r>
      <w:r>
        <w:rPr>
          <w:rFonts w:ascii="Times New Roman"/>
        </w:rPr>
        <w:t>行动做深做实。加快推进降低要素成本，通过物质供热、管网扩容及技术改造等举措，切实降低企业用能成本。</w:t>
      </w:r>
    </w:p>
    <w:p w14:paraId="6B8AC745" w14:textId="77777777" w:rsidR="00B475A4" w:rsidRDefault="00000000">
      <w:pPr>
        <w:spacing w:line="560" w:lineRule="exact"/>
        <w:ind w:firstLineChars="200" w:firstLine="643"/>
        <w:rPr>
          <w:rFonts w:ascii="Times New Roman"/>
        </w:rPr>
      </w:pPr>
      <w:r>
        <w:rPr>
          <w:rFonts w:ascii="Times New Roman"/>
          <w:b/>
          <w:bCs/>
        </w:rPr>
        <w:t>持续扩大对外开放。</w:t>
      </w:r>
      <w:r>
        <w:rPr>
          <w:rFonts w:ascii="Times New Roman"/>
        </w:rPr>
        <w:t>深化全域协同对接，持续落实领导带队赴沪苏浙考察机制。深耕上海沪淮科创协同中心，优化</w:t>
      </w:r>
      <w:r>
        <w:rPr>
          <w:rFonts w:ascii="Times New Roman"/>
        </w:rPr>
        <w:t>“</w:t>
      </w:r>
      <w:proofErr w:type="gramStart"/>
      <w:r>
        <w:rPr>
          <w:rFonts w:ascii="Times New Roman"/>
        </w:rPr>
        <w:t>飞地</w:t>
      </w:r>
      <w:proofErr w:type="gramEnd"/>
      <w:r>
        <w:rPr>
          <w:rFonts w:ascii="Times New Roman"/>
        </w:rPr>
        <w:t>孵化、本地转化</w:t>
      </w:r>
      <w:r>
        <w:rPr>
          <w:rFonts w:ascii="Times New Roman"/>
        </w:rPr>
        <w:t>”</w:t>
      </w:r>
      <w:r>
        <w:rPr>
          <w:rFonts w:ascii="Times New Roman"/>
        </w:rPr>
        <w:t>流程，加快杭州</w:t>
      </w:r>
      <w:proofErr w:type="gramStart"/>
      <w:r>
        <w:rPr>
          <w:rFonts w:ascii="Times New Roman"/>
        </w:rPr>
        <w:t>飞地</w:t>
      </w:r>
      <w:proofErr w:type="gramEnd"/>
      <w:r>
        <w:rPr>
          <w:rFonts w:ascii="Times New Roman"/>
        </w:rPr>
        <w:t>运营落地，拓展长三角南部招商渠道，持续链接高层次产业人才。组织企业参加广交会、进博会等国际展会，拓展</w:t>
      </w:r>
      <w:r>
        <w:rPr>
          <w:rFonts w:ascii="Times New Roman"/>
        </w:rPr>
        <w:t>“</w:t>
      </w:r>
      <w:r>
        <w:rPr>
          <w:rFonts w:ascii="Times New Roman"/>
        </w:rPr>
        <w:t>一带一路</w:t>
      </w:r>
      <w:r>
        <w:rPr>
          <w:rFonts w:ascii="Times New Roman"/>
        </w:rPr>
        <w:t>”</w:t>
      </w:r>
      <w:r>
        <w:rPr>
          <w:rFonts w:ascii="Times New Roman"/>
        </w:rPr>
        <w:t>市场。支持今麦郎、</w:t>
      </w:r>
      <w:proofErr w:type="gramStart"/>
      <w:r>
        <w:rPr>
          <w:rFonts w:ascii="Times New Roman"/>
        </w:rPr>
        <w:t>缘份</w:t>
      </w:r>
      <w:proofErr w:type="gramEnd"/>
      <w:r>
        <w:rPr>
          <w:rFonts w:ascii="Times New Roman"/>
        </w:rPr>
        <w:t>多等企业开拓国外市场，</w:t>
      </w:r>
      <w:r>
        <w:rPr>
          <w:rFonts w:ascii="Times New Roman"/>
        </w:rPr>
        <w:t>2026</w:t>
      </w:r>
      <w:r>
        <w:rPr>
          <w:rFonts w:ascii="Times New Roman"/>
        </w:rPr>
        <w:t>年外贸进出口总额增长</w:t>
      </w:r>
      <w:r>
        <w:rPr>
          <w:rFonts w:ascii="Times New Roman"/>
        </w:rPr>
        <w:t>5%</w:t>
      </w:r>
      <w:r>
        <w:rPr>
          <w:rFonts w:ascii="Times New Roman"/>
        </w:rPr>
        <w:t>以上。做好淮宿蚌高铁开通运营前期工作，不断提升区域通达性。</w:t>
      </w:r>
    </w:p>
    <w:p w14:paraId="05158473"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（四）持续推进城乡融合，让全域发展更</w:t>
      </w:r>
      <w:r>
        <w:rPr>
          <w:rFonts w:ascii="Times New Roman" w:eastAsia="楷体_GB2312"/>
          <w:b/>
          <w:bCs/>
        </w:rPr>
        <w:t>“</w:t>
      </w:r>
      <w:r>
        <w:rPr>
          <w:rFonts w:ascii="Times New Roman" w:eastAsia="楷体_GB2312"/>
          <w:b/>
          <w:bCs/>
        </w:rPr>
        <w:t>活</w:t>
      </w:r>
      <w:r>
        <w:rPr>
          <w:rFonts w:ascii="Times New Roman" w:eastAsia="楷体_GB2312"/>
          <w:b/>
          <w:bCs/>
        </w:rPr>
        <w:t>”</w:t>
      </w:r>
    </w:p>
    <w:p w14:paraId="4A256A44" w14:textId="77777777" w:rsidR="00B475A4" w:rsidRDefault="00000000">
      <w:pPr>
        <w:spacing w:line="560" w:lineRule="exact"/>
        <w:ind w:firstLineChars="200" w:firstLine="643"/>
        <w:jc w:val="left"/>
        <w:rPr>
          <w:rFonts w:ascii="Times New Roman"/>
        </w:rPr>
      </w:pPr>
      <w:r>
        <w:rPr>
          <w:rFonts w:ascii="Times New Roman"/>
          <w:b/>
          <w:bCs/>
        </w:rPr>
        <w:t>迭代城市建设品质。</w:t>
      </w:r>
      <w:r>
        <w:rPr>
          <w:rFonts w:ascii="Times New Roman"/>
        </w:rPr>
        <w:t>持续开展城市更新行动，稳步推进洪山路、淮海路等老城区道路升级，按节点推进惠黎西路下穿铁路、淮蚌铁路整治等重点项目。全面完成原奶牛厂危房搬迁改造、物</w:t>
      </w:r>
      <w:r>
        <w:rPr>
          <w:rFonts w:ascii="Times New Roman"/>
        </w:rPr>
        <w:lastRenderedPageBreak/>
        <w:t>资局家属楼翻建工程，确保庆相桥余庄、曲阳渠沟路北城中村改造项目</w:t>
      </w:r>
      <w:r>
        <w:rPr>
          <w:rFonts w:ascii="Times New Roman"/>
        </w:rPr>
        <w:t>7</w:t>
      </w:r>
      <w:r>
        <w:rPr>
          <w:rFonts w:ascii="Times New Roman"/>
        </w:rPr>
        <w:t>月底竣工交付。深化保交楼专项行动，防范化解房地产领域风险。持续推进口袋公园、微景观建设，新增城市绿量，优化城市景观风貌。</w:t>
      </w:r>
    </w:p>
    <w:p w14:paraId="18EFDFC7" w14:textId="77777777" w:rsidR="00B475A4" w:rsidRDefault="00000000">
      <w:pPr>
        <w:spacing w:line="560" w:lineRule="exact"/>
        <w:ind w:firstLineChars="200" w:firstLine="643"/>
        <w:rPr>
          <w:rFonts w:ascii="Times New Roman"/>
        </w:rPr>
      </w:pPr>
      <w:r>
        <w:rPr>
          <w:rFonts w:ascii="Times New Roman"/>
          <w:b/>
          <w:bCs/>
        </w:rPr>
        <w:t>打造美丽宜居乡村。</w:t>
      </w:r>
      <w:r>
        <w:rPr>
          <w:rFonts w:ascii="Times New Roman"/>
        </w:rPr>
        <w:t>紧盯在建精品示范村、省级中心村项目建设进度和工程质量，加快新建项目前期手续办理，推动项目早开工、早竣工、早见效。完成农村公路养护提升工程</w:t>
      </w:r>
      <w:r>
        <w:rPr>
          <w:rFonts w:ascii="Times New Roman"/>
        </w:rPr>
        <w:t>15.911</w:t>
      </w:r>
      <w:r>
        <w:rPr>
          <w:rFonts w:ascii="Times New Roman"/>
        </w:rPr>
        <w:t>公里，打造安全畅通的乡村交通路网。持续压实河湖长制责任，常态化开展巡河督导、河湖</w:t>
      </w:r>
      <w:r>
        <w:rPr>
          <w:rFonts w:ascii="Times New Roman"/>
        </w:rPr>
        <w:t>“</w:t>
      </w:r>
      <w:r>
        <w:rPr>
          <w:rFonts w:ascii="Times New Roman"/>
        </w:rPr>
        <w:t>清四乱</w:t>
      </w:r>
      <w:r>
        <w:rPr>
          <w:rFonts w:ascii="Times New Roman"/>
        </w:rPr>
        <w:t>”</w:t>
      </w:r>
      <w:r>
        <w:rPr>
          <w:rFonts w:ascii="Times New Roman"/>
        </w:rPr>
        <w:t>、排污口整治，持续改善水生态环境。深化与上游萧县联防联治，建立常态化联合巡查、联合监测机制，推动洪碱河、萧濉新河考核断面水质持续改善。规范离田秸秆堆放和畜禽粪污处置，杜绝粪污直排或渗漏入河。加快农村环境整治进度，确保</w:t>
      </w:r>
      <w:r>
        <w:rPr>
          <w:rFonts w:ascii="Times New Roman"/>
        </w:rPr>
        <w:t>2026</w:t>
      </w:r>
      <w:r>
        <w:rPr>
          <w:rFonts w:ascii="Times New Roman"/>
        </w:rPr>
        <w:t>年底前全面消除农村黑臭水体。</w:t>
      </w:r>
    </w:p>
    <w:p w14:paraId="5E9D04CF"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（五）持续推动绿色低碳转型，让生态品质更</w:t>
      </w:r>
      <w:r>
        <w:rPr>
          <w:rFonts w:ascii="Times New Roman" w:eastAsia="楷体_GB2312"/>
          <w:b/>
          <w:bCs/>
        </w:rPr>
        <w:t>“</w:t>
      </w:r>
      <w:r>
        <w:rPr>
          <w:rFonts w:ascii="Times New Roman" w:eastAsia="楷体_GB2312"/>
          <w:b/>
          <w:bCs/>
        </w:rPr>
        <w:t>精</w:t>
      </w:r>
      <w:r>
        <w:rPr>
          <w:rFonts w:ascii="Times New Roman" w:eastAsia="楷体_GB2312"/>
          <w:b/>
          <w:bCs/>
        </w:rPr>
        <w:t>”</w:t>
      </w:r>
    </w:p>
    <w:p w14:paraId="3F275FDA" w14:textId="77777777" w:rsidR="00B475A4" w:rsidRDefault="00000000">
      <w:pPr>
        <w:spacing w:line="560" w:lineRule="exact"/>
        <w:ind w:firstLineChars="200" w:firstLine="643"/>
        <w:rPr>
          <w:rFonts w:ascii="Times New Roman"/>
        </w:rPr>
      </w:pPr>
      <w:r>
        <w:rPr>
          <w:rFonts w:ascii="Times New Roman"/>
          <w:b/>
          <w:bCs/>
        </w:rPr>
        <w:t>持续提升环境质量。</w:t>
      </w:r>
      <w:r>
        <w:rPr>
          <w:rFonts w:ascii="Times New Roman"/>
        </w:rPr>
        <w:t>严格落实重点区域</w:t>
      </w:r>
      <w:r>
        <w:rPr>
          <w:rFonts w:ascii="Times New Roman"/>
        </w:rPr>
        <w:t>“</w:t>
      </w:r>
      <w:r>
        <w:rPr>
          <w:rFonts w:ascii="Times New Roman"/>
        </w:rPr>
        <w:t>一站一策</w:t>
      </w:r>
      <w:r>
        <w:rPr>
          <w:rFonts w:ascii="Times New Roman"/>
        </w:rPr>
        <w:t>”</w:t>
      </w:r>
      <w:r>
        <w:rPr>
          <w:rFonts w:ascii="Times New Roman"/>
        </w:rPr>
        <w:t>治理方案，提升污染源精细化管控水平。深化餐饮油烟治理，严厉查处未安装、不运行、直排偷排及露天烧烤行为。协同推进臭氧污染治理，督促重点</w:t>
      </w:r>
      <w:r>
        <w:rPr>
          <w:rFonts w:ascii="Times New Roman"/>
        </w:rPr>
        <w:t>VOCs</w:t>
      </w:r>
      <w:r>
        <w:rPr>
          <w:rFonts w:ascii="Times New Roman"/>
        </w:rPr>
        <w:t>排放企业及时更换符合要求的活性炭，切实减少臭氧污染，</w:t>
      </w:r>
      <w:r>
        <w:rPr>
          <w:rFonts w:ascii="Times New Roman"/>
          <w:color w:val="000000"/>
        </w:rPr>
        <w:t>确保完成省下达考核目标任务</w:t>
      </w:r>
      <w:r>
        <w:rPr>
          <w:rFonts w:ascii="Times New Roman"/>
        </w:rPr>
        <w:t>。</w:t>
      </w:r>
      <w:r>
        <w:rPr>
          <w:rFonts w:ascii="Times New Roman"/>
          <w:color w:val="242424"/>
        </w:rPr>
        <w:t>常态化开展整改</w:t>
      </w:r>
      <w:r>
        <w:rPr>
          <w:rFonts w:ascii="Times New Roman"/>
          <w:color w:val="242424"/>
        </w:rPr>
        <w:t>“</w:t>
      </w:r>
      <w:r>
        <w:rPr>
          <w:rFonts w:ascii="Times New Roman"/>
          <w:color w:val="242424"/>
        </w:rPr>
        <w:t>回头看</w:t>
      </w:r>
      <w:r>
        <w:rPr>
          <w:rFonts w:ascii="Times New Roman"/>
          <w:color w:val="242424"/>
        </w:rPr>
        <w:t>”</w:t>
      </w:r>
      <w:r>
        <w:rPr>
          <w:rFonts w:ascii="Times New Roman"/>
          <w:color w:val="242424"/>
        </w:rPr>
        <w:t>，切实做好生态环境保护督察</w:t>
      </w:r>
      <w:r>
        <w:rPr>
          <w:rFonts w:ascii="Times New Roman"/>
          <w:color w:val="242424"/>
        </w:rPr>
        <w:t>“</w:t>
      </w:r>
      <w:r>
        <w:rPr>
          <w:rFonts w:ascii="Times New Roman"/>
          <w:color w:val="242424"/>
        </w:rPr>
        <w:t>后半篇文章</w:t>
      </w:r>
      <w:r>
        <w:rPr>
          <w:rFonts w:ascii="Times New Roman"/>
          <w:color w:val="242424"/>
        </w:rPr>
        <w:t>”</w:t>
      </w:r>
      <w:r>
        <w:rPr>
          <w:rFonts w:ascii="Times New Roman"/>
          <w:color w:val="242424"/>
        </w:rPr>
        <w:t>。</w:t>
      </w:r>
    </w:p>
    <w:p w14:paraId="7D6C93D8" w14:textId="77777777" w:rsidR="00B475A4" w:rsidRDefault="00000000">
      <w:pPr>
        <w:spacing w:line="560" w:lineRule="exact"/>
        <w:ind w:firstLineChars="200" w:firstLine="643"/>
        <w:rPr>
          <w:rFonts w:ascii="Times New Roman"/>
        </w:rPr>
      </w:pPr>
      <w:r>
        <w:rPr>
          <w:rFonts w:ascii="Times New Roman"/>
          <w:b/>
          <w:bCs/>
        </w:rPr>
        <w:t>深化绿色低碳发展。</w:t>
      </w:r>
      <w:r>
        <w:rPr>
          <w:rFonts w:ascii="Times New Roman"/>
        </w:rPr>
        <w:t>加快推动全面绿色转型，以碳达峰碳中和为牵引，协同推进降碳、减污、扩绿、增长，增强绿色发展动</w:t>
      </w:r>
      <w:r>
        <w:rPr>
          <w:rFonts w:ascii="Times New Roman"/>
        </w:rPr>
        <w:lastRenderedPageBreak/>
        <w:t>能。加强重点领域、重点企业能耗监控，把好源头审批关，严控</w:t>
      </w:r>
      <w:r>
        <w:rPr>
          <w:rFonts w:ascii="Times New Roman"/>
        </w:rPr>
        <w:t>“</w:t>
      </w:r>
      <w:r>
        <w:rPr>
          <w:rFonts w:ascii="Times New Roman"/>
        </w:rPr>
        <w:t>两高</w:t>
      </w:r>
      <w:r>
        <w:rPr>
          <w:rFonts w:ascii="Times New Roman"/>
        </w:rPr>
        <w:t>”</w:t>
      </w:r>
      <w:r>
        <w:rPr>
          <w:rFonts w:ascii="Times New Roman"/>
        </w:rPr>
        <w:t>项目准入。</w:t>
      </w:r>
      <w:r>
        <w:rPr>
          <w:rFonts w:ascii="Times New Roman"/>
          <w:color w:val="000000" w:themeColor="text1"/>
        </w:rPr>
        <w:t>推广应用节能环保新技术、新工艺、新设备，新增市级绿色工厂</w:t>
      </w:r>
      <w:r>
        <w:rPr>
          <w:rFonts w:ascii="Times New Roman"/>
          <w:color w:val="000000" w:themeColor="text1"/>
        </w:rPr>
        <w:t>2</w:t>
      </w:r>
      <w:r>
        <w:rPr>
          <w:rFonts w:ascii="Times New Roman"/>
          <w:color w:val="000000" w:themeColor="text1"/>
        </w:rPr>
        <w:t>家。</w:t>
      </w:r>
      <w:r>
        <w:rPr>
          <w:rFonts w:ascii="Times New Roman"/>
        </w:rPr>
        <w:t>深入普及绿色低碳理念，引导群众践行节能环保生活方式。</w:t>
      </w:r>
    </w:p>
    <w:p w14:paraId="7F2A089B" w14:textId="77777777" w:rsidR="00B475A4" w:rsidRDefault="00000000">
      <w:pPr>
        <w:spacing w:line="560" w:lineRule="exact"/>
        <w:ind w:firstLineChars="200" w:firstLine="643"/>
        <w:rPr>
          <w:rFonts w:ascii="Times New Roman" w:eastAsia="楷体_GB2312"/>
          <w:b/>
          <w:bCs/>
        </w:rPr>
      </w:pPr>
      <w:r>
        <w:rPr>
          <w:rFonts w:ascii="Times New Roman" w:eastAsia="楷体_GB2312"/>
          <w:b/>
          <w:bCs/>
        </w:rPr>
        <w:t>（六）持续优化公共服务，让民生福祉更</w:t>
      </w:r>
      <w:r>
        <w:rPr>
          <w:rFonts w:ascii="Times New Roman" w:eastAsia="楷体_GB2312"/>
          <w:b/>
          <w:bCs/>
        </w:rPr>
        <w:t>“</w:t>
      </w:r>
      <w:r>
        <w:rPr>
          <w:rFonts w:ascii="Times New Roman" w:eastAsia="楷体_GB2312"/>
          <w:b/>
          <w:bCs/>
        </w:rPr>
        <w:t>实</w:t>
      </w:r>
      <w:r>
        <w:rPr>
          <w:rFonts w:ascii="Times New Roman" w:eastAsia="楷体_GB2312"/>
          <w:b/>
          <w:bCs/>
        </w:rPr>
        <w:t>”</w:t>
      </w:r>
    </w:p>
    <w:p w14:paraId="686E4DA7" w14:textId="77777777" w:rsidR="00B475A4" w:rsidRDefault="00000000">
      <w:pPr>
        <w:spacing w:line="560" w:lineRule="exact"/>
        <w:ind w:firstLineChars="200" w:firstLine="643"/>
        <w:rPr>
          <w:rFonts w:ascii="Times New Roman"/>
        </w:rPr>
      </w:pPr>
      <w:r>
        <w:rPr>
          <w:rFonts w:ascii="Times New Roman"/>
          <w:b/>
          <w:bCs/>
        </w:rPr>
        <w:t>全心增进民生福祉。</w:t>
      </w:r>
      <w:r>
        <w:rPr>
          <w:rFonts w:ascii="Times New Roman"/>
        </w:rPr>
        <w:t>聚焦高校毕业生、农民工、就业困难人员分类开展专项帮扶，扩大精准化技能培训供给。持续实施全民参保攻坚，靶向动员灵活就业、新业态从业人员参保，全年完成企业职工基本养老保险参保人数</w:t>
      </w:r>
      <w:r>
        <w:rPr>
          <w:rFonts w:ascii="Times New Roman"/>
        </w:rPr>
        <w:t>9.45</w:t>
      </w:r>
      <w:r>
        <w:rPr>
          <w:rFonts w:ascii="Times New Roman"/>
        </w:rPr>
        <w:t>万人，城乡居民养老保险参保人数</w:t>
      </w:r>
      <w:r>
        <w:rPr>
          <w:rFonts w:ascii="Times New Roman"/>
        </w:rPr>
        <w:t>2.08</w:t>
      </w:r>
      <w:r>
        <w:rPr>
          <w:rFonts w:ascii="Times New Roman"/>
        </w:rPr>
        <w:t>万人。完成</w:t>
      </w:r>
      <w:r>
        <w:rPr>
          <w:rFonts w:ascii="Times New Roman"/>
        </w:rPr>
        <w:t>33</w:t>
      </w:r>
      <w:r>
        <w:rPr>
          <w:rFonts w:ascii="Times New Roman"/>
        </w:rPr>
        <w:t>户重度残疾人家庭无障碍改造任务。改造完成</w:t>
      </w:r>
      <w:r>
        <w:rPr>
          <w:rFonts w:ascii="Times New Roman"/>
        </w:rPr>
        <w:t>18</w:t>
      </w:r>
      <w:r>
        <w:rPr>
          <w:rFonts w:ascii="Times New Roman"/>
        </w:rPr>
        <w:t>个提升工会驿站。纵深推进紧密型城市医疗集团建设，做强特色专科，加快假设渠沟镇卫生院慢病中心，提升区域整体诊疗能力。</w:t>
      </w:r>
    </w:p>
    <w:p w14:paraId="165832FF" w14:textId="77777777" w:rsidR="00B475A4" w:rsidRDefault="00000000">
      <w:pPr>
        <w:spacing w:line="560" w:lineRule="exact"/>
        <w:ind w:firstLineChars="200" w:firstLine="643"/>
        <w:rPr>
          <w:rFonts w:ascii="Times New Roman"/>
        </w:rPr>
      </w:pPr>
      <w:r>
        <w:rPr>
          <w:rFonts w:ascii="Times New Roman"/>
          <w:b/>
          <w:bCs/>
        </w:rPr>
        <w:t>全力健全公共服务。</w:t>
      </w:r>
      <w:r>
        <w:rPr>
          <w:rFonts w:ascii="Times New Roman"/>
        </w:rPr>
        <w:t>巩固国家学前教育普及普惠创建成果，持续提升普惠幼教服务质量。完成</w:t>
      </w:r>
      <w:r>
        <w:rPr>
          <w:rFonts w:ascii="Times New Roman"/>
        </w:rPr>
        <w:t>5</w:t>
      </w:r>
      <w:r>
        <w:rPr>
          <w:rFonts w:ascii="Times New Roman"/>
        </w:rPr>
        <w:t>个新建校共体组建，实现校共体建设全域覆盖。依托九一〇学校优质资源在朝阳小学增设初中部，以名校辐射带动薄弱校提质。任圩街道余庄社区、南黎街道学院社区嵌入式养老综合体年底前投入运营。立足相山本土生态、工业、运河文化特色，落地</w:t>
      </w:r>
      <w:r>
        <w:rPr>
          <w:rFonts w:ascii="Times New Roman"/>
        </w:rPr>
        <w:t>“</w:t>
      </w:r>
      <w:r>
        <w:rPr>
          <w:rFonts w:ascii="Times New Roman"/>
        </w:rPr>
        <w:t>相山好物</w:t>
      </w:r>
      <w:r>
        <w:rPr>
          <w:rFonts w:ascii="Times New Roman"/>
        </w:rPr>
        <w:t>”</w:t>
      </w:r>
      <w:r>
        <w:rPr>
          <w:rFonts w:ascii="Times New Roman"/>
        </w:rPr>
        <w:t>文旅</w:t>
      </w:r>
      <w:r>
        <w:rPr>
          <w:rFonts w:ascii="Times New Roman"/>
        </w:rPr>
        <w:t>IP</w:t>
      </w:r>
      <w:r>
        <w:rPr>
          <w:rFonts w:ascii="Times New Roman"/>
        </w:rPr>
        <w:t>。深挖</w:t>
      </w:r>
      <w:r>
        <w:rPr>
          <w:rFonts w:ascii="Times New Roman"/>
        </w:rPr>
        <w:t>“</w:t>
      </w:r>
      <w:r>
        <w:rPr>
          <w:rFonts w:ascii="Times New Roman"/>
        </w:rPr>
        <w:t>赛事</w:t>
      </w:r>
      <w:r>
        <w:rPr>
          <w:rFonts w:ascii="Times New Roman"/>
        </w:rPr>
        <w:t>+</w:t>
      </w:r>
      <w:r>
        <w:rPr>
          <w:rFonts w:ascii="Times New Roman"/>
        </w:rPr>
        <w:t>文旅</w:t>
      </w:r>
      <w:r>
        <w:rPr>
          <w:rFonts w:ascii="Times New Roman"/>
        </w:rPr>
        <w:t>”</w:t>
      </w:r>
      <w:r>
        <w:rPr>
          <w:rFonts w:ascii="Times New Roman"/>
        </w:rPr>
        <w:t>融合消费潜力，全力建设皖北承接长三角体育休闲产业桥头堡。深化</w:t>
      </w:r>
      <w:r>
        <w:rPr>
          <w:rFonts w:ascii="Times New Roman"/>
        </w:rPr>
        <w:t>“</w:t>
      </w:r>
      <w:r>
        <w:rPr>
          <w:rFonts w:ascii="Times New Roman"/>
        </w:rPr>
        <w:t>赛事</w:t>
      </w:r>
      <w:r>
        <w:rPr>
          <w:rFonts w:ascii="Times New Roman"/>
        </w:rPr>
        <w:t>+”</w:t>
      </w:r>
      <w:r>
        <w:rPr>
          <w:rFonts w:ascii="Times New Roman"/>
        </w:rPr>
        <w:t>融合模式，持续做优</w:t>
      </w:r>
      <w:r>
        <w:rPr>
          <w:rFonts w:ascii="Times New Roman"/>
        </w:rPr>
        <w:t>“</w:t>
      </w:r>
      <w:r>
        <w:rPr>
          <w:rFonts w:ascii="Times New Roman"/>
        </w:rPr>
        <w:t>跟着赛事去旅行</w:t>
      </w:r>
      <w:r>
        <w:rPr>
          <w:rFonts w:ascii="Times New Roman"/>
        </w:rPr>
        <w:t>”</w:t>
      </w:r>
      <w:r>
        <w:rPr>
          <w:rFonts w:ascii="Times New Roman"/>
        </w:rPr>
        <w:t>特色品牌，持续拉动文旅消费提质升级。</w:t>
      </w:r>
    </w:p>
    <w:p w14:paraId="485FA2AC" w14:textId="77777777" w:rsidR="00B475A4" w:rsidRDefault="00000000">
      <w:pPr>
        <w:spacing w:line="560" w:lineRule="exact"/>
        <w:ind w:firstLineChars="200" w:firstLine="643"/>
        <w:jc w:val="left"/>
        <w:rPr>
          <w:rFonts w:ascii="Times New Roman"/>
        </w:rPr>
      </w:pPr>
      <w:r>
        <w:rPr>
          <w:rFonts w:ascii="Times New Roman"/>
          <w:b/>
          <w:bCs/>
        </w:rPr>
        <w:lastRenderedPageBreak/>
        <w:t>全面加强社会治理。</w:t>
      </w:r>
      <w:r>
        <w:rPr>
          <w:rFonts w:ascii="Times New Roman"/>
        </w:rPr>
        <w:t>全方位防范化解各类风险隐患。加强进京访登记新规形势的研判与应对，推动积案实体化解、动态清零，确保完成</w:t>
      </w:r>
      <w:r>
        <w:rPr>
          <w:rFonts w:ascii="Times New Roman"/>
        </w:rPr>
        <w:t>“</w:t>
      </w:r>
      <w:r>
        <w:rPr>
          <w:rFonts w:ascii="Times New Roman"/>
        </w:rPr>
        <w:t>进京访年内较大幅度下降，民生领域信访数量特别是重复信访数量明显下降</w:t>
      </w:r>
      <w:r>
        <w:rPr>
          <w:rFonts w:ascii="Times New Roman"/>
        </w:rPr>
        <w:t>”</w:t>
      </w:r>
      <w:r>
        <w:rPr>
          <w:rFonts w:ascii="Times New Roman"/>
        </w:rPr>
        <w:t>目标任务。开展寄递物流、出租屋、校园、安全生产、燃气消防专项联合整治，常态化排查非法集资、网贷、电诈等金融风险，严防风险外溢蔓延。深挖彻查涉黑涉恶线索，依法从严打击各类违法犯罪行为。</w:t>
      </w:r>
    </w:p>
    <w:p w14:paraId="1C632306" w14:textId="77777777" w:rsidR="00B475A4" w:rsidRDefault="00B475A4">
      <w:pPr>
        <w:spacing w:line="560" w:lineRule="exact"/>
        <w:ind w:firstLineChars="200" w:firstLine="640"/>
        <w:jc w:val="left"/>
        <w:rPr>
          <w:rFonts w:ascii="Times New Roman"/>
        </w:rPr>
      </w:pPr>
    </w:p>
    <w:p w14:paraId="6A21E68F" w14:textId="77777777" w:rsidR="00B475A4" w:rsidRDefault="00B475A4">
      <w:pPr>
        <w:spacing w:line="560" w:lineRule="exact"/>
        <w:ind w:firstLineChars="200" w:firstLine="640"/>
        <w:jc w:val="left"/>
        <w:rPr>
          <w:rFonts w:ascii="Times New Roman"/>
        </w:rPr>
      </w:pPr>
    </w:p>
    <w:p w14:paraId="5F971596" w14:textId="77777777" w:rsidR="00B475A4" w:rsidRDefault="00000000">
      <w:pPr>
        <w:spacing w:line="560" w:lineRule="exact"/>
        <w:rPr>
          <w:rFonts w:ascii="Times New Roman"/>
        </w:rPr>
        <w:sectPr w:rsidR="00B475A4">
          <w:footerReference w:type="even" r:id="rId8"/>
          <w:footerReference w:type="default" r:id="rId9"/>
          <w:pgSz w:w="11906" w:h="16838"/>
          <w:pgMar w:top="2098" w:right="1474" w:bottom="1984" w:left="1588" w:header="851" w:footer="1361" w:gutter="0"/>
          <w:cols w:space="720"/>
          <w:docGrid w:type="lines" w:linePitch="312"/>
        </w:sectPr>
      </w:pPr>
      <w:r>
        <w:rPr>
          <w:rFonts w:ascii="Times New Roman"/>
        </w:rPr>
        <w:t>附件：相山区</w:t>
      </w:r>
      <w:r>
        <w:rPr>
          <w:rFonts w:ascii="Times New Roman"/>
        </w:rPr>
        <w:t>2026</w:t>
      </w:r>
      <w:r>
        <w:rPr>
          <w:rFonts w:ascii="Times New Roman"/>
        </w:rPr>
        <w:t>年</w:t>
      </w:r>
      <w:r>
        <w:rPr>
          <w:rFonts w:ascii="Times New Roman"/>
        </w:rPr>
        <w:t>1-6</w:t>
      </w:r>
      <w:r>
        <w:rPr>
          <w:rFonts w:ascii="Times New Roman"/>
        </w:rPr>
        <w:t>月主要经济指标对比</w:t>
      </w:r>
    </w:p>
    <w:p w14:paraId="53C2E676" w14:textId="77777777" w:rsidR="00B475A4" w:rsidRDefault="00000000">
      <w:pPr>
        <w:widowControl/>
        <w:spacing w:line="560" w:lineRule="exact"/>
        <w:textAlignment w:val="baseline"/>
        <w:rPr>
          <w:rFonts w:ascii="Times New Roman" w:eastAsia="方正小标宋简体"/>
          <w:sz w:val="36"/>
          <w:szCs w:val="36"/>
        </w:rPr>
      </w:pPr>
      <w:r>
        <w:rPr>
          <w:rFonts w:ascii="Times New Roman" w:eastAsia="方正小标宋简体"/>
          <w:sz w:val="36"/>
          <w:szCs w:val="36"/>
        </w:rPr>
        <w:lastRenderedPageBreak/>
        <w:t>附件</w:t>
      </w:r>
    </w:p>
    <w:p w14:paraId="02766835" w14:textId="77777777" w:rsidR="00B475A4" w:rsidRDefault="00000000">
      <w:pPr>
        <w:widowControl/>
        <w:spacing w:line="560" w:lineRule="exact"/>
        <w:jc w:val="center"/>
        <w:textAlignment w:val="baseline"/>
        <w:rPr>
          <w:rFonts w:ascii="Times New Roman" w:eastAsia="方正小标宋简体"/>
          <w:b/>
          <w:bCs/>
          <w:sz w:val="36"/>
          <w:szCs w:val="36"/>
        </w:rPr>
      </w:pPr>
      <w:r>
        <w:rPr>
          <w:rFonts w:ascii="Times New Roman" w:eastAsia="方正小标宋简体"/>
          <w:b/>
          <w:bCs/>
          <w:sz w:val="36"/>
          <w:szCs w:val="36"/>
        </w:rPr>
        <w:t>相山区</w:t>
      </w:r>
      <w:r>
        <w:rPr>
          <w:rFonts w:ascii="Times New Roman" w:eastAsia="方正小标宋简体"/>
          <w:b/>
          <w:bCs/>
          <w:sz w:val="36"/>
          <w:szCs w:val="36"/>
        </w:rPr>
        <w:t>2026</w:t>
      </w:r>
      <w:r>
        <w:rPr>
          <w:rFonts w:ascii="Times New Roman" w:eastAsia="方正小标宋简体"/>
          <w:b/>
          <w:bCs/>
          <w:sz w:val="36"/>
          <w:szCs w:val="36"/>
        </w:rPr>
        <w:t>年</w:t>
      </w:r>
      <w:r>
        <w:rPr>
          <w:rFonts w:ascii="Times New Roman" w:eastAsia="方正小标宋简体"/>
          <w:b/>
          <w:bCs/>
          <w:sz w:val="36"/>
          <w:szCs w:val="36"/>
        </w:rPr>
        <w:t>1-6</w:t>
      </w:r>
      <w:r>
        <w:rPr>
          <w:rFonts w:ascii="Times New Roman" w:eastAsia="方正小标宋简体"/>
          <w:b/>
          <w:bCs/>
          <w:sz w:val="36"/>
          <w:szCs w:val="36"/>
        </w:rPr>
        <w:t>月主要经济指标对比（</w:t>
      </w:r>
      <w:r>
        <w:rPr>
          <w:rFonts w:ascii="Times New Roman" w:eastAsia="方正小标宋简体"/>
          <w:b/>
          <w:bCs/>
          <w:sz w:val="36"/>
          <w:szCs w:val="36"/>
        </w:rPr>
        <w:t>%</w:t>
      </w:r>
      <w:r>
        <w:rPr>
          <w:rFonts w:ascii="Times New Roman" w:eastAsia="方正小标宋简体"/>
          <w:b/>
          <w:bCs/>
          <w:sz w:val="36"/>
          <w:szCs w:val="36"/>
        </w:rPr>
        <w:t>）</w:t>
      </w:r>
    </w:p>
    <w:tbl>
      <w:tblPr>
        <w:tblStyle w:val="a8"/>
        <w:tblW w:w="15276" w:type="dxa"/>
        <w:jc w:val="center"/>
        <w:tblLook w:val="04A0" w:firstRow="1" w:lastRow="0" w:firstColumn="1" w:lastColumn="0" w:noHBand="0" w:noVBand="1"/>
      </w:tblPr>
      <w:tblGrid>
        <w:gridCol w:w="3359"/>
        <w:gridCol w:w="1404"/>
        <w:gridCol w:w="1320"/>
        <w:gridCol w:w="1286"/>
        <w:gridCol w:w="1278"/>
        <w:gridCol w:w="1241"/>
        <w:gridCol w:w="1241"/>
        <w:gridCol w:w="1348"/>
        <w:gridCol w:w="1560"/>
        <w:gridCol w:w="1239"/>
      </w:tblGrid>
      <w:tr w:rsidR="00B475A4" w14:paraId="7BAB0FD4" w14:textId="77777777">
        <w:trPr>
          <w:trHeight w:hRule="exact" w:val="1010"/>
          <w:tblHeader/>
          <w:jc w:val="center"/>
        </w:trPr>
        <w:tc>
          <w:tcPr>
            <w:tcW w:w="3359" w:type="dxa"/>
            <w:tcBorders>
              <w:left w:val="nil"/>
            </w:tcBorders>
            <w:vAlign w:val="center"/>
          </w:tcPr>
          <w:p w14:paraId="79EAC92D" w14:textId="77777777" w:rsidR="00B475A4" w:rsidRDefault="00000000">
            <w:pPr>
              <w:spacing w:line="560" w:lineRule="exact"/>
              <w:ind w:firstLineChars="300" w:firstLine="843"/>
              <w:rPr>
                <w:rFonts w:ascii="Times New Roman"/>
              </w:rPr>
            </w:pPr>
            <w:r>
              <w:rPr>
                <w:rFonts w:ascii="Times New Roman" w:eastAsia="宋体"/>
                <w:b/>
                <w:bCs/>
                <w:kern w:val="0"/>
                <w:sz w:val="28"/>
                <w:szCs w:val="28"/>
              </w:rPr>
              <w:t>指标名称</w:t>
            </w:r>
          </w:p>
        </w:tc>
        <w:tc>
          <w:tcPr>
            <w:tcW w:w="1404" w:type="dxa"/>
            <w:vAlign w:val="center"/>
          </w:tcPr>
          <w:p w14:paraId="6D9F5B75"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相山区</w:t>
            </w:r>
          </w:p>
        </w:tc>
        <w:tc>
          <w:tcPr>
            <w:tcW w:w="1320" w:type="dxa"/>
            <w:vAlign w:val="center"/>
          </w:tcPr>
          <w:p w14:paraId="0AFB0AF2"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杜集区</w:t>
            </w:r>
          </w:p>
        </w:tc>
        <w:tc>
          <w:tcPr>
            <w:tcW w:w="1286" w:type="dxa"/>
            <w:vAlign w:val="center"/>
          </w:tcPr>
          <w:p w14:paraId="11E2ADA6"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烈山区</w:t>
            </w:r>
          </w:p>
        </w:tc>
        <w:tc>
          <w:tcPr>
            <w:tcW w:w="1278" w:type="dxa"/>
            <w:vAlign w:val="center"/>
          </w:tcPr>
          <w:p w14:paraId="13566AFA"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濉溪县</w:t>
            </w:r>
          </w:p>
        </w:tc>
        <w:tc>
          <w:tcPr>
            <w:tcW w:w="1241" w:type="dxa"/>
            <w:vAlign w:val="center"/>
          </w:tcPr>
          <w:p w14:paraId="4E61DFB8"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全市</w:t>
            </w:r>
          </w:p>
        </w:tc>
        <w:tc>
          <w:tcPr>
            <w:tcW w:w="1241" w:type="dxa"/>
            <w:vAlign w:val="center"/>
          </w:tcPr>
          <w:p w14:paraId="6A766A76"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全省</w:t>
            </w:r>
          </w:p>
        </w:tc>
        <w:tc>
          <w:tcPr>
            <w:tcW w:w="1348" w:type="dxa"/>
            <w:vAlign w:val="center"/>
          </w:tcPr>
          <w:p w14:paraId="193DB49F"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全国</w:t>
            </w:r>
          </w:p>
        </w:tc>
        <w:tc>
          <w:tcPr>
            <w:tcW w:w="1560" w:type="dxa"/>
            <w:vAlign w:val="center"/>
          </w:tcPr>
          <w:p w14:paraId="1DF06911"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三区一县位次</w:t>
            </w:r>
          </w:p>
        </w:tc>
        <w:tc>
          <w:tcPr>
            <w:tcW w:w="1239" w:type="dxa"/>
            <w:tcBorders>
              <w:right w:val="nil"/>
            </w:tcBorders>
            <w:vAlign w:val="center"/>
          </w:tcPr>
          <w:p w14:paraId="11FFF6D1" w14:textId="77777777" w:rsidR="00B475A4" w:rsidRDefault="00000000">
            <w:pPr>
              <w:spacing w:line="560" w:lineRule="exact"/>
              <w:jc w:val="center"/>
              <w:textAlignment w:val="center"/>
              <w:rPr>
                <w:rFonts w:ascii="Times New Roman" w:eastAsia="宋体"/>
                <w:b/>
                <w:bCs/>
                <w:kern w:val="0"/>
                <w:sz w:val="28"/>
                <w:szCs w:val="28"/>
              </w:rPr>
            </w:pPr>
            <w:r>
              <w:rPr>
                <w:rFonts w:ascii="Times New Roman" w:eastAsia="宋体"/>
                <w:b/>
                <w:bCs/>
                <w:kern w:val="0"/>
                <w:sz w:val="28"/>
                <w:szCs w:val="28"/>
              </w:rPr>
              <w:t>三区</w:t>
            </w:r>
          </w:p>
          <w:p w14:paraId="43402852" w14:textId="77777777" w:rsidR="00B475A4" w:rsidRDefault="00000000">
            <w:pPr>
              <w:spacing w:line="560" w:lineRule="exact"/>
              <w:jc w:val="center"/>
              <w:textAlignment w:val="center"/>
              <w:rPr>
                <w:rFonts w:ascii="Times New Roman"/>
              </w:rPr>
            </w:pPr>
            <w:r>
              <w:rPr>
                <w:rFonts w:ascii="Times New Roman" w:eastAsia="宋体"/>
                <w:b/>
                <w:bCs/>
                <w:kern w:val="0"/>
                <w:sz w:val="28"/>
                <w:szCs w:val="28"/>
              </w:rPr>
              <w:t>位次</w:t>
            </w:r>
          </w:p>
        </w:tc>
      </w:tr>
      <w:tr w:rsidR="00B475A4" w14:paraId="2949B74F" w14:textId="77777777">
        <w:trPr>
          <w:trHeight w:hRule="exact" w:val="680"/>
          <w:jc w:val="center"/>
        </w:trPr>
        <w:tc>
          <w:tcPr>
            <w:tcW w:w="3359" w:type="dxa"/>
            <w:tcBorders>
              <w:left w:val="nil"/>
            </w:tcBorders>
            <w:vAlign w:val="center"/>
          </w:tcPr>
          <w:p w14:paraId="534C621C" w14:textId="77777777" w:rsidR="00B475A4" w:rsidRDefault="00000000">
            <w:pPr>
              <w:widowControl/>
              <w:spacing w:line="560" w:lineRule="exact"/>
              <w:ind w:firstLineChars="400" w:firstLine="1120"/>
              <w:textAlignment w:val="center"/>
              <w:rPr>
                <w:rFonts w:ascii="Times New Roman" w:eastAsia="宋体"/>
              </w:rPr>
            </w:pPr>
            <w:r>
              <w:rPr>
                <w:rFonts w:ascii="Times New Roman" w:eastAsia="宋体"/>
                <w:kern w:val="0"/>
                <w:sz w:val="28"/>
                <w:szCs w:val="28"/>
              </w:rPr>
              <w:t>GDP</w:t>
            </w:r>
          </w:p>
        </w:tc>
        <w:tc>
          <w:tcPr>
            <w:tcW w:w="1404" w:type="dxa"/>
            <w:vAlign w:val="center"/>
          </w:tcPr>
          <w:p w14:paraId="47EFBE0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rPr>
              <w:t>2.8</w:t>
            </w:r>
          </w:p>
        </w:tc>
        <w:tc>
          <w:tcPr>
            <w:tcW w:w="1320" w:type="dxa"/>
            <w:vAlign w:val="center"/>
          </w:tcPr>
          <w:p w14:paraId="34C945B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0.3</w:t>
            </w:r>
          </w:p>
        </w:tc>
        <w:tc>
          <w:tcPr>
            <w:tcW w:w="1286" w:type="dxa"/>
            <w:vAlign w:val="center"/>
          </w:tcPr>
          <w:p w14:paraId="33D6708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6.5</w:t>
            </w:r>
          </w:p>
        </w:tc>
        <w:tc>
          <w:tcPr>
            <w:tcW w:w="1278" w:type="dxa"/>
            <w:vAlign w:val="center"/>
          </w:tcPr>
          <w:p w14:paraId="40B52ED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4.1</w:t>
            </w:r>
          </w:p>
        </w:tc>
        <w:tc>
          <w:tcPr>
            <w:tcW w:w="1241" w:type="dxa"/>
            <w:vAlign w:val="center"/>
          </w:tcPr>
          <w:p w14:paraId="56D6AF1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3.5</w:t>
            </w:r>
          </w:p>
        </w:tc>
        <w:tc>
          <w:tcPr>
            <w:tcW w:w="1241" w:type="dxa"/>
            <w:vAlign w:val="center"/>
          </w:tcPr>
          <w:p w14:paraId="768C941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5.6</w:t>
            </w:r>
          </w:p>
        </w:tc>
        <w:tc>
          <w:tcPr>
            <w:tcW w:w="1348" w:type="dxa"/>
            <w:vAlign w:val="center"/>
          </w:tcPr>
          <w:p w14:paraId="301A8BE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4.7</w:t>
            </w:r>
          </w:p>
        </w:tc>
        <w:tc>
          <w:tcPr>
            <w:tcW w:w="1560" w:type="dxa"/>
            <w:vAlign w:val="center"/>
          </w:tcPr>
          <w:p w14:paraId="0EB1FEC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c>
          <w:tcPr>
            <w:tcW w:w="1239" w:type="dxa"/>
            <w:tcBorders>
              <w:right w:val="nil"/>
            </w:tcBorders>
            <w:vAlign w:val="center"/>
          </w:tcPr>
          <w:p w14:paraId="73F4294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3EC82349" w14:textId="77777777">
        <w:trPr>
          <w:trHeight w:hRule="exact" w:val="680"/>
          <w:jc w:val="center"/>
        </w:trPr>
        <w:tc>
          <w:tcPr>
            <w:tcW w:w="3359" w:type="dxa"/>
            <w:tcBorders>
              <w:left w:val="nil"/>
            </w:tcBorders>
            <w:vAlign w:val="center"/>
          </w:tcPr>
          <w:p w14:paraId="38AE948C" w14:textId="77777777" w:rsidR="00B475A4" w:rsidRDefault="00000000">
            <w:pPr>
              <w:widowControl/>
              <w:spacing w:line="560" w:lineRule="exact"/>
              <w:jc w:val="center"/>
              <w:textAlignment w:val="center"/>
              <w:rPr>
                <w:rFonts w:ascii="Times New Roman"/>
              </w:rPr>
            </w:pPr>
            <w:bookmarkStart w:id="1" w:name="OLE_LINK1" w:colFirst="1" w:colLast="1"/>
            <w:r>
              <w:rPr>
                <w:rFonts w:ascii="Times New Roman" w:eastAsia="宋体"/>
                <w:kern w:val="0"/>
                <w:sz w:val="28"/>
                <w:szCs w:val="28"/>
              </w:rPr>
              <w:t>规上工业增加值</w:t>
            </w:r>
          </w:p>
        </w:tc>
        <w:tc>
          <w:tcPr>
            <w:tcW w:w="1404" w:type="dxa"/>
            <w:vAlign w:val="center"/>
          </w:tcPr>
          <w:p w14:paraId="41E90246"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5.2</w:t>
            </w:r>
          </w:p>
        </w:tc>
        <w:tc>
          <w:tcPr>
            <w:tcW w:w="1320" w:type="dxa"/>
            <w:vAlign w:val="center"/>
          </w:tcPr>
          <w:p w14:paraId="464503B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-19.8</w:t>
            </w:r>
          </w:p>
        </w:tc>
        <w:tc>
          <w:tcPr>
            <w:tcW w:w="1286" w:type="dxa"/>
            <w:vAlign w:val="center"/>
          </w:tcPr>
          <w:p w14:paraId="66EB085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10.3</w:t>
            </w:r>
          </w:p>
        </w:tc>
        <w:tc>
          <w:tcPr>
            <w:tcW w:w="1278" w:type="dxa"/>
            <w:vAlign w:val="center"/>
          </w:tcPr>
          <w:p w14:paraId="36CABCF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1.8</w:t>
            </w:r>
          </w:p>
        </w:tc>
        <w:tc>
          <w:tcPr>
            <w:tcW w:w="1241" w:type="dxa"/>
            <w:vAlign w:val="center"/>
          </w:tcPr>
          <w:p w14:paraId="345406D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4.2</w:t>
            </w:r>
          </w:p>
        </w:tc>
        <w:tc>
          <w:tcPr>
            <w:tcW w:w="1241" w:type="dxa"/>
            <w:vAlign w:val="center"/>
          </w:tcPr>
          <w:p w14:paraId="48C29F8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12.4</w:t>
            </w:r>
          </w:p>
        </w:tc>
        <w:tc>
          <w:tcPr>
            <w:tcW w:w="1348" w:type="dxa"/>
            <w:vAlign w:val="center"/>
          </w:tcPr>
          <w:p w14:paraId="3587424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5.4</w:t>
            </w:r>
          </w:p>
        </w:tc>
        <w:tc>
          <w:tcPr>
            <w:tcW w:w="1560" w:type="dxa"/>
            <w:vAlign w:val="center"/>
          </w:tcPr>
          <w:p w14:paraId="7D2EF06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c>
          <w:tcPr>
            <w:tcW w:w="1239" w:type="dxa"/>
            <w:tcBorders>
              <w:right w:val="nil"/>
            </w:tcBorders>
            <w:vAlign w:val="center"/>
          </w:tcPr>
          <w:p w14:paraId="42DE84B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6FA91A59" w14:textId="77777777">
        <w:trPr>
          <w:trHeight w:hRule="exact" w:val="680"/>
          <w:jc w:val="center"/>
        </w:trPr>
        <w:tc>
          <w:tcPr>
            <w:tcW w:w="3359" w:type="dxa"/>
            <w:tcBorders>
              <w:left w:val="nil"/>
            </w:tcBorders>
            <w:vAlign w:val="center"/>
          </w:tcPr>
          <w:p w14:paraId="1DFD6D13" w14:textId="77777777" w:rsidR="00B475A4" w:rsidRDefault="00000000">
            <w:pPr>
              <w:widowControl/>
              <w:spacing w:line="560" w:lineRule="exact"/>
              <w:jc w:val="center"/>
              <w:textAlignment w:val="center"/>
              <w:rPr>
                <w:rFonts w:ascii="Times New Roman"/>
              </w:rPr>
            </w:pPr>
            <w:r>
              <w:rPr>
                <w:rFonts w:ascii="Times New Roman" w:eastAsia="宋体"/>
                <w:kern w:val="0"/>
                <w:sz w:val="28"/>
                <w:szCs w:val="28"/>
              </w:rPr>
              <w:t>高技术制造业增加值</w:t>
            </w:r>
          </w:p>
        </w:tc>
        <w:tc>
          <w:tcPr>
            <w:tcW w:w="1404" w:type="dxa"/>
            <w:vAlign w:val="center"/>
          </w:tcPr>
          <w:p w14:paraId="36D690DF"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-13.4</w:t>
            </w:r>
          </w:p>
        </w:tc>
        <w:tc>
          <w:tcPr>
            <w:tcW w:w="1320" w:type="dxa"/>
            <w:vAlign w:val="center"/>
          </w:tcPr>
          <w:p w14:paraId="45603D7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4.5</w:t>
            </w:r>
          </w:p>
        </w:tc>
        <w:tc>
          <w:tcPr>
            <w:tcW w:w="1286" w:type="dxa"/>
            <w:vAlign w:val="center"/>
          </w:tcPr>
          <w:p w14:paraId="59A4AFA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-57.6</w:t>
            </w:r>
          </w:p>
        </w:tc>
        <w:tc>
          <w:tcPr>
            <w:tcW w:w="1278" w:type="dxa"/>
            <w:vAlign w:val="center"/>
          </w:tcPr>
          <w:p w14:paraId="3B6210E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16.8</w:t>
            </w:r>
          </w:p>
        </w:tc>
        <w:tc>
          <w:tcPr>
            <w:tcW w:w="1241" w:type="dxa"/>
            <w:vAlign w:val="center"/>
          </w:tcPr>
          <w:p w14:paraId="62CF961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3.2</w:t>
            </w:r>
          </w:p>
        </w:tc>
        <w:tc>
          <w:tcPr>
            <w:tcW w:w="1241" w:type="dxa"/>
            <w:vAlign w:val="center"/>
          </w:tcPr>
          <w:p w14:paraId="079E747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44.6</w:t>
            </w:r>
          </w:p>
        </w:tc>
        <w:tc>
          <w:tcPr>
            <w:tcW w:w="1348" w:type="dxa"/>
            <w:vAlign w:val="center"/>
          </w:tcPr>
          <w:p w14:paraId="1BA57A3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13.3</w:t>
            </w:r>
          </w:p>
        </w:tc>
        <w:tc>
          <w:tcPr>
            <w:tcW w:w="1560" w:type="dxa"/>
            <w:vAlign w:val="center"/>
          </w:tcPr>
          <w:p w14:paraId="66980BFA"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c>
          <w:tcPr>
            <w:tcW w:w="1239" w:type="dxa"/>
            <w:tcBorders>
              <w:right w:val="nil"/>
            </w:tcBorders>
            <w:vAlign w:val="center"/>
          </w:tcPr>
          <w:p w14:paraId="7D9D229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27DF6820" w14:textId="77777777">
        <w:trPr>
          <w:trHeight w:hRule="exact" w:val="680"/>
          <w:jc w:val="center"/>
        </w:trPr>
        <w:tc>
          <w:tcPr>
            <w:tcW w:w="3359" w:type="dxa"/>
            <w:tcBorders>
              <w:left w:val="nil"/>
            </w:tcBorders>
            <w:vAlign w:val="center"/>
          </w:tcPr>
          <w:p w14:paraId="7CD90063" w14:textId="77777777" w:rsidR="00B475A4" w:rsidRDefault="00000000">
            <w:pPr>
              <w:widowControl/>
              <w:spacing w:line="560" w:lineRule="exact"/>
              <w:jc w:val="center"/>
              <w:textAlignment w:val="center"/>
              <w:rPr>
                <w:rFonts w:ascii="Times New Roman"/>
              </w:rPr>
            </w:pPr>
            <w:bookmarkStart w:id="2" w:name="OLE_LINK2" w:colFirst="5" w:colLast="8"/>
            <w:bookmarkEnd w:id="1"/>
            <w:r>
              <w:rPr>
                <w:rFonts w:ascii="Times New Roman" w:eastAsia="宋体"/>
                <w:kern w:val="0"/>
                <w:sz w:val="28"/>
                <w:szCs w:val="28"/>
              </w:rPr>
              <w:t>建筑业总产值</w:t>
            </w:r>
          </w:p>
        </w:tc>
        <w:tc>
          <w:tcPr>
            <w:tcW w:w="1404" w:type="dxa"/>
            <w:vAlign w:val="center"/>
          </w:tcPr>
          <w:p w14:paraId="26195D5B"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3.3</w:t>
            </w:r>
          </w:p>
        </w:tc>
        <w:tc>
          <w:tcPr>
            <w:tcW w:w="1320" w:type="dxa"/>
            <w:vAlign w:val="center"/>
          </w:tcPr>
          <w:p w14:paraId="181241E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-22.1</w:t>
            </w:r>
          </w:p>
        </w:tc>
        <w:tc>
          <w:tcPr>
            <w:tcW w:w="1286" w:type="dxa"/>
            <w:vAlign w:val="center"/>
          </w:tcPr>
          <w:p w14:paraId="42A3EFB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-0.5</w:t>
            </w:r>
          </w:p>
        </w:tc>
        <w:tc>
          <w:tcPr>
            <w:tcW w:w="1278" w:type="dxa"/>
            <w:vAlign w:val="center"/>
          </w:tcPr>
          <w:p w14:paraId="53D15FB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9.2</w:t>
            </w:r>
          </w:p>
        </w:tc>
        <w:tc>
          <w:tcPr>
            <w:tcW w:w="1241" w:type="dxa"/>
            <w:vAlign w:val="center"/>
          </w:tcPr>
          <w:p w14:paraId="5E4097C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-2.2</w:t>
            </w:r>
          </w:p>
        </w:tc>
        <w:tc>
          <w:tcPr>
            <w:tcW w:w="1241" w:type="dxa"/>
            <w:vAlign w:val="center"/>
          </w:tcPr>
          <w:p w14:paraId="1B1AFDF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-11.6</w:t>
            </w:r>
          </w:p>
        </w:tc>
        <w:tc>
          <w:tcPr>
            <w:tcW w:w="1348" w:type="dxa"/>
            <w:vAlign w:val="center"/>
          </w:tcPr>
          <w:p w14:paraId="32E6C11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w:t>
            </w:r>
          </w:p>
        </w:tc>
        <w:tc>
          <w:tcPr>
            <w:tcW w:w="1560" w:type="dxa"/>
            <w:vAlign w:val="center"/>
          </w:tcPr>
          <w:p w14:paraId="5E3B6FD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c>
          <w:tcPr>
            <w:tcW w:w="1239" w:type="dxa"/>
            <w:tcBorders>
              <w:right w:val="nil"/>
            </w:tcBorders>
            <w:vAlign w:val="center"/>
          </w:tcPr>
          <w:p w14:paraId="3F62D73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bookmarkEnd w:id="2"/>
      <w:tr w:rsidR="00B475A4" w14:paraId="48DD591C" w14:textId="77777777">
        <w:trPr>
          <w:trHeight w:hRule="exact" w:val="680"/>
          <w:jc w:val="center"/>
        </w:trPr>
        <w:tc>
          <w:tcPr>
            <w:tcW w:w="3359" w:type="dxa"/>
            <w:tcBorders>
              <w:left w:val="nil"/>
            </w:tcBorders>
            <w:vAlign w:val="center"/>
          </w:tcPr>
          <w:p w14:paraId="43F73D61" w14:textId="77777777" w:rsidR="00B475A4" w:rsidRDefault="00000000">
            <w:pPr>
              <w:widowControl/>
              <w:spacing w:line="560" w:lineRule="exact"/>
              <w:jc w:val="center"/>
              <w:textAlignment w:val="center"/>
              <w:rPr>
                <w:rFonts w:ascii="Times New Roman"/>
              </w:rPr>
            </w:pPr>
            <w:r>
              <w:rPr>
                <w:rFonts w:ascii="Times New Roman" w:eastAsia="宋体"/>
                <w:kern w:val="0"/>
                <w:sz w:val="28"/>
                <w:szCs w:val="28"/>
              </w:rPr>
              <w:t>固定资产投资</w:t>
            </w:r>
          </w:p>
        </w:tc>
        <w:tc>
          <w:tcPr>
            <w:tcW w:w="1404" w:type="dxa"/>
            <w:vAlign w:val="center"/>
          </w:tcPr>
          <w:p w14:paraId="04DE051C"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-8.3</w:t>
            </w:r>
          </w:p>
        </w:tc>
        <w:tc>
          <w:tcPr>
            <w:tcW w:w="1320" w:type="dxa"/>
            <w:vAlign w:val="center"/>
          </w:tcPr>
          <w:p w14:paraId="17E52A4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-18.9</w:t>
            </w:r>
          </w:p>
        </w:tc>
        <w:tc>
          <w:tcPr>
            <w:tcW w:w="1286" w:type="dxa"/>
            <w:vAlign w:val="center"/>
          </w:tcPr>
          <w:p w14:paraId="07B56CF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-25.6</w:t>
            </w:r>
          </w:p>
        </w:tc>
        <w:tc>
          <w:tcPr>
            <w:tcW w:w="1278" w:type="dxa"/>
            <w:vAlign w:val="center"/>
          </w:tcPr>
          <w:p w14:paraId="220DF9F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-13.3</w:t>
            </w:r>
          </w:p>
        </w:tc>
        <w:tc>
          <w:tcPr>
            <w:tcW w:w="1241" w:type="dxa"/>
            <w:vAlign w:val="center"/>
          </w:tcPr>
          <w:p w14:paraId="335319C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-15.4</w:t>
            </w:r>
          </w:p>
        </w:tc>
        <w:tc>
          <w:tcPr>
            <w:tcW w:w="1241" w:type="dxa"/>
            <w:vAlign w:val="center"/>
          </w:tcPr>
          <w:p w14:paraId="6D3E341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-10.8</w:t>
            </w:r>
          </w:p>
        </w:tc>
        <w:tc>
          <w:tcPr>
            <w:tcW w:w="1348" w:type="dxa"/>
            <w:vAlign w:val="center"/>
          </w:tcPr>
          <w:p w14:paraId="43E10EB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-5.7</w:t>
            </w:r>
          </w:p>
        </w:tc>
        <w:tc>
          <w:tcPr>
            <w:tcW w:w="1560" w:type="dxa"/>
            <w:vAlign w:val="center"/>
          </w:tcPr>
          <w:p w14:paraId="4F2CC0D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c>
          <w:tcPr>
            <w:tcW w:w="1239" w:type="dxa"/>
            <w:tcBorders>
              <w:right w:val="nil"/>
            </w:tcBorders>
            <w:vAlign w:val="center"/>
          </w:tcPr>
          <w:p w14:paraId="2BF7A0C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tr w:rsidR="00B475A4" w14:paraId="10EFDA76" w14:textId="77777777">
        <w:trPr>
          <w:trHeight w:hRule="exact" w:val="680"/>
          <w:jc w:val="center"/>
        </w:trPr>
        <w:tc>
          <w:tcPr>
            <w:tcW w:w="3359" w:type="dxa"/>
            <w:tcBorders>
              <w:left w:val="nil"/>
            </w:tcBorders>
            <w:vAlign w:val="center"/>
          </w:tcPr>
          <w:p w14:paraId="5E95CC02" w14:textId="77777777" w:rsidR="00B475A4" w:rsidRDefault="00000000">
            <w:pPr>
              <w:widowControl/>
              <w:spacing w:line="560" w:lineRule="exact"/>
              <w:jc w:val="center"/>
              <w:textAlignment w:val="center"/>
              <w:rPr>
                <w:rFonts w:ascii="Times New Roman"/>
              </w:rPr>
            </w:pPr>
            <w:r>
              <w:rPr>
                <w:rFonts w:ascii="Times New Roman" w:eastAsia="宋体"/>
                <w:kern w:val="0"/>
                <w:sz w:val="28"/>
                <w:szCs w:val="28"/>
              </w:rPr>
              <w:t>建安工程投资</w:t>
            </w:r>
          </w:p>
        </w:tc>
        <w:tc>
          <w:tcPr>
            <w:tcW w:w="1404" w:type="dxa"/>
            <w:vAlign w:val="center"/>
          </w:tcPr>
          <w:p w14:paraId="24EE55DA"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-17.2</w:t>
            </w:r>
          </w:p>
        </w:tc>
        <w:tc>
          <w:tcPr>
            <w:tcW w:w="1320" w:type="dxa"/>
            <w:vAlign w:val="center"/>
          </w:tcPr>
          <w:p w14:paraId="51DED4C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-23.8</w:t>
            </w:r>
          </w:p>
        </w:tc>
        <w:tc>
          <w:tcPr>
            <w:tcW w:w="1286" w:type="dxa"/>
            <w:vAlign w:val="center"/>
          </w:tcPr>
          <w:p w14:paraId="1B294D8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-16.8</w:t>
            </w:r>
          </w:p>
        </w:tc>
        <w:tc>
          <w:tcPr>
            <w:tcW w:w="1278" w:type="dxa"/>
            <w:vAlign w:val="center"/>
          </w:tcPr>
          <w:p w14:paraId="519E3C6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-11.2</w:t>
            </w:r>
          </w:p>
        </w:tc>
        <w:tc>
          <w:tcPr>
            <w:tcW w:w="1241" w:type="dxa"/>
            <w:vAlign w:val="center"/>
          </w:tcPr>
          <w:p w14:paraId="6F79122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-15.8</w:t>
            </w:r>
          </w:p>
        </w:tc>
        <w:tc>
          <w:tcPr>
            <w:tcW w:w="1241" w:type="dxa"/>
            <w:vAlign w:val="center"/>
          </w:tcPr>
          <w:p w14:paraId="6CBF38F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-12.4</w:t>
            </w:r>
          </w:p>
        </w:tc>
        <w:tc>
          <w:tcPr>
            <w:tcW w:w="1348" w:type="dxa"/>
            <w:vAlign w:val="center"/>
          </w:tcPr>
          <w:p w14:paraId="0A5B0CD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-8.0</w:t>
            </w:r>
          </w:p>
        </w:tc>
        <w:tc>
          <w:tcPr>
            <w:tcW w:w="1560" w:type="dxa"/>
            <w:vAlign w:val="center"/>
          </w:tcPr>
          <w:p w14:paraId="50A38CB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c>
          <w:tcPr>
            <w:tcW w:w="1239" w:type="dxa"/>
            <w:tcBorders>
              <w:right w:val="nil"/>
            </w:tcBorders>
            <w:vAlign w:val="center"/>
          </w:tcPr>
          <w:p w14:paraId="48A7CF6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5B17CF8F" w14:textId="77777777">
        <w:trPr>
          <w:trHeight w:hRule="exact" w:val="680"/>
          <w:jc w:val="center"/>
        </w:trPr>
        <w:tc>
          <w:tcPr>
            <w:tcW w:w="3359" w:type="dxa"/>
            <w:tcBorders>
              <w:left w:val="nil"/>
            </w:tcBorders>
            <w:vAlign w:val="center"/>
          </w:tcPr>
          <w:p w14:paraId="1316E6EE" w14:textId="77777777" w:rsidR="00B475A4" w:rsidRDefault="00000000">
            <w:pPr>
              <w:widowControl/>
              <w:spacing w:line="560" w:lineRule="exact"/>
              <w:jc w:val="center"/>
              <w:textAlignment w:val="center"/>
              <w:rPr>
                <w:rFonts w:ascii="Times New Roman" w:eastAsia="宋体"/>
                <w:kern w:val="0"/>
                <w:sz w:val="28"/>
                <w:szCs w:val="28"/>
              </w:rPr>
            </w:pPr>
            <w:r>
              <w:rPr>
                <w:rFonts w:ascii="Times New Roman" w:eastAsia="宋体"/>
                <w:kern w:val="0"/>
                <w:sz w:val="28"/>
                <w:szCs w:val="28"/>
              </w:rPr>
              <w:t>制造业投资</w:t>
            </w:r>
          </w:p>
        </w:tc>
        <w:tc>
          <w:tcPr>
            <w:tcW w:w="1404" w:type="dxa"/>
            <w:vAlign w:val="center"/>
          </w:tcPr>
          <w:p w14:paraId="051C6FEA"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4.3</w:t>
            </w:r>
          </w:p>
        </w:tc>
        <w:tc>
          <w:tcPr>
            <w:tcW w:w="1320" w:type="dxa"/>
            <w:vAlign w:val="center"/>
          </w:tcPr>
          <w:p w14:paraId="341A4D4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2.6</w:t>
            </w:r>
          </w:p>
        </w:tc>
        <w:tc>
          <w:tcPr>
            <w:tcW w:w="1286" w:type="dxa"/>
            <w:vAlign w:val="center"/>
          </w:tcPr>
          <w:p w14:paraId="6B618F9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-34.7</w:t>
            </w:r>
          </w:p>
        </w:tc>
        <w:tc>
          <w:tcPr>
            <w:tcW w:w="1278" w:type="dxa"/>
            <w:vAlign w:val="center"/>
          </w:tcPr>
          <w:p w14:paraId="7DE7AB1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-8.1</w:t>
            </w:r>
          </w:p>
        </w:tc>
        <w:tc>
          <w:tcPr>
            <w:tcW w:w="1241" w:type="dxa"/>
            <w:vAlign w:val="center"/>
          </w:tcPr>
          <w:p w14:paraId="11EBBFB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-5.8</w:t>
            </w:r>
          </w:p>
        </w:tc>
        <w:tc>
          <w:tcPr>
            <w:tcW w:w="1241" w:type="dxa"/>
            <w:vAlign w:val="center"/>
          </w:tcPr>
          <w:p w14:paraId="69FE4AE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-3.9</w:t>
            </w:r>
          </w:p>
        </w:tc>
        <w:tc>
          <w:tcPr>
            <w:tcW w:w="1348" w:type="dxa"/>
            <w:vAlign w:val="center"/>
          </w:tcPr>
          <w:p w14:paraId="65F3048C"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b w:val="0"/>
                <w:bCs w:val="0"/>
              </w:rPr>
              <w:t>-1.2</w:t>
            </w:r>
          </w:p>
        </w:tc>
        <w:tc>
          <w:tcPr>
            <w:tcW w:w="1560" w:type="dxa"/>
            <w:vAlign w:val="center"/>
          </w:tcPr>
          <w:p w14:paraId="1CD1E29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c>
          <w:tcPr>
            <w:tcW w:w="1239" w:type="dxa"/>
            <w:tcBorders>
              <w:right w:val="nil"/>
            </w:tcBorders>
            <w:vAlign w:val="center"/>
          </w:tcPr>
          <w:p w14:paraId="741C5D2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tr w:rsidR="00B475A4" w14:paraId="6CF55C8F" w14:textId="77777777">
        <w:trPr>
          <w:trHeight w:hRule="exact" w:val="680"/>
          <w:jc w:val="center"/>
        </w:trPr>
        <w:tc>
          <w:tcPr>
            <w:tcW w:w="3359" w:type="dxa"/>
            <w:tcBorders>
              <w:left w:val="nil"/>
            </w:tcBorders>
            <w:vAlign w:val="center"/>
          </w:tcPr>
          <w:p w14:paraId="3E80BFC7" w14:textId="77777777" w:rsidR="00B475A4" w:rsidRDefault="00000000">
            <w:pPr>
              <w:widowControl/>
              <w:spacing w:line="560" w:lineRule="exact"/>
              <w:jc w:val="center"/>
              <w:textAlignment w:val="center"/>
              <w:rPr>
                <w:rFonts w:ascii="Times New Roman"/>
              </w:rPr>
            </w:pPr>
            <w:r>
              <w:rPr>
                <w:rFonts w:ascii="Times New Roman" w:eastAsia="宋体"/>
                <w:kern w:val="0"/>
                <w:sz w:val="28"/>
                <w:szCs w:val="28"/>
              </w:rPr>
              <w:t>工业投资</w:t>
            </w:r>
          </w:p>
        </w:tc>
        <w:tc>
          <w:tcPr>
            <w:tcW w:w="1404" w:type="dxa"/>
            <w:vAlign w:val="center"/>
          </w:tcPr>
          <w:p w14:paraId="557A421F"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7.8</w:t>
            </w:r>
          </w:p>
        </w:tc>
        <w:tc>
          <w:tcPr>
            <w:tcW w:w="1320" w:type="dxa"/>
            <w:vAlign w:val="center"/>
          </w:tcPr>
          <w:p w14:paraId="58CA6E8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-5.8</w:t>
            </w:r>
          </w:p>
        </w:tc>
        <w:tc>
          <w:tcPr>
            <w:tcW w:w="1286" w:type="dxa"/>
            <w:vAlign w:val="center"/>
          </w:tcPr>
          <w:p w14:paraId="6E09026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-35.6</w:t>
            </w:r>
          </w:p>
        </w:tc>
        <w:tc>
          <w:tcPr>
            <w:tcW w:w="1278" w:type="dxa"/>
            <w:vAlign w:val="center"/>
          </w:tcPr>
          <w:p w14:paraId="58A34BC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-23.4</w:t>
            </w:r>
          </w:p>
        </w:tc>
        <w:tc>
          <w:tcPr>
            <w:tcW w:w="1241" w:type="dxa"/>
            <w:vAlign w:val="center"/>
          </w:tcPr>
          <w:p w14:paraId="2D606B9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-17.7</w:t>
            </w:r>
          </w:p>
        </w:tc>
        <w:tc>
          <w:tcPr>
            <w:tcW w:w="1241" w:type="dxa"/>
            <w:vAlign w:val="center"/>
          </w:tcPr>
          <w:p w14:paraId="48D30D1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-6.4</w:t>
            </w:r>
          </w:p>
        </w:tc>
        <w:tc>
          <w:tcPr>
            <w:tcW w:w="1348" w:type="dxa"/>
            <w:vAlign w:val="center"/>
          </w:tcPr>
          <w:p w14:paraId="50A2C56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-1.1</w:t>
            </w:r>
          </w:p>
        </w:tc>
        <w:tc>
          <w:tcPr>
            <w:tcW w:w="1560" w:type="dxa"/>
            <w:vAlign w:val="center"/>
          </w:tcPr>
          <w:p w14:paraId="16F5F11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c>
          <w:tcPr>
            <w:tcW w:w="1239" w:type="dxa"/>
            <w:tcBorders>
              <w:right w:val="nil"/>
            </w:tcBorders>
            <w:vAlign w:val="center"/>
          </w:tcPr>
          <w:p w14:paraId="4214916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tr w:rsidR="00B475A4" w14:paraId="324CC13F" w14:textId="77777777">
        <w:trPr>
          <w:trHeight w:hRule="exact" w:val="680"/>
          <w:jc w:val="center"/>
        </w:trPr>
        <w:tc>
          <w:tcPr>
            <w:tcW w:w="3359" w:type="dxa"/>
            <w:tcBorders>
              <w:left w:val="nil"/>
            </w:tcBorders>
            <w:vAlign w:val="center"/>
          </w:tcPr>
          <w:p w14:paraId="771D79F7" w14:textId="77777777" w:rsidR="00B475A4" w:rsidRDefault="00000000">
            <w:pPr>
              <w:spacing w:line="560" w:lineRule="exact"/>
              <w:jc w:val="center"/>
              <w:textAlignment w:val="center"/>
              <w:rPr>
                <w:rFonts w:ascii="Times New Roman"/>
              </w:rPr>
            </w:pPr>
            <w:r>
              <w:rPr>
                <w:rFonts w:ascii="Times New Roman" w:eastAsia="宋体"/>
                <w:kern w:val="0"/>
                <w:sz w:val="28"/>
                <w:szCs w:val="28"/>
              </w:rPr>
              <w:lastRenderedPageBreak/>
              <w:t>技改投资</w:t>
            </w:r>
          </w:p>
        </w:tc>
        <w:tc>
          <w:tcPr>
            <w:tcW w:w="1404" w:type="dxa"/>
            <w:vAlign w:val="center"/>
          </w:tcPr>
          <w:p w14:paraId="4A869FAD"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11.2</w:t>
            </w:r>
          </w:p>
        </w:tc>
        <w:tc>
          <w:tcPr>
            <w:tcW w:w="1320" w:type="dxa"/>
            <w:vAlign w:val="center"/>
          </w:tcPr>
          <w:p w14:paraId="735F0A9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-51.0</w:t>
            </w:r>
          </w:p>
        </w:tc>
        <w:tc>
          <w:tcPr>
            <w:tcW w:w="1286" w:type="dxa"/>
            <w:vAlign w:val="center"/>
          </w:tcPr>
          <w:p w14:paraId="756CDDC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-43.7</w:t>
            </w:r>
          </w:p>
        </w:tc>
        <w:tc>
          <w:tcPr>
            <w:tcW w:w="1278" w:type="dxa"/>
            <w:vAlign w:val="center"/>
          </w:tcPr>
          <w:p w14:paraId="18B552F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-15.3</w:t>
            </w:r>
          </w:p>
        </w:tc>
        <w:tc>
          <w:tcPr>
            <w:tcW w:w="1241" w:type="dxa"/>
            <w:vAlign w:val="center"/>
          </w:tcPr>
          <w:p w14:paraId="4440A2C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-24.1</w:t>
            </w:r>
          </w:p>
        </w:tc>
        <w:tc>
          <w:tcPr>
            <w:tcW w:w="1241" w:type="dxa"/>
            <w:vAlign w:val="center"/>
          </w:tcPr>
          <w:p w14:paraId="1FFC019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-8.8</w:t>
            </w:r>
          </w:p>
        </w:tc>
        <w:tc>
          <w:tcPr>
            <w:tcW w:w="1348" w:type="dxa"/>
            <w:vAlign w:val="center"/>
          </w:tcPr>
          <w:p w14:paraId="3FF91DD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w:t>
            </w:r>
          </w:p>
        </w:tc>
        <w:tc>
          <w:tcPr>
            <w:tcW w:w="1560" w:type="dxa"/>
            <w:vAlign w:val="center"/>
          </w:tcPr>
          <w:p w14:paraId="1B00448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c>
          <w:tcPr>
            <w:tcW w:w="1239" w:type="dxa"/>
            <w:tcBorders>
              <w:right w:val="nil"/>
            </w:tcBorders>
            <w:vAlign w:val="center"/>
          </w:tcPr>
          <w:p w14:paraId="7239E8C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tr w:rsidR="00B475A4" w14:paraId="2B20FC81" w14:textId="77777777">
        <w:trPr>
          <w:trHeight w:hRule="exact" w:val="680"/>
          <w:jc w:val="center"/>
        </w:trPr>
        <w:tc>
          <w:tcPr>
            <w:tcW w:w="3359" w:type="dxa"/>
            <w:tcBorders>
              <w:left w:val="nil"/>
            </w:tcBorders>
            <w:vAlign w:val="center"/>
          </w:tcPr>
          <w:p w14:paraId="37E2AA32" w14:textId="77777777" w:rsidR="00B475A4" w:rsidRDefault="00000000">
            <w:pPr>
              <w:spacing w:line="560" w:lineRule="exact"/>
              <w:jc w:val="center"/>
              <w:textAlignment w:val="center"/>
              <w:rPr>
                <w:rFonts w:ascii="Times New Roman" w:eastAsia="宋体"/>
                <w:kern w:val="0"/>
                <w:sz w:val="28"/>
                <w:szCs w:val="28"/>
              </w:rPr>
            </w:pPr>
            <w:r>
              <w:rPr>
                <w:rFonts w:ascii="Times New Roman" w:eastAsia="宋体"/>
                <w:kern w:val="0"/>
                <w:sz w:val="28"/>
                <w:szCs w:val="28"/>
              </w:rPr>
              <w:t>基础设施投资</w:t>
            </w:r>
          </w:p>
        </w:tc>
        <w:tc>
          <w:tcPr>
            <w:tcW w:w="1404" w:type="dxa"/>
            <w:vAlign w:val="center"/>
          </w:tcPr>
          <w:p w14:paraId="3D9AE83D"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-12.9</w:t>
            </w:r>
          </w:p>
        </w:tc>
        <w:tc>
          <w:tcPr>
            <w:tcW w:w="1320" w:type="dxa"/>
            <w:vAlign w:val="center"/>
          </w:tcPr>
          <w:p w14:paraId="00AC379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-21.2</w:t>
            </w:r>
          </w:p>
        </w:tc>
        <w:tc>
          <w:tcPr>
            <w:tcW w:w="1286" w:type="dxa"/>
            <w:vAlign w:val="center"/>
          </w:tcPr>
          <w:p w14:paraId="716C6C9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36.8</w:t>
            </w:r>
          </w:p>
        </w:tc>
        <w:tc>
          <w:tcPr>
            <w:tcW w:w="1278" w:type="dxa"/>
            <w:vAlign w:val="center"/>
          </w:tcPr>
          <w:p w14:paraId="580B711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-1.6</w:t>
            </w:r>
          </w:p>
        </w:tc>
        <w:tc>
          <w:tcPr>
            <w:tcW w:w="1241" w:type="dxa"/>
            <w:vAlign w:val="center"/>
          </w:tcPr>
          <w:p w14:paraId="1EFD01EA"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-5.4</w:t>
            </w:r>
          </w:p>
        </w:tc>
        <w:tc>
          <w:tcPr>
            <w:tcW w:w="1241" w:type="dxa"/>
            <w:vAlign w:val="center"/>
          </w:tcPr>
          <w:p w14:paraId="3C0621F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0.3</w:t>
            </w:r>
          </w:p>
        </w:tc>
        <w:tc>
          <w:tcPr>
            <w:tcW w:w="1348" w:type="dxa"/>
            <w:vAlign w:val="center"/>
          </w:tcPr>
          <w:p w14:paraId="676EE92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-2.4</w:t>
            </w:r>
          </w:p>
        </w:tc>
        <w:tc>
          <w:tcPr>
            <w:tcW w:w="1560" w:type="dxa"/>
            <w:vAlign w:val="center"/>
          </w:tcPr>
          <w:p w14:paraId="2DF948F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c>
          <w:tcPr>
            <w:tcW w:w="1239" w:type="dxa"/>
            <w:tcBorders>
              <w:right w:val="nil"/>
            </w:tcBorders>
            <w:vAlign w:val="center"/>
          </w:tcPr>
          <w:p w14:paraId="651D72A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03F0D9F6" w14:textId="77777777">
        <w:trPr>
          <w:trHeight w:hRule="exact" w:val="680"/>
          <w:jc w:val="center"/>
        </w:trPr>
        <w:tc>
          <w:tcPr>
            <w:tcW w:w="3359" w:type="dxa"/>
            <w:tcBorders>
              <w:left w:val="nil"/>
            </w:tcBorders>
            <w:vAlign w:val="center"/>
          </w:tcPr>
          <w:p w14:paraId="76A6CA5D" w14:textId="77777777" w:rsidR="00B475A4" w:rsidRDefault="00000000">
            <w:pPr>
              <w:spacing w:line="560" w:lineRule="exact"/>
              <w:jc w:val="center"/>
              <w:textAlignment w:val="center"/>
              <w:rPr>
                <w:rFonts w:ascii="Times New Roman"/>
              </w:rPr>
            </w:pPr>
            <w:r>
              <w:rPr>
                <w:rFonts w:ascii="Times New Roman" w:eastAsia="宋体"/>
                <w:kern w:val="0"/>
                <w:sz w:val="28"/>
                <w:szCs w:val="28"/>
              </w:rPr>
              <w:t>民间投资</w:t>
            </w:r>
          </w:p>
        </w:tc>
        <w:tc>
          <w:tcPr>
            <w:tcW w:w="1404" w:type="dxa"/>
            <w:vAlign w:val="center"/>
          </w:tcPr>
          <w:p w14:paraId="367F0759"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-32.8</w:t>
            </w:r>
          </w:p>
        </w:tc>
        <w:tc>
          <w:tcPr>
            <w:tcW w:w="1320" w:type="dxa"/>
            <w:vAlign w:val="center"/>
          </w:tcPr>
          <w:p w14:paraId="150FB86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-32.6</w:t>
            </w:r>
          </w:p>
        </w:tc>
        <w:tc>
          <w:tcPr>
            <w:tcW w:w="1286" w:type="dxa"/>
            <w:vAlign w:val="center"/>
          </w:tcPr>
          <w:p w14:paraId="1BBEAEA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-14.1</w:t>
            </w:r>
          </w:p>
        </w:tc>
        <w:tc>
          <w:tcPr>
            <w:tcW w:w="1278" w:type="dxa"/>
            <w:vAlign w:val="center"/>
          </w:tcPr>
          <w:p w14:paraId="1EEA0F9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-25.5</w:t>
            </w:r>
          </w:p>
        </w:tc>
        <w:tc>
          <w:tcPr>
            <w:tcW w:w="1241" w:type="dxa"/>
            <w:vAlign w:val="center"/>
          </w:tcPr>
          <w:p w14:paraId="191B5F5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-27.6</w:t>
            </w:r>
          </w:p>
        </w:tc>
        <w:tc>
          <w:tcPr>
            <w:tcW w:w="1241" w:type="dxa"/>
            <w:vAlign w:val="center"/>
          </w:tcPr>
          <w:p w14:paraId="6249864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-12.0</w:t>
            </w:r>
          </w:p>
        </w:tc>
        <w:tc>
          <w:tcPr>
            <w:tcW w:w="1348" w:type="dxa"/>
            <w:vAlign w:val="center"/>
          </w:tcPr>
          <w:p w14:paraId="22CA2BA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-8.5</w:t>
            </w:r>
          </w:p>
        </w:tc>
        <w:tc>
          <w:tcPr>
            <w:tcW w:w="1560" w:type="dxa"/>
            <w:vAlign w:val="center"/>
          </w:tcPr>
          <w:p w14:paraId="49E30A8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w:t>
            </w:r>
          </w:p>
        </w:tc>
        <w:tc>
          <w:tcPr>
            <w:tcW w:w="1239" w:type="dxa"/>
            <w:tcBorders>
              <w:right w:val="nil"/>
            </w:tcBorders>
            <w:vAlign w:val="center"/>
          </w:tcPr>
          <w:p w14:paraId="1AF1B818"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r>
      <w:tr w:rsidR="00B475A4" w14:paraId="033FEDED" w14:textId="77777777">
        <w:trPr>
          <w:trHeight w:hRule="exact" w:val="680"/>
          <w:jc w:val="center"/>
        </w:trPr>
        <w:tc>
          <w:tcPr>
            <w:tcW w:w="3359" w:type="dxa"/>
            <w:tcBorders>
              <w:left w:val="nil"/>
            </w:tcBorders>
            <w:vAlign w:val="center"/>
          </w:tcPr>
          <w:p w14:paraId="2239A10B" w14:textId="77777777" w:rsidR="00B475A4" w:rsidRDefault="00000000">
            <w:pPr>
              <w:spacing w:line="560" w:lineRule="exact"/>
              <w:jc w:val="center"/>
              <w:textAlignment w:val="center"/>
              <w:rPr>
                <w:rFonts w:ascii="Times New Roman"/>
              </w:rPr>
            </w:pPr>
            <w:r>
              <w:rPr>
                <w:rFonts w:ascii="Times New Roman" w:eastAsia="宋体"/>
                <w:kern w:val="0"/>
                <w:sz w:val="28"/>
                <w:szCs w:val="28"/>
              </w:rPr>
              <w:t>房地产投资</w:t>
            </w:r>
          </w:p>
        </w:tc>
        <w:tc>
          <w:tcPr>
            <w:tcW w:w="1404" w:type="dxa"/>
            <w:vAlign w:val="center"/>
          </w:tcPr>
          <w:p w14:paraId="1290D3D1"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-29.8</w:t>
            </w:r>
          </w:p>
        </w:tc>
        <w:tc>
          <w:tcPr>
            <w:tcW w:w="1320" w:type="dxa"/>
            <w:vAlign w:val="center"/>
          </w:tcPr>
          <w:p w14:paraId="006A3ABA"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-35.3</w:t>
            </w:r>
          </w:p>
        </w:tc>
        <w:tc>
          <w:tcPr>
            <w:tcW w:w="1286" w:type="dxa"/>
            <w:vAlign w:val="center"/>
          </w:tcPr>
          <w:p w14:paraId="5E7667F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-50.5</w:t>
            </w:r>
          </w:p>
        </w:tc>
        <w:tc>
          <w:tcPr>
            <w:tcW w:w="1278" w:type="dxa"/>
            <w:vAlign w:val="center"/>
          </w:tcPr>
          <w:p w14:paraId="149121E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-10.9</w:t>
            </w:r>
          </w:p>
        </w:tc>
        <w:tc>
          <w:tcPr>
            <w:tcW w:w="1241" w:type="dxa"/>
            <w:vAlign w:val="center"/>
          </w:tcPr>
          <w:p w14:paraId="289EE92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-31.3</w:t>
            </w:r>
          </w:p>
        </w:tc>
        <w:tc>
          <w:tcPr>
            <w:tcW w:w="1241" w:type="dxa"/>
            <w:vAlign w:val="center"/>
          </w:tcPr>
          <w:p w14:paraId="2E13C22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-33.7</w:t>
            </w:r>
          </w:p>
        </w:tc>
        <w:tc>
          <w:tcPr>
            <w:tcW w:w="1348" w:type="dxa"/>
            <w:vAlign w:val="center"/>
          </w:tcPr>
          <w:p w14:paraId="4D50020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-18.0</w:t>
            </w:r>
          </w:p>
        </w:tc>
        <w:tc>
          <w:tcPr>
            <w:tcW w:w="1560" w:type="dxa"/>
            <w:vAlign w:val="center"/>
          </w:tcPr>
          <w:p w14:paraId="21DE2C2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c>
          <w:tcPr>
            <w:tcW w:w="1239" w:type="dxa"/>
            <w:tcBorders>
              <w:right w:val="nil"/>
            </w:tcBorders>
            <w:vAlign w:val="center"/>
          </w:tcPr>
          <w:p w14:paraId="03483B6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w:t>
            </w:r>
          </w:p>
        </w:tc>
      </w:tr>
      <w:tr w:rsidR="00B475A4" w14:paraId="448AEA56" w14:textId="77777777">
        <w:trPr>
          <w:trHeight w:hRule="exact" w:val="680"/>
          <w:jc w:val="center"/>
        </w:trPr>
        <w:tc>
          <w:tcPr>
            <w:tcW w:w="3359" w:type="dxa"/>
            <w:tcBorders>
              <w:left w:val="nil"/>
            </w:tcBorders>
            <w:vAlign w:val="center"/>
          </w:tcPr>
          <w:p w14:paraId="57B004CD" w14:textId="77777777" w:rsidR="00B475A4" w:rsidRDefault="00000000">
            <w:pPr>
              <w:spacing w:line="560" w:lineRule="exact"/>
              <w:jc w:val="center"/>
              <w:textAlignment w:val="center"/>
              <w:rPr>
                <w:rFonts w:ascii="Times New Roman"/>
              </w:rPr>
            </w:pPr>
            <w:r>
              <w:rPr>
                <w:rFonts w:ascii="Times New Roman" w:eastAsia="宋体"/>
                <w:kern w:val="0"/>
                <w:sz w:val="28"/>
                <w:szCs w:val="28"/>
              </w:rPr>
              <w:t>商品房销售面积</w:t>
            </w:r>
          </w:p>
        </w:tc>
        <w:tc>
          <w:tcPr>
            <w:tcW w:w="1404" w:type="dxa"/>
            <w:vAlign w:val="center"/>
          </w:tcPr>
          <w:p w14:paraId="34461D34"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-23.4</w:t>
            </w:r>
          </w:p>
        </w:tc>
        <w:tc>
          <w:tcPr>
            <w:tcW w:w="1320" w:type="dxa"/>
            <w:vAlign w:val="center"/>
          </w:tcPr>
          <w:p w14:paraId="32955B3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-68.6</w:t>
            </w:r>
          </w:p>
        </w:tc>
        <w:tc>
          <w:tcPr>
            <w:tcW w:w="1286" w:type="dxa"/>
            <w:vAlign w:val="center"/>
          </w:tcPr>
          <w:p w14:paraId="47A3935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4.2</w:t>
            </w:r>
          </w:p>
        </w:tc>
        <w:tc>
          <w:tcPr>
            <w:tcW w:w="1278" w:type="dxa"/>
            <w:vAlign w:val="center"/>
          </w:tcPr>
          <w:p w14:paraId="6A9BA6B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-48.1</w:t>
            </w:r>
          </w:p>
        </w:tc>
        <w:tc>
          <w:tcPr>
            <w:tcW w:w="1241" w:type="dxa"/>
            <w:vAlign w:val="center"/>
          </w:tcPr>
          <w:p w14:paraId="089B7D8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-33.2</w:t>
            </w:r>
          </w:p>
        </w:tc>
        <w:tc>
          <w:tcPr>
            <w:tcW w:w="1241" w:type="dxa"/>
            <w:vAlign w:val="center"/>
          </w:tcPr>
          <w:p w14:paraId="398A1EC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-24.7</w:t>
            </w:r>
          </w:p>
        </w:tc>
        <w:tc>
          <w:tcPr>
            <w:tcW w:w="1348" w:type="dxa"/>
            <w:vAlign w:val="center"/>
          </w:tcPr>
          <w:p w14:paraId="5A9C2BB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-11.6</w:t>
            </w:r>
          </w:p>
        </w:tc>
        <w:tc>
          <w:tcPr>
            <w:tcW w:w="1560" w:type="dxa"/>
            <w:vAlign w:val="center"/>
          </w:tcPr>
          <w:p w14:paraId="73B0DC3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c>
          <w:tcPr>
            <w:tcW w:w="1239" w:type="dxa"/>
            <w:tcBorders>
              <w:right w:val="nil"/>
            </w:tcBorders>
            <w:vAlign w:val="center"/>
          </w:tcPr>
          <w:p w14:paraId="701233C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w:t>
            </w:r>
          </w:p>
        </w:tc>
      </w:tr>
      <w:tr w:rsidR="00B475A4" w14:paraId="1923F970" w14:textId="77777777">
        <w:trPr>
          <w:trHeight w:hRule="exact" w:val="680"/>
          <w:jc w:val="center"/>
        </w:trPr>
        <w:tc>
          <w:tcPr>
            <w:tcW w:w="3359" w:type="dxa"/>
            <w:tcBorders>
              <w:left w:val="nil"/>
            </w:tcBorders>
            <w:vAlign w:val="center"/>
          </w:tcPr>
          <w:p w14:paraId="7F5A3647" w14:textId="77777777" w:rsidR="00B475A4" w:rsidRDefault="00000000">
            <w:pPr>
              <w:spacing w:line="560" w:lineRule="exact"/>
              <w:jc w:val="center"/>
              <w:textAlignment w:val="center"/>
              <w:rPr>
                <w:rFonts w:ascii="Times New Roman"/>
              </w:rPr>
            </w:pPr>
            <w:r>
              <w:rPr>
                <w:rFonts w:ascii="Times New Roman" w:eastAsia="宋体"/>
                <w:kern w:val="0"/>
                <w:sz w:val="28"/>
                <w:szCs w:val="28"/>
              </w:rPr>
              <w:t>社会</w:t>
            </w:r>
            <w:r>
              <w:rPr>
                <w:rStyle w:val="font31"/>
                <w:rFonts w:ascii="Times New Roman" w:hAnsi="Times New Roman" w:cs="Times New Roman" w:hint="default"/>
                <w:color w:val="auto"/>
              </w:rPr>
              <w:t>消费品零售总额</w:t>
            </w:r>
          </w:p>
        </w:tc>
        <w:tc>
          <w:tcPr>
            <w:tcW w:w="1404" w:type="dxa"/>
            <w:vAlign w:val="center"/>
          </w:tcPr>
          <w:p w14:paraId="5DD779C5"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1.1</w:t>
            </w:r>
          </w:p>
        </w:tc>
        <w:tc>
          <w:tcPr>
            <w:tcW w:w="1320" w:type="dxa"/>
            <w:vAlign w:val="center"/>
          </w:tcPr>
          <w:p w14:paraId="16B32CE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1.3</w:t>
            </w:r>
          </w:p>
        </w:tc>
        <w:tc>
          <w:tcPr>
            <w:tcW w:w="1286" w:type="dxa"/>
            <w:vAlign w:val="center"/>
          </w:tcPr>
          <w:p w14:paraId="2F15AA9E"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1.7</w:t>
            </w:r>
          </w:p>
        </w:tc>
        <w:tc>
          <w:tcPr>
            <w:tcW w:w="1278" w:type="dxa"/>
            <w:vAlign w:val="center"/>
          </w:tcPr>
          <w:p w14:paraId="7057E6A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2.9</w:t>
            </w:r>
          </w:p>
        </w:tc>
        <w:tc>
          <w:tcPr>
            <w:tcW w:w="1241" w:type="dxa"/>
            <w:vAlign w:val="center"/>
          </w:tcPr>
          <w:p w14:paraId="23B6D71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1.8</w:t>
            </w:r>
          </w:p>
        </w:tc>
        <w:tc>
          <w:tcPr>
            <w:tcW w:w="1241" w:type="dxa"/>
            <w:vAlign w:val="center"/>
          </w:tcPr>
          <w:p w14:paraId="773063A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1.6</w:t>
            </w:r>
          </w:p>
        </w:tc>
        <w:tc>
          <w:tcPr>
            <w:tcW w:w="1348" w:type="dxa"/>
            <w:vAlign w:val="center"/>
          </w:tcPr>
          <w:p w14:paraId="16FCE36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1.3</w:t>
            </w:r>
          </w:p>
        </w:tc>
        <w:tc>
          <w:tcPr>
            <w:tcW w:w="1560" w:type="dxa"/>
            <w:vAlign w:val="center"/>
          </w:tcPr>
          <w:p w14:paraId="7DEB6E3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w:t>
            </w:r>
          </w:p>
        </w:tc>
        <w:tc>
          <w:tcPr>
            <w:tcW w:w="1239" w:type="dxa"/>
            <w:tcBorders>
              <w:right w:val="nil"/>
            </w:tcBorders>
            <w:vAlign w:val="center"/>
          </w:tcPr>
          <w:p w14:paraId="7FD2097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r>
      <w:tr w:rsidR="00B475A4" w14:paraId="5338B051" w14:textId="77777777">
        <w:trPr>
          <w:trHeight w:hRule="exact" w:val="680"/>
          <w:jc w:val="center"/>
        </w:trPr>
        <w:tc>
          <w:tcPr>
            <w:tcW w:w="3359" w:type="dxa"/>
            <w:tcBorders>
              <w:left w:val="nil"/>
            </w:tcBorders>
            <w:vAlign w:val="center"/>
          </w:tcPr>
          <w:p w14:paraId="41CD60F8" w14:textId="77777777" w:rsidR="00B475A4" w:rsidRDefault="00000000">
            <w:pPr>
              <w:spacing w:line="560" w:lineRule="exact"/>
              <w:jc w:val="center"/>
              <w:textAlignment w:val="center"/>
              <w:rPr>
                <w:rFonts w:ascii="Times New Roman" w:eastAsia="宋体"/>
                <w:kern w:val="0"/>
                <w:sz w:val="28"/>
                <w:szCs w:val="28"/>
              </w:rPr>
            </w:pPr>
            <w:r>
              <w:rPr>
                <w:rFonts w:ascii="Times New Roman" w:eastAsia="宋体"/>
                <w:kern w:val="0"/>
                <w:sz w:val="28"/>
                <w:szCs w:val="28"/>
              </w:rPr>
              <w:t>限上消费品零售额</w:t>
            </w:r>
          </w:p>
        </w:tc>
        <w:tc>
          <w:tcPr>
            <w:tcW w:w="1404" w:type="dxa"/>
            <w:vAlign w:val="center"/>
          </w:tcPr>
          <w:p w14:paraId="06729F4C"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-2.2</w:t>
            </w:r>
          </w:p>
        </w:tc>
        <w:tc>
          <w:tcPr>
            <w:tcW w:w="1320" w:type="dxa"/>
            <w:vAlign w:val="center"/>
          </w:tcPr>
          <w:p w14:paraId="1B112E91"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10.4</w:t>
            </w:r>
          </w:p>
        </w:tc>
        <w:tc>
          <w:tcPr>
            <w:tcW w:w="1286" w:type="dxa"/>
            <w:vAlign w:val="center"/>
          </w:tcPr>
          <w:p w14:paraId="2ECE13E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-1.9</w:t>
            </w:r>
          </w:p>
        </w:tc>
        <w:tc>
          <w:tcPr>
            <w:tcW w:w="1278" w:type="dxa"/>
            <w:vAlign w:val="center"/>
          </w:tcPr>
          <w:p w14:paraId="0ACE4712"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15.0</w:t>
            </w:r>
          </w:p>
        </w:tc>
        <w:tc>
          <w:tcPr>
            <w:tcW w:w="1241" w:type="dxa"/>
            <w:vAlign w:val="center"/>
          </w:tcPr>
          <w:p w14:paraId="6BD178F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1.3</w:t>
            </w:r>
          </w:p>
        </w:tc>
        <w:tc>
          <w:tcPr>
            <w:tcW w:w="1241" w:type="dxa"/>
            <w:vAlign w:val="center"/>
          </w:tcPr>
          <w:p w14:paraId="5A82B73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-3.8</w:t>
            </w:r>
          </w:p>
        </w:tc>
        <w:tc>
          <w:tcPr>
            <w:tcW w:w="1348" w:type="dxa"/>
            <w:vAlign w:val="center"/>
          </w:tcPr>
          <w:p w14:paraId="247CE7E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-0.8</w:t>
            </w:r>
          </w:p>
        </w:tc>
        <w:tc>
          <w:tcPr>
            <w:tcW w:w="1560" w:type="dxa"/>
            <w:vAlign w:val="center"/>
          </w:tcPr>
          <w:p w14:paraId="2CFC2089"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w:t>
            </w:r>
          </w:p>
        </w:tc>
        <w:tc>
          <w:tcPr>
            <w:tcW w:w="1239" w:type="dxa"/>
            <w:tcBorders>
              <w:right w:val="nil"/>
            </w:tcBorders>
            <w:vAlign w:val="center"/>
          </w:tcPr>
          <w:p w14:paraId="77084383"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3</w:t>
            </w:r>
          </w:p>
        </w:tc>
      </w:tr>
      <w:tr w:rsidR="00B475A4" w14:paraId="2D3C54EB" w14:textId="77777777">
        <w:trPr>
          <w:trHeight w:hRule="exact" w:val="680"/>
          <w:jc w:val="center"/>
        </w:trPr>
        <w:tc>
          <w:tcPr>
            <w:tcW w:w="3359" w:type="dxa"/>
            <w:tcBorders>
              <w:left w:val="nil"/>
            </w:tcBorders>
            <w:vAlign w:val="center"/>
          </w:tcPr>
          <w:p w14:paraId="2BED7426" w14:textId="77777777" w:rsidR="00B475A4" w:rsidRDefault="00000000">
            <w:pPr>
              <w:spacing w:line="560" w:lineRule="exact"/>
              <w:jc w:val="center"/>
              <w:textAlignment w:val="center"/>
              <w:rPr>
                <w:rFonts w:ascii="Times New Roman" w:eastAsia="宋体"/>
                <w:kern w:val="0"/>
                <w:sz w:val="28"/>
                <w:szCs w:val="28"/>
              </w:rPr>
            </w:pPr>
            <w:r>
              <w:rPr>
                <w:rFonts w:ascii="Times New Roman" w:eastAsia="宋体"/>
                <w:kern w:val="0"/>
                <w:sz w:val="28"/>
                <w:szCs w:val="28"/>
              </w:rPr>
              <w:t>城镇居民人均可支配收入</w:t>
            </w:r>
          </w:p>
        </w:tc>
        <w:tc>
          <w:tcPr>
            <w:tcW w:w="1404" w:type="dxa"/>
            <w:vAlign w:val="center"/>
          </w:tcPr>
          <w:p w14:paraId="54E6ACF7"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5.2</w:t>
            </w:r>
          </w:p>
        </w:tc>
        <w:tc>
          <w:tcPr>
            <w:tcW w:w="1320" w:type="dxa"/>
            <w:vAlign w:val="center"/>
          </w:tcPr>
          <w:p w14:paraId="5A8BC875"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5.4</w:t>
            </w:r>
          </w:p>
        </w:tc>
        <w:tc>
          <w:tcPr>
            <w:tcW w:w="1286" w:type="dxa"/>
            <w:vAlign w:val="center"/>
          </w:tcPr>
          <w:p w14:paraId="6A09414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5.6</w:t>
            </w:r>
          </w:p>
        </w:tc>
        <w:tc>
          <w:tcPr>
            <w:tcW w:w="1278" w:type="dxa"/>
            <w:vAlign w:val="center"/>
          </w:tcPr>
          <w:p w14:paraId="48C0F82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4.9</w:t>
            </w:r>
          </w:p>
        </w:tc>
        <w:tc>
          <w:tcPr>
            <w:tcW w:w="1241" w:type="dxa"/>
            <w:vAlign w:val="center"/>
          </w:tcPr>
          <w:p w14:paraId="58F6CBED"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5.3</w:t>
            </w:r>
          </w:p>
        </w:tc>
        <w:tc>
          <w:tcPr>
            <w:tcW w:w="1241" w:type="dxa"/>
            <w:vAlign w:val="center"/>
          </w:tcPr>
          <w:p w14:paraId="3480A4C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4.8</w:t>
            </w:r>
          </w:p>
        </w:tc>
        <w:tc>
          <w:tcPr>
            <w:tcW w:w="1348" w:type="dxa"/>
            <w:vAlign w:val="center"/>
          </w:tcPr>
          <w:p w14:paraId="3A7E65FF"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4.4</w:t>
            </w:r>
          </w:p>
        </w:tc>
        <w:tc>
          <w:tcPr>
            <w:tcW w:w="1560" w:type="dxa"/>
            <w:vAlign w:val="center"/>
          </w:tcPr>
          <w:p w14:paraId="731CDF17" w14:textId="77777777" w:rsidR="00B475A4" w:rsidRDefault="00000000">
            <w:pPr>
              <w:pStyle w:val="2"/>
              <w:keepNext w:val="0"/>
              <w:widowControl/>
              <w:spacing w:before="0" w:after="0" w:line="560" w:lineRule="exact"/>
              <w:jc w:val="center"/>
              <w:textAlignment w:val="baseline"/>
              <w:rPr>
                <w:rFonts w:ascii="Times New Roman" w:hAnsi="Times New Roman"/>
                <w:b w:val="0"/>
                <w:bCs w:val="0"/>
                <w:color w:val="FF0000"/>
              </w:rPr>
            </w:pPr>
            <w:r>
              <w:rPr>
                <w:rFonts w:ascii="Times New Roman" w:hAnsi="Times New Roman"/>
                <w:b w:val="0"/>
                <w:bCs w:val="0"/>
              </w:rPr>
              <w:t>3</w:t>
            </w:r>
          </w:p>
        </w:tc>
        <w:tc>
          <w:tcPr>
            <w:tcW w:w="1239" w:type="dxa"/>
            <w:tcBorders>
              <w:right w:val="nil"/>
            </w:tcBorders>
            <w:vAlign w:val="center"/>
          </w:tcPr>
          <w:p w14:paraId="5F31FC6C" w14:textId="77777777" w:rsidR="00B475A4" w:rsidRDefault="00000000">
            <w:pPr>
              <w:pStyle w:val="2"/>
              <w:keepNext w:val="0"/>
              <w:widowControl/>
              <w:spacing w:before="0" w:after="0" w:line="560" w:lineRule="exact"/>
              <w:jc w:val="center"/>
              <w:textAlignment w:val="baseline"/>
              <w:rPr>
                <w:rFonts w:ascii="Times New Roman" w:hAnsi="Times New Roman"/>
                <w:b w:val="0"/>
                <w:bCs w:val="0"/>
                <w:color w:val="FF0000"/>
              </w:rPr>
            </w:pPr>
            <w:r>
              <w:rPr>
                <w:rFonts w:ascii="Times New Roman" w:hAnsi="Times New Roman"/>
                <w:b w:val="0"/>
                <w:bCs w:val="0"/>
              </w:rPr>
              <w:t>3</w:t>
            </w:r>
          </w:p>
        </w:tc>
      </w:tr>
      <w:tr w:rsidR="00B475A4" w14:paraId="6C52C60C" w14:textId="77777777">
        <w:trPr>
          <w:trHeight w:hRule="exact" w:val="680"/>
          <w:jc w:val="center"/>
        </w:trPr>
        <w:tc>
          <w:tcPr>
            <w:tcW w:w="3359" w:type="dxa"/>
            <w:tcBorders>
              <w:left w:val="nil"/>
            </w:tcBorders>
            <w:vAlign w:val="center"/>
          </w:tcPr>
          <w:p w14:paraId="1908F942" w14:textId="77777777" w:rsidR="00B475A4" w:rsidRDefault="00000000">
            <w:pPr>
              <w:spacing w:line="560" w:lineRule="exact"/>
              <w:jc w:val="center"/>
              <w:textAlignment w:val="center"/>
              <w:rPr>
                <w:rFonts w:ascii="Times New Roman" w:eastAsia="宋体"/>
                <w:kern w:val="0"/>
                <w:sz w:val="28"/>
                <w:szCs w:val="28"/>
              </w:rPr>
            </w:pPr>
            <w:r>
              <w:rPr>
                <w:rFonts w:ascii="Times New Roman" w:eastAsia="宋体"/>
                <w:kern w:val="0"/>
                <w:sz w:val="28"/>
                <w:szCs w:val="28"/>
              </w:rPr>
              <w:t>农村居民人均可支配收入</w:t>
            </w:r>
          </w:p>
        </w:tc>
        <w:tc>
          <w:tcPr>
            <w:tcW w:w="1404" w:type="dxa"/>
            <w:vAlign w:val="center"/>
          </w:tcPr>
          <w:p w14:paraId="32D1E767" w14:textId="77777777" w:rsidR="00B475A4" w:rsidRDefault="00000000">
            <w:pPr>
              <w:pStyle w:val="2"/>
              <w:keepNext w:val="0"/>
              <w:widowControl/>
              <w:spacing w:before="0" w:after="0" w:line="560" w:lineRule="exact"/>
              <w:jc w:val="center"/>
              <w:textAlignment w:val="baseline"/>
              <w:rPr>
                <w:rFonts w:ascii="Times New Roman" w:hAnsi="Times New Roman"/>
              </w:rPr>
            </w:pPr>
            <w:r>
              <w:rPr>
                <w:rFonts w:ascii="Times New Roman" w:hAnsi="Times New Roman"/>
              </w:rPr>
              <w:t>6.0</w:t>
            </w:r>
          </w:p>
        </w:tc>
        <w:tc>
          <w:tcPr>
            <w:tcW w:w="1320" w:type="dxa"/>
            <w:vAlign w:val="center"/>
          </w:tcPr>
          <w:p w14:paraId="32E55B37"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5.4</w:t>
            </w:r>
          </w:p>
        </w:tc>
        <w:tc>
          <w:tcPr>
            <w:tcW w:w="1286" w:type="dxa"/>
            <w:vAlign w:val="center"/>
          </w:tcPr>
          <w:p w14:paraId="42B37DDB"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5.7</w:t>
            </w:r>
          </w:p>
        </w:tc>
        <w:tc>
          <w:tcPr>
            <w:tcW w:w="1278" w:type="dxa"/>
            <w:vAlign w:val="center"/>
          </w:tcPr>
          <w:p w14:paraId="594F725C"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5.8</w:t>
            </w:r>
          </w:p>
        </w:tc>
        <w:tc>
          <w:tcPr>
            <w:tcW w:w="1241" w:type="dxa"/>
            <w:vAlign w:val="center"/>
          </w:tcPr>
          <w:p w14:paraId="4BFCD9F0"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5.8</w:t>
            </w:r>
          </w:p>
        </w:tc>
        <w:tc>
          <w:tcPr>
            <w:tcW w:w="1241" w:type="dxa"/>
            <w:vAlign w:val="center"/>
          </w:tcPr>
          <w:p w14:paraId="03D9BD96"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6.2</w:t>
            </w:r>
          </w:p>
        </w:tc>
        <w:tc>
          <w:tcPr>
            <w:tcW w:w="1348" w:type="dxa"/>
            <w:vAlign w:val="center"/>
          </w:tcPr>
          <w:p w14:paraId="5407FDA4" w14:textId="77777777" w:rsidR="00B475A4" w:rsidRDefault="00000000">
            <w:pPr>
              <w:pStyle w:val="2"/>
              <w:keepNext w:val="0"/>
              <w:widowControl/>
              <w:spacing w:before="0" w:after="0" w:line="560" w:lineRule="exact"/>
              <w:jc w:val="center"/>
              <w:textAlignment w:val="baseline"/>
              <w:rPr>
                <w:rFonts w:ascii="Times New Roman" w:hAnsi="Times New Roman"/>
                <w:b w:val="0"/>
                <w:bCs w:val="0"/>
              </w:rPr>
            </w:pPr>
            <w:r>
              <w:rPr>
                <w:rFonts w:ascii="Times New Roman" w:hAnsi="Times New Roman"/>
                <w:b w:val="0"/>
                <w:bCs w:val="0"/>
              </w:rPr>
              <w:t>6.4</w:t>
            </w:r>
          </w:p>
        </w:tc>
        <w:tc>
          <w:tcPr>
            <w:tcW w:w="1560" w:type="dxa"/>
            <w:vAlign w:val="center"/>
          </w:tcPr>
          <w:p w14:paraId="2566E1ED" w14:textId="77777777" w:rsidR="00B475A4" w:rsidRDefault="00000000">
            <w:pPr>
              <w:pStyle w:val="2"/>
              <w:keepNext w:val="0"/>
              <w:widowControl/>
              <w:spacing w:before="0" w:after="0" w:line="560" w:lineRule="exact"/>
              <w:jc w:val="center"/>
              <w:textAlignment w:val="baseline"/>
              <w:rPr>
                <w:rFonts w:ascii="Times New Roman" w:hAnsi="Times New Roman"/>
                <w:b w:val="0"/>
                <w:bCs w:val="0"/>
                <w:color w:val="FF0000"/>
              </w:rPr>
            </w:pPr>
            <w:r>
              <w:rPr>
                <w:rFonts w:ascii="Times New Roman" w:hAnsi="Times New Roman"/>
                <w:b w:val="0"/>
                <w:bCs w:val="0"/>
              </w:rPr>
              <w:t>1</w:t>
            </w:r>
          </w:p>
        </w:tc>
        <w:tc>
          <w:tcPr>
            <w:tcW w:w="1239" w:type="dxa"/>
            <w:tcBorders>
              <w:right w:val="nil"/>
            </w:tcBorders>
            <w:vAlign w:val="center"/>
          </w:tcPr>
          <w:p w14:paraId="59CD2EC6" w14:textId="77777777" w:rsidR="00B475A4" w:rsidRDefault="00000000">
            <w:pPr>
              <w:pStyle w:val="2"/>
              <w:keepNext w:val="0"/>
              <w:widowControl/>
              <w:spacing w:before="0" w:after="0" w:line="560" w:lineRule="exact"/>
              <w:jc w:val="center"/>
              <w:textAlignment w:val="baseline"/>
              <w:rPr>
                <w:rFonts w:ascii="Times New Roman" w:hAnsi="Times New Roman"/>
                <w:b w:val="0"/>
                <w:bCs w:val="0"/>
                <w:color w:val="FF0000"/>
              </w:rPr>
            </w:pPr>
            <w:r>
              <w:rPr>
                <w:rFonts w:ascii="Times New Roman" w:hAnsi="Times New Roman"/>
                <w:b w:val="0"/>
                <w:bCs w:val="0"/>
              </w:rPr>
              <w:t>1</w:t>
            </w:r>
          </w:p>
        </w:tc>
      </w:tr>
    </w:tbl>
    <w:p w14:paraId="40615FAA" w14:textId="77777777" w:rsidR="00B475A4" w:rsidRDefault="00B475A4">
      <w:pPr>
        <w:spacing w:line="560" w:lineRule="exact"/>
        <w:rPr>
          <w:rFonts w:ascii="Times New Roman"/>
        </w:rPr>
      </w:pPr>
    </w:p>
    <w:sectPr w:rsidR="00B475A4">
      <w:pgSz w:w="16838" w:h="11906" w:orient="landscape"/>
      <w:pgMar w:top="2098" w:right="1474" w:bottom="1984" w:left="158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85AD8" w14:textId="77777777" w:rsidR="007142A2" w:rsidRDefault="007142A2">
      <w:r>
        <w:separator/>
      </w:r>
    </w:p>
  </w:endnote>
  <w:endnote w:type="continuationSeparator" w:id="0">
    <w:p w14:paraId="34048745" w14:textId="77777777" w:rsidR="007142A2" w:rsidRDefault="0071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FangSong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国标黑体">
    <w:altName w:val="微软雅黑"/>
    <w:charset w:val="86"/>
    <w:family w:val="auto"/>
    <w:pitch w:val="default"/>
    <w:sig w:usb0="00000001" w:usb1="08000000" w:usb2="00000000" w:usb3="00000000" w:csb0="00040000" w:csb1="00000000"/>
  </w:font>
  <w:font w:name="方正书宋简体">
    <w:altName w:val="微软雅黑"/>
    <w:charset w:val="00"/>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E8AF5" w14:textId="77777777" w:rsidR="00B475A4" w:rsidRDefault="00000000">
    <w:pPr>
      <w:pStyle w:val="a5"/>
      <w:rPr>
        <w:rFonts w:ascii="方正书宋简体" w:eastAsia="方正书宋简体"/>
        <w:sz w:val="28"/>
        <w:szCs w:val="28"/>
      </w:rPr>
    </w:pPr>
    <w:r>
      <w:rPr>
        <w:rFonts w:ascii="方正书宋简体" w:eastAsia="方正书宋简体" w:hint="eastAsia"/>
        <w:kern w:val="0"/>
        <w:sz w:val="28"/>
        <w:szCs w:val="28"/>
      </w:rPr>
      <w:t xml:space="preserve">- </w:t>
    </w:r>
    <w:r>
      <w:rPr>
        <w:rFonts w:ascii="方正书宋简体" w:eastAsia="方正书宋简体" w:hint="eastAsia"/>
        <w:kern w:val="0"/>
        <w:sz w:val="28"/>
        <w:szCs w:val="28"/>
      </w:rPr>
      <w:fldChar w:fldCharType="begin"/>
    </w:r>
    <w:r>
      <w:rPr>
        <w:rFonts w:ascii="方正书宋简体" w:eastAsia="方正书宋简体" w:hint="eastAsia"/>
        <w:kern w:val="0"/>
        <w:sz w:val="28"/>
        <w:szCs w:val="28"/>
      </w:rPr>
      <w:instrText xml:space="preserve"> PAGE </w:instrText>
    </w:r>
    <w:r>
      <w:rPr>
        <w:rFonts w:ascii="方正书宋简体" w:eastAsia="方正书宋简体" w:hint="eastAsia"/>
        <w:kern w:val="0"/>
        <w:sz w:val="28"/>
        <w:szCs w:val="28"/>
      </w:rPr>
      <w:fldChar w:fldCharType="separate"/>
    </w:r>
    <w:r>
      <w:rPr>
        <w:rFonts w:ascii="方正书宋简体" w:eastAsia="方正书宋简体"/>
        <w:kern w:val="0"/>
        <w:sz w:val="28"/>
        <w:szCs w:val="28"/>
      </w:rPr>
      <w:t>8</w:t>
    </w:r>
    <w:r>
      <w:rPr>
        <w:rFonts w:ascii="方正书宋简体" w:eastAsia="方正书宋简体" w:hint="eastAsia"/>
        <w:kern w:val="0"/>
        <w:sz w:val="28"/>
        <w:szCs w:val="28"/>
      </w:rPr>
      <w:fldChar w:fldCharType="end"/>
    </w:r>
    <w:r>
      <w:rPr>
        <w:rFonts w:ascii="方正书宋简体" w:eastAsia="方正书宋简体" w:hint="eastAsia"/>
        <w:kern w:val="0"/>
        <w:sz w:val="28"/>
        <w:szCs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59E1" w14:textId="77777777" w:rsidR="00B475A4" w:rsidRDefault="00000000">
    <w:pPr>
      <w:pStyle w:val="a5"/>
      <w:jc w:val="right"/>
      <w:rPr>
        <w:rFonts w:ascii="方正书宋简体" w:eastAsia="方正书宋简体"/>
        <w:sz w:val="28"/>
        <w:szCs w:val="28"/>
      </w:rPr>
    </w:pPr>
    <w:r>
      <w:rPr>
        <w:rFonts w:ascii="方正书宋简体" w:eastAsia="方正书宋简体" w:hint="eastAsia"/>
        <w:kern w:val="0"/>
        <w:sz w:val="28"/>
        <w:szCs w:val="28"/>
      </w:rPr>
      <w:t xml:space="preserve">- </w:t>
    </w:r>
    <w:r>
      <w:rPr>
        <w:rFonts w:ascii="方正书宋简体" w:eastAsia="方正书宋简体" w:hint="eastAsia"/>
        <w:kern w:val="0"/>
        <w:sz w:val="28"/>
        <w:szCs w:val="28"/>
      </w:rPr>
      <w:fldChar w:fldCharType="begin"/>
    </w:r>
    <w:r>
      <w:rPr>
        <w:rFonts w:ascii="方正书宋简体" w:eastAsia="方正书宋简体" w:hint="eastAsia"/>
        <w:kern w:val="0"/>
        <w:sz w:val="28"/>
        <w:szCs w:val="28"/>
      </w:rPr>
      <w:instrText xml:space="preserve"> PAGE </w:instrText>
    </w:r>
    <w:r>
      <w:rPr>
        <w:rFonts w:ascii="方正书宋简体" w:eastAsia="方正书宋简体" w:hint="eastAsia"/>
        <w:kern w:val="0"/>
        <w:sz w:val="28"/>
        <w:szCs w:val="28"/>
      </w:rPr>
      <w:fldChar w:fldCharType="separate"/>
    </w:r>
    <w:r>
      <w:rPr>
        <w:rFonts w:ascii="方正书宋简体" w:eastAsia="方正书宋简体"/>
        <w:kern w:val="0"/>
        <w:sz w:val="28"/>
        <w:szCs w:val="28"/>
      </w:rPr>
      <w:t>7</w:t>
    </w:r>
    <w:r>
      <w:rPr>
        <w:rFonts w:ascii="方正书宋简体" w:eastAsia="方正书宋简体" w:hint="eastAsia"/>
        <w:kern w:val="0"/>
        <w:sz w:val="28"/>
        <w:szCs w:val="28"/>
      </w:rPr>
      <w:fldChar w:fldCharType="end"/>
    </w:r>
    <w:r>
      <w:rPr>
        <w:rFonts w:ascii="方正书宋简体" w:eastAsia="方正书宋简体" w:hint="eastAsia"/>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DF18E" w14:textId="77777777" w:rsidR="007142A2" w:rsidRDefault="007142A2">
      <w:r>
        <w:separator/>
      </w:r>
    </w:p>
  </w:footnote>
  <w:footnote w:type="continuationSeparator" w:id="0">
    <w:p w14:paraId="5FE1D4AE" w14:textId="77777777" w:rsidR="007142A2" w:rsidRDefault="007142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3D629B9"/>
    <w:rsid w:val="007142A2"/>
    <w:rsid w:val="0097075E"/>
    <w:rsid w:val="00B475A4"/>
    <w:rsid w:val="00B80616"/>
    <w:rsid w:val="03FA61DB"/>
    <w:rsid w:val="05575083"/>
    <w:rsid w:val="064F91A4"/>
    <w:rsid w:val="0B7E11CA"/>
    <w:rsid w:val="0C314F52"/>
    <w:rsid w:val="17F73749"/>
    <w:rsid w:val="197FE000"/>
    <w:rsid w:val="1FEE7A9E"/>
    <w:rsid w:val="29EB52A4"/>
    <w:rsid w:val="2A3FF814"/>
    <w:rsid w:val="2ABF00E5"/>
    <w:rsid w:val="2D87B746"/>
    <w:rsid w:val="2DDC53FD"/>
    <w:rsid w:val="2F1FC80A"/>
    <w:rsid w:val="2FFDEFC2"/>
    <w:rsid w:val="305C282E"/>
    <w:rsid w:val="322A7F39"/>
    <w:rsid w:val="33CFD568"/>
    <w:rsid w:val="33ECCF61"/>
    <w:rsid w:val="377ACB0F"/>
    <w:rsid w:val="37F61D21"/>
    <w:rsid w:val="3BBB960B"/>
    <w:rsid w:val="3D3EF2C0"/>
    <w:rsid w:val="3D4225DB"/>
    <w:rsid w:val="3DBD10DF"/>
    <w:rsid w:val="3E7FA553"/>
    <w:rsid w:val="3EBF5FD0"/>
    <w:rsid w:val="3EF9151E"/>
    <w:rsid w:val="3FDF2989"/>
    <w:rsid w:val="3FEF1908"/>
    <w:rsid w:val="3FF79084"/>
    <w:rsid w:val="43D629B9"/>
    <w:rsid w:val="4B2D7055"/>
    <w:rsid w:val="4BBF4C58"/>
    <w:rsid w:val="4DFF26E0"/>
    <w:rsid w:val="4F4DD0A4"/>
    <w:rsid w:val="537FFCE8"/>
    <w:rsid w:val="53FD17EC"/>
    <w:rsid w:val="55DD861E"/>
    <w:rsid w:val="5BB76F27"/>
    <w:rsid w:val="5BDBAC23"/>
    <w:rsid w:val="5CF50E7C"/>
    <w:rsid w:val="5CFFF17F"/>
    <w:rsid w:val="5DD4AD5D"/>
    <w:rsid w:val="5DEA0DA9"/>
    <w:rsid w:val="5DFFC067"/>
    <w:rsid w:val="5EBFB4FB"/>
    <w:rsid w:val="5F7F473F"/>
    <w:rsid w:val="5FBB7BBF"/>
    <w:rsid w:val="5FBB9DE4"/>
    <w:rsid w:val="5FD925D3"/>
    <w:rsid w:val="5FDB92F6"/>
    <w:rsid w:val="5FEAFE39"/>
    <w:rsid w:val="5FFFB372"/>
    <w:rsid w:val="600532C8"/>
    <w:rsid w:val="60AC0F7A"/>
    <w:rsid w:val="65554CF2"/>
    <w:rsid w:val="66BB07F6"/>
    <w:rsid w:val="66F52AD3"/>
    <w:rsid w:val="67CF2EE5"/>
    <w:rsid w:val="67FD4FBB"/>
    <w:rsid w:val="68DD7F22"/>
    <w:rsid w:val="6F5657FA"/>
    <w:rsid w:val="6FFDB1CF"/>
    <w:rsid w:val="6FFF508C"/>
    <w:rsid w:val="6FFF7369"/>
    <w:rsid w:val="73FA691A"/>
    <w:rsid w:val="747A03CB"/>
    <w:rsid w:val="74A4AE07"/>
    <w:rsid w:val="758D639D"/>
    <w:rsid w:val="758DFAF2"/>
    <w:rsid w:val="75A21442"/>
    <w:rsid w:val="75CF35CF"/>
    <w:rsid w:val="76852052"/>
    <w:rsid w:val="777BD727"/>
    <w:rsid w:val="777D4CF3"/>
    <w:rsid w:val="77CF3656"/>
    <w:rsid w:val="77EF013B"/>
    <w:rsid w:val="77FF4F4A"/>
    <w:rsid w:val="77FFF7E6"/>
    <w:rsid w:val="796B60A9"/>
    <w:rsid w:val="79A55919"/>
    <w:rsid w:val="79AB6836"/>
    <w:rsid w:val="79EF6519"/>
    <w:rsid w:val="79FC4BC9"/>
    <w:rsid w:val="7A75EA8B"/>
    <w:rsid w:val="7B5FCF59"/>
    <w:rsid w:val="7B7B3871"/>
    <w:rsid w:val="7BD377C4"/>
    <w:rsid w:val="7BD39A5D"/>
    <w:rsid w:val="7BDE6D41"/>
    <w:rsid w:val="7C6BCFA3"/>
    <w:rsid w:val="7CFD4271"/>
    <w:rsid w:val="7DE7497F"/>
    <w:rsid w:val="7DFB7935"/>
    <w:rsid w:val="7E5F0FB1"/>
    <w:rsid w:val="7E84FFEF"/>
    <w:rsid w:val="7F54AF79"/>
    <w:rsid w:val="7F57BCD1"/>
    <w:rsid w:val="7F7DC941"/>
    <w:rsid w:val="7F7E1D90"/>
    <w:rsid w:val="7F7FC043"/>
    <w:rsid w:val="7F906D10"/>
    <w:rsid w:val="7FDF5E61"/>
    <w:rsid w:val="7FEF9E75"/>
    <w:rsid w:val="7FF70294"/>
    <w:rsid w:val="7FFF2DD4"/>
    <w:rsid w:val="7FFF5579"/>
    <w:rsid w:val="8F90EA35"/>
    <w:rsid w:val="8FAD0271"/>
    <w:rsid w:val="918DCE84"/>
    <w:rsid w:val="9C7F56C7"/>
    <w:rsid w:val="9FB7B9D9"/>
    <w:rsid w:val="AFDF0D38"/>
    <w:rsid w:val="AFDF391E"/>
    <w:rsid w:val="B3D44995"/>
    <w:rsid w:val="B6CF01F2"/>
    <w:rsid w:val="B6F72E45"/>
    <w:rsid w:val="B76BB56D"/>
    <w:rsid w:val="BB1F6CDC"/>
    <w:rsid w:val="BD7D47BB"/>
    <w:rsid w:val="BE7F4267"/>
    <w:rsid w:val="BEEF5E68"/>
    <w:rsid w:val="BF7728A9"/>
    <w:rsid w:val="BF7D69B8"/>
    <w:rsid w:val="CBFAB2C9"/>
    <w:rsid w:val="CFEBF8B3"/>
    <w:rsid w:val="D2EFC924"/>
    <w:rsid w:val="D9BF9851"/>
    <w:rsid w:val="DDBFCF0B"/>
    <w:rsid w:val="DF66A5E7"/>
    <w:rsid w:val="DFCB0B55"/>
    <w:rsid w:val="DFD544D9"/>
    <w:rsid w:val="DFDF0579"/>
    <w:rsid w:val="DFF243F0"/>
    <w:rsid w:val="DFF6111B"/>
    <w:rsid w:val="DFF71B0E"/>
    <w:rsid w:val="E3EF1E07"/>
    <w:rsid w:val="E5FFED2D"/>
    <w:rsid w:val="E67FC995"/>
    <w:rsid w:val="E7E7B5E8"/>
    <w:rsid w:val="EF7BF18C"/>
    <w:rsid w:val="EFF79015"/>
    <w:rsid w:val="EFFEC729"/>
    <w:rsid w:val="EFFF3094"/>
    <w:rsid w:val="F0FD2F10"/>
    <w:rsid w:val="F1F23F16"/>
    <w:rsid w:val="F5BBED4B"/>
    <w:rsid w:val="F5FA2F4C"/>
    <w:rsid w:val="F6F8E514"/>
    <w:rsid w:val="F77D9753"/>
    <w:rsid w:val="F7ACFCDA"/>
    <w:rsid w:val="F7FBDB75"/>
    <w:rsid w:val="F9FBB6F6"/>
    <w:rsid w:val="FACB275A"/>
    <w:rsid w:val="FB7D2396"/>
    <w:rsid w:val="FBD4C450"/>
    <w:rsid w:val="FBFF16F7"/>
    <w:rsid w:val="FBFF2061"/>
    <w:rsid w:val="FBFFCA12"/>
    <w:rsid w:val="FCE70991"/>
    <w:rsid w:val="FDFFC930"/>
    <w:rsid w:val="FE87E879"/>
    <w:rsid w:val="FE8F774F"/>
    <w:rsid w:val="FEFF9E57"/>
    <w:rsid w:val="FF7DDEFC"/>
    <w:rsid w:val="FF869E28"/>
    <w:rsid w:val="FFAD2DB9"/>
    <w:rsid w:val="FFBF51F3"/>
    <w:rsid w:val="FFBFCC8A"/>
    <w:rsid w:val="FFD941EC"/>
    <w:rsid w:val="FFEE8CE9"/>
    <w:rsid w:val="FFFC8BFB"/>
    <w:rsid w:val="FFFD30B5"/>
    <w:rsid w:val="FFFE559D"/>
    <w:rsid w:val="FFFEA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E9D0F1"/>
  <w15:docId w15:val="{53402972-9CE8-46F9-A1AF-17F96337E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w:qFormat="1"/>
    <w:lsdException w:name="Body Text Indent" w:uiPriority="99" w:qFormat="1"/>
    <w:lsdException w:name="Subtitle" w:qFormat="1"/>
    <w:lsdException w:name="Body Text First Indent 2" w:uiPriority="99" w:qFormat="1"/>
    <w:lsdException w:name="Body Text Indent 2"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仿宋_GB2312" w:eastAsia="仿宋_GB2312"/>
      <w:kern w:val="2"/>
      <w:sz w:val="32"/>
      <w:szCs w:val="32"/>
    </w:rPr>
  </w:style>
  <w:style w:type="paragraph" w:styleId="2">
    <w:name w:val="heading 2"/>
    <w:basedOn w:val="a"/>
    <w:next w:val="a"/>
    <w:qFormat/>
    <w:pPr>
      <w:keepNext/>
      <w:keepLines/>
      <w:spacing w:before="260" w:after="260" w:line="416" w:lineRule="auto"/>
      <w:outlineLvl w:val="1"/>
    </w:pPr>
    <w:rPr>
      <w:rFonts w:ascii="Cambria" w:eastAsia="宋体"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pPr>
      <w:spacing w:after="120"/>
    </w:pPr>
  </w:style>
  <w:style w:type="paragraph" w:styleId="a4">
    <w:name w:val="Body Text Indent"/>
    <w:basedOn w:val="a"/>
    <w:uiPriority w:val="99"/>
    <w:qFormat/>
    <w:pPr>
      <w:ind w:leftChars="200" w:left="420"/>
    </w:pPr>
  </w:style>
  <w:style w:type="paragraph" w:styleId="20">
    <w:name w:val="Body Text Indent 2"/>
    <w:basedOn w:val="a"/>
    <w:next w:val="a"/>
    <w:uiPriority w:val="99"/>
    <w:qFormat/>
    <w:pPr>
      <w:ind w:firstLineChars="200" w:firstLine="640"/>
    </w:pPr>
  </w:style>
  <w:style w:type="paragraph" w:styleId="a5">
    <w:name w:val="footer"/>
    <w:basedOn w:val="a"/>
    <w:next w:val="a"/>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a7">
    <w:name w:val="footnote text"/>
    <w:basedOn w:val="a"/>
    <w:qFormat/>
    <w:pPr>
      <w:snapToGrid w:val="0"/>
      <w:jc w:val="left"/>
    </w:pPr>
    <w:rPr>
      <w:rFonts w:ascii="等线" w:eastAsia="等线" w:hAnsi="等线"/>
      <w:szCs w:val="22"/>
    </w:rPr>
  </w:style>
  <w:style w:type="paragraph" w:styleId="21">
    <w:name w:val="Body Text First Indent 2"/>
    <w:basedOn w:val="a"/>
    <w:next w:val="a"/>
    <w:uiPriority w:val="99"/>
    <w:qFormat/>
    <w:pPr>
      <w:ind w:firstLineChars="200" w:firstLine="420"/>
    </w:p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Pr>
      <w:b/>
    </w:rPr>
  </w:style>
  <w:style w:type="character" w:styleId="aa">
    <w:name w:val="page number"/>
    <w:basedOn w:val="a0"/>
    <w:qFormat/>
  </w:style>
  <w:style w:type="character" w:customStyle="1" w:styleId="font31">
    <w:name w:val="font31"/>
    <w:basedOn w:val="a0"/>
    <w:qFormat/>
    <w:rPr>
      <w:rFonts w:ascii="宋体" w:eastAsia="宋体" w:hAnsi="宋体" w:cs="宋体" w:hint="eastAsia"/>
      <w:color w:val="000000"/>
      <w:sz w:val="28"/>
      <w:szCs w:val="28"/>
      <w:u w:val="none"/>
    </w:rPr>
  </w:style>
  <w:style w:type="paragraph" w:customStyle="1" w:styleId="CharCharChar">
    <w:name w:val="Char Char Char"/>
    <w:basedOn w:val="a"/>
    <w:qFormat/>
  </w:style>
  <w:style w:type="paragraph" w:customStyle="1" w:styleId="Char">
    <w:name w:val="普通(网站) Char"/>
    <w:basedOn w:val="a"/>
    <w:qFormat/>
    <w:pPr>
      <w:spacing w:line="560" w:lineRule="exact"/>
      <w:ind w:firstLine="420"/>
      <w:jc w:val="left"/>
    </w:pPr>
    <w:rPr>
      <w:rFonts w:ascii="宋体" w:eastAsia="宋体" w:hAnsi="宋体" w:hint="eastAsia"/>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1314</Words>
  <Characters>7495</Characters>
  <Application>Microsoft Office Word</Application>
  <DocSecurity>0</DocSecurity>
  <Lines>62</Lines>
  <Paragraphs>17</Paragraphs>
  <ScaleCrop>false</ScaleCrop>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HHH</cp:lastModifiedBy>
  <cp:revision>2</cp:revision>
  <cp:lastPrinted>2026-08-05T18:32:00Z</cp:lastPrinted>
  <dcterms:created xsi:type="dcterms:W3CDTF">2026-03-04T23:19:00Z</dcterms:created>
  <dcterms:modified xsi:type="dcterms:W3CDTF">2026-08-18T01:22:00Z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1471CEDF533908DB96A29E6987587431_41</vt:lpwstr>
  </property>
  <property fmtid="{D5CDD505-2E9C-101B-9397-08002B2CF9AE}" pid="4" name="KSOTemplateDocerSaveRecord">
    <vt:lpwstr>eyJoZGlkIjoiN2YzNjBkOTgyNWQ1YTMxYzM3MzMwNWFiODNmOWIzYWMiLCJ1c2VySWQiOiI0NDk3NTc2MTkifQ==</vt:lpwstr>
  </property>
</Properties>
</file>