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BBDEE1">
      <w:pPr>
        <w:jc w:val="center"/>
        <w:rPr>
          <w:rFonts w:hint="eastAsia" w:ascii="方正小标宋简体" w:hAnsi="方正小标宋简体" w:eastAsia="方正小标宋简体" w:cs="方正小标宋简体"/>
          <w:spacing w:val="-2"/>
          <w:sz w:val="43"/>
          <w:szCs w:val="43"/>
          <w:lang w:val="en-US" w:eastAsia="zh-CN"/>
        </w:rPr>
      </w:pPr>
      <w:r>
        <w:rPr>
          <w:rFonts w:hint="eastAsia" w:ascii="仿宋_GB2312" w:hAnsi="仿宋" w:eastAsia="仿宋_GB2312"/>
          <w:sz w:val="32"/>
          <w:szCs w:val="32"/>
          <w:lang w:val="en-US" w:eastAsia="zh-CN"/>
        </w:rPr>
        <w:t xml:space="preserve">               </w:t>
      </w:r>
    </w:p>
    <w:p w14:paraId="177BF3C9">
      <w:pPr>
        <w:keepNext w:val="0"/>
        <w:keepLines w:val="0"/>
        <w:pageBreakBefore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napToGrid/>
          <w:color w:val="auto"/>
          <w:kern w:val="0"/>
          <w:sz w:val="44"/>
          <w:szCs w:val="44"/>
          <w:lang w:val="en-US" w:eastAsia="zh-CN" w:bidi="ar-SA"/>
        </w:rPr>
      </w:pPr>
      <w:r>
        <w:rPr>
          <w:rFonts w:hint="eastAsia" w:ascii="方正小标宋简体" w:hAnsi="方正小标宋简体" w:eastAsia="方正小标宋简体" w:cs="方正小标宋简体"/>
          <w:spacing w:val="-2"/>
          <w:sz w:val="43"/>
          <w:szCs w:val="43"/>
          <w:lang w:val="en-US" w:eastAsia="zh-CN"/>
        </w:rPr>
        <w:t>关于</w:t>
      </w:r>
      <w:r>
        <w:rPr>
          <w:rFonts w:ascii="方正小标宋简体" w:hAnsi="方正小标宋简体" w:eastAsia="方正小标宋简体" w:cs="方正小标宋简体"/>
          <w:spacing w:val="-2"/>
          <w:sz w:val="43"/>
          <w:szCs w:val="43"/>
        </w:rPr>
        <w:t>《</w:t>
      </w:r>
      <w:r>
        <w:rPr>
          <w:rFonts w:hint="eastAsia" w:ascii="方正小标宋简体" w:hAnsi="方正小标宋简体" w:eastAsia="方正小标宋简体" w:cs="方正小标宋简体"/>
          <w:spacing w:val="-2"/>
          <w:sz w:val="43"/>
          <w:szCs w:val="43"/>
        </w:rPr>
        <w:t>关于调整</w:t>
      </w:r>
      <w:r>
        <w:rPr>
          <w:rFonts w:hint="eastAsia" w:ascii="方正小标宋简体" w:hAnsi="方正小标宋简体" w:eastAsia="方正小标宋简体" w:cs="方正小标宋简体"/>
          <w:spacing w:val="-2"/>
          <w:sz w:val="43"/>
          <w:szCs w:val="43"/>
          <w:lang w:eastAsia="zh-CN"/>
        </w:rPr>
        <w:t>惠黎西</w:t>
      </w:r>
      <w:r>
        <w:rPr>
          <w:rFonts w:hint="eastAsia" w:ascii="方正小标宋简体" w:hAnsi="方正小标宋简体" w:eastAsia="方正小标宋简体" w:cs="方正小标宋简体"/>
          <w:spacing w:val="-2"/>
          <w:sz w:val="43"/>
          <w:szCs w:val="43"/>
        </w:rPr>
        <w:t>路、</w:t>
      </w:r>
      <w:r>
        <w:rPr>
          <w:rFonts w:hint="eastAsia" w:ascii="方正小标宋简体" w:hAnsi="方正小标宋简体" w:eastAsia="方正小标宋简体" w:cs="方正小标宋简体"/>
          <w:spacing w:val="-2"/>
          <w:sz w:val="43"/>
          <w:szCs w:val="43"/>
          <w:lang w:eastAsia="zh-CN"/>
        </w:rPr>
        <w:t>金河路</w:t>
      </w:r>
      <w:r>
        <w:rPr>
          <w:rFonts w:hint="eastAsia" w:ascii="方正小标宋简体" w:hAnsi="方正小标宋简体" w:eastAsia="方正小标宋简体" w:cs="方正小标宋简体"/>
          <w:spacing w:val="-2"/>
          <w:sz w:val="43"/>
          <w:szCs w:val="43"/>
        </w:rPr>
        <w:t>项目征收安置方式的汇</w:t>
      </w:r>
      <w:r>
        <w:rPr>
          <w:rFonts w:hint="eastAsia" w:ascii="方正小标宋简体" w:hAnsi="方正小标宋简体" w:eastAsia="方正小标宋简体" w:cs="方正小标宋简体"/>
          <w:spacing w:val="-2"/>
          <w:sz w:val="43"/>
          <w:szCs w:val="43"/>
          <w:lang w:eastAsia="zh-CN"/>
        </w:rPr>
        <w:t>报</w:t>
      </w:r>
      <w:r>
        <w:rPr>
          <w:rFonts w:hint="eastAsia" w:ascii="方正小标宋简体" w:hAnsi="方正小标宋简体" w:eastAsia="方正小标宋简体" w:cs="方正小标宋简体"/>
          <w:spacing w:val="-2"/>
          <w:sz w:val="43"/>
          <w:szCs w:val="43"/>
        </w:rPr>
        <w:t>（送审稿）</w:t>
      </w:r>
      <w:r>
        <w:rPr>
          <w:rFonts w:ascii="方正小标宋简体" w:hAnsi="方正小标宋简体" w:eastAsia="方正小标宋简体" w:cs="方正小标宋简体"/>
          <w:spacing w:val="-2"/>
          <w:sz w:val="43"/>
          <w:szCs w:val="43"/>
        </w:rPr>
        <w:t>》</w:t>
      </w:r>
      <w:r>
        <w:rPr>
          <w:rFonts w:hint="default" w:ascii="Times New Roman" w:hAnsi="Times New Roman" w:eastAsia="方正小标宋简体" w:cs="Times New Roman"/>
          <w:snapToGrid/>
          <w:color w:val="auto"/>
          <w:kern w:val="0"/>
          <w:sz w:val="44"/>
          <w:szCs w:val="44"/>
          <w:lang w:val="en-US" w:eastAsia="zh-CN" w:bidi="ar-SA"/>
        </w:rPr>
        <w:t>起草情况的说明</w:t>
      </w:r>
    </w:p>
    <w:p w14:paraId="6701019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eastAsia="仿宋_GB2312" w:cs="Times New Roman"/>
          <w:snapToGrid/>
          <w:color w:val="auto"/>
          <w:kern w:val="0"/>
          <w:sz w:val="32"/>
          <w:szCs w:val="24"/>
          <w:lang w:val="en-US" w:eastAsia="zh-CN" w:bidi="ar-SA"/>
        </w:rPr>
      </w:pPr>
    </w:p>
    <w:p w14:paraId="4D9E11EA">
      <w:pPr>
        <w:keepNext w:val="0"/>
        <w:keepLines w:val="0"/>
        <w:pageBreakBefore w:val="0"/>
        <w:widowControl w:val="0"/>
        <w:numPr>
          <w:ilvl w:val="0"/>
          <w:numId w:val="1"/>
        </w:numPr>
        <w:kinsoku/>
        <w:wordWrap/>
        <w:overflowPunct/>
        <w:topLinePunct w:val="0"/>
        <w:autoSpaceDE/>
        <w:autoSpaceDN/>
        <w:bidi w:val="0"/>
        <w:adjustRightInd/>
        <w:snapToGrid/>
        <w:spacing w:line="240" w:lineRule="auto"/>
        <w:ind w:firstLine="640" w:firstLineChars="200"/>
        <w:textAlignment w:val="auto"/>
        <w:rPr>
          <w:rFonts w:hint="eastAsia" w:ascii="黑体" w:hAnsi="黑体" w:eastAsia="黑体" w:cs="黑体"/>
          <w:snapToGrid/>
          <w:color w:val="auto"/>
          <w:kern w:val="0"/>
          <w:sz w:val="32"/>
          <w:szCs w:val="32"/>
          <w:lang w:val="en-US" w:eastAsia="zh-CN" w:bidi="ar-SA"/>
        </w:rPr>
      </w:pPr>
      <w:r>
        <w:rPr>
          <w:rFonts w:hint="eastAsia" w:ascii="黑体" w:hAnsi="黑体" w:eastAsia="黑体" w:cs="黑体"/>
          <w:snapToGrid/>
          <w:color w:val="auto"/>
          <w:kern w:val="0"/>
          <w:sz w:val="32"/>
          <w:szCs w:val="32"/>
          <w:lang w:val="en-US" w:eastAsia="zh-CN" w:bidi="ar-SA"/>
        </w:rPr>
        <w:t>起草背景</w:t>
      </w:r>
    </w:p>
    <w:p w14:paraId="43751689">
      <w:pPr>
        <w:keepNext w:val="0"/>
        <w:keepLines w:val="0"/>
        <w:widowControl/>
        <w:suppressLineNumbers w:val="0"/>
        <w:ind w:firstLine="640" w:firstLineChars="200"/>
        <w:jc w:val="left"/>
        <w:rPr>
          <w:rFonts w:hint="eastAsia" w:ascii="仿宋_GB2312" w:hAnsi="仿宋_GB2312" w:eastAsia="仿宋_GB2312" w:cs="仿宋_GB2312"/>
          <w:spacing w:val="2"/>
          <w:kern w:val="2"/>
          <w:sz w:val="32"/>
          <w:szCs w:val="32"/>
          <w:lang w:val="en-US" w:eastAsia="zh-CN" w:bidi="ar-SA"/>
        </w:rPr>
      </w:pPr>
      <w:r>
        <w:rPr>
          <w:rFonts w:hint="eastAsia" w:ascii="仿宋_GB2312" w:hAnsi="仿宋_GB2312" w:eastAsia="仿宋_GB2312" w:cs="仿宋_GB2312"/>
          <w:snapToGrid/>
          <w:color w:val="auto"/>
          <w:kern w:val="0"/>
          <w:sz w:val="32"/>
          <w:szCs w:val="32"/>
          <w:lang w:val="en-US" w:eastAsia="zh-CN" w:bidi="ar-SA"/>
        </w:rPr>
        <w:t>因惠黎西路西延项目和金河路项目建设需要，区政府于2023年3月发布房屋征收决定，并制定了征收补偿方案，补偿安置方式为货币补偿或产权调换，产权调换安置实行就近期房安置与现房安置相结合的方式</w:t>
      </w:r>
      <w:r>
        <w:rPr>
          <w:rFonts w:hint="eastAsia" w:ascii="仿宋_GB2312" w:hAnsi="仿宋_GB2312" w:eastAsia="仿宋_GB2312" w:cs="仿宋_GB2312"/>
          <w:spacing w:val="2"/>
          <w:kern w:val="2"/>
          <w:sz w:val="32"/>
          <w:szCs w:val="32"/>
          <w:lang w:val="en-US" w:eastAsia="zh-CN" w:bidi="ar-SA"/>
        </w:rPr>
        <w:t>。随着我国房地产市场的变化和国家对房地产政策的调整，省自然资源厅等七部门于2024年12月下发了《关于进一步完善房屋征收安置工作长效机制的通知》（</w:t>
      </w:r>
      <w:r>
        <w:rPr>
          <w:rFonts w:hint="eastAsia" w:ascii="仿宋" w:hAnsi="仿宋" w:eastAsia="仿宋" w:cs="仿宋"/>
          <w:spacing w:val="-1"/>
          <w:sz w:val="31"/>
          <w:szCs w:val="31"/>
          <w:lang w:val="en-US" w:eastAsia="zh-CN"/>
        </w:rPr>
        <w:t>皖自然资〔2024〕248号</w:t>
      </w:r>
      <w:r>
        <w:rPr>
          <w:rFonts w:hint="eastAsia" w:ascii="仿宋_GB2312" w:hAnsi="仿宋_GB2312" w:eastAsia="仿宋_GB2312" w:cs="仿宋_GB2312"/>
          <w:spacing w:val="2"/>
          <w:kern w:val="2"/>
          <w:sz w:val="32"/>
          <w:szCs w:val="32"/>
          <w:lang w:val="en-US" w:eastAsia="zh-CN" w:bidi="ar-SA"/>
        </w:rPr>
        <w:t>）文件，市住房和城乡建设局于2024年5月印发了</w:t>
      </w:r>
      <w:r>
        <w:rPr>
          <w:rFonts w:hint="eastAsia" w:ascii="仿宋" w:hAnsi="仿宋" w:eastAsia="仿宋" w:cs="仿宋"/>
          <w:spacing w:val="-1"/>
          <w:sz w:val="31"/>
          <w:szCs w:val="31"/>
          <w:lang w:val="en-US" w:eastAsia="zh-CN"/>
        </w:rPr>
        <w:t>《淮北市关于进一步促进房地产市场的若干政策措施的通知》（淮房调〔2024〕5号）文件，都明确要求严格控制新建安置房，原则上不再新建回迁安置房，应优先采取市场购买方式安置。为</w:t>
      </w:r>
      <w:r>
        <w:rPr>
          <w:rFonts w:hint="eastAsia" w:ascii="仿宋_GB2312" w:hAnsi="仿宋_GB2312" w:eastAsia="仿宋_GB2312" w:cs="仿宋_GB2312"/>
          <w:spacing w:val="2"/>
          <w:kern w:val="2"/>
          <w:sz w:val="32"/>
          <w:szCs w:val="32"/>
          <w:lang w:val="en-US" w:eastAsia="zh-CN" w:bidi="ar-SA"/>
        </w:rPr>
        <w:t>认真落实省、市部门对这一工作的部署和区领导的要求，我镇拟对在我镇实施的</w:t>
      </w:r>
      <w:r>
        <w:rPr>
          <w:rFonts w:hint="eastAsia" w:ascii="仿宋_GB2312" w:hAnsi="仿宋_GB2312" w:eastAsia="仿宋_GB2312" w:cs="仿宋_GB2312"/>
          <w:snapToGrid/>
          <w:color w:val="auto"/>
          <w:kern w:val="0"/>
          <w:sz w:val="32"/>
          <w:szCs w:val="32"/>
          <w:lang w:val="en-US" w:eastAsia="zh-CN" w:bidi="ar-SA"/>
        </w:rPr>
        <w:t>惠黎西路项目和金河路项目</w:t>
      </w:r>
      <w:r>
        <w:rPr>
          <w:rFonts w:hint="eastAsia" w:ascii="仿宋_GB2312" w:hAnsi="仿宋_GB2312" w:eastAsia="仿宋_GB2312" w:cs="仿宋_GB2312"/>
          <w:spacing w:val="2"/>
          <w:kern w:val="2"/>
          <w:sz w:val="32"/>
          <w:szCs w:val="32"/>
          <w:lang w:val="en-US" w:eastAsia="zh-CN" w:bidi="ar-SA"/>
        </w:rPr>
        <w:t>的征收安置方式进行调整，并召开了党政联席会议，决定启动该事项。</w:t>
      </w:r>
    </w:p>
    <w:p w14:paraId="6DF4A8D5">
      <w:pPr>
        <w:keepNext w:val="0"/>
        <w:keepLines w:val="0"/>
        <w:pageBreakBefore w:val="0"/>
        <w:widowControl w:val="0"/>
        <w:numPr>
          <w:ilvl w:val="0"/>
          <w:numId w:val="1"/>
        </w:numPr>
        <w:kinsoku/>
        <w:wordWrap/>
        <w:overflowPunct/>
        <w:topLinePunct w:val="0"/>
        <w:autoSpaceDE/>
        <w:autoSpaceDN/>
        <w:bidi w:val="0"/>
        <w:adjustRightInd/>
        <w:snapToGrid/>
        <w:spacing w:line="240" w:lineRule="auto"/>
        <w:ind w:firstLine="640" w:firstLineChars="200"/>
        <w:textAlignment w:val="auto"/>
        <w:rPr>
          <w:rFonts w:hint="eastAsia" w:ascii="黑体" w:hAnsi="黑体" w:eastAsia="黑体" w:cs="黑体"/>
          <w:snapToGrid/>
          <w:color w:val="auto"/>
          <w:kern w:val="0"/>
          <w:sz w:val="32"/>
          <w:szCs w:val="32"/>
          <w:lang w:val="en-US" w:eastAsia="zh-CN" w:bidi="ar-SA"/>
        </w:rPr>
      </w:pPr>
      <w:r>
        <w:rPr>
          <w:rFonts w:hint="eastAsia" w:ascii="黑体" w:hAnsi="黑体" w:eastAsia="黑体" w:cs="黑体"/>
          <w:snapToGrid/>
          <w:color w:val="auto"/>
          <w:kern w:val="0"/>
          <w:sz w:val="32"/>
          <w:szCs w:val="32"/>
          <w:lang w:val="en-US" w:eastAsia="zh-CN" w:bidi="ar-SA"/>
        </w:rPr>
        <w:t>起草过程</w:t>
      </w:r>
    </w:p>
    <w:p w14:paraId="5D0031DC">
      <w:pPr>
        <w:keepNext w:val="0"/>
        <w:keepLines w:val="0"/>
        <w:widowControl/>
        <w:suppressLineNumbers w:val="0"/>
        <w:ind w:firstLine="648" w:firstLineChars="200"/>
        <w:jc w:val="left"/>
        <w:rPr>
          <w:rFonts w:hint="eastAsia" w:ascii="仿宋_GB2312" w:hAnsi="仿宋_GB2312" w:eastAsia="仿宋_GB2312" w:cs="仿宋_GB2312"/>
          <w:spacing w:val="2"/>
          <w:kern w:val="2"/>
          <w:sz w:val="32"/>
          <w:szCs w:val="32"/>
          <w:lang w:val="en-US" w:eastAsia="zh-CN" w:bidi="ar-SA"/>
        </w:rPr>
      </w:pPr>
      <w:r>
        <w:rPr>
          <w:rFonts w:hint="eastAsia" w:ascii="仿宋_GB2312" w:hAnsi="仿宋_GB2312" w:eastAsia="仿宋_GB2312" w:cs="仿宋_GB2312"/>
          <w:spacing w:val="2"/>
          <w:kern w:val="2"/>
          <w:sz w:val="32"/>
          <w:szCs w:val="32"/>
          <w:lang w:val="en-US" w:eastAsia="zh-CN" w:bidi="ar-SA"/>
        </w:rPr>
        <w:t>关于调整</w:t>
      </w:r>
      <w:r>
        <w:rPr>
          <w:rFonts w:hint="eastAsia" w:ascii="仿宋_GB2312" w:hAnsi="仿宋_GB2312" w:eastAsia="仿宋_GB2312" w:cs="仿宋_GB2312"/>
          <w:snapToGrid/>
          <w:color w:val="auto"/>
          <w:kern w:val="0"/>
          <w:sz w:val="32"/>
          <w:szCs w:val="32"/>
          <w:lang w:val="en-US" w:eastAsia="zh-CN" w:bidi="ar-SA"/>
        </w:rPr>
        <w:t>惠黎西路、金河路</w:t>
      </w:r>
      <w:r>
        <w:rPr>
          <w:rFonts w:hint="eastAsia" w:ascii="仿宋_GB2312" w:hAnsi="仿宋_GB2312" w:eastAsia="仿宋_GB2312" w:cs="仿宋_GB2312"/>
          <w:spacing w:val="2"/>
          <w:kern w:val="2"/>
          <w:sz w:val="32"/>
          <w:szCs w:val="32"/>
          <w:lang w:val="en-US" w:eastAsia="zh-CN" w:bidi="ar-SA"/>
        </w:rPr>
        <w:t>项目征收安置方式事项启动后，我镇组织征收部门起草了《</w:t>
      </w:r>
      <w:r>
        <w:rPr>
          <w:rFonts w:hint="eastAsia" w:ascii="仿宋_GB2312" w:hAnsi="仿宋_GB2312" w:eastAsia="仿宋_GB2312" w:cs="仿宋_GB2312"/>
          <w:snapToGrid/>
          <w:color w:val="auto"/>
          <w:kern w:val="0"/>
          <w:sz w:val="32"/>
          <w:szCs w:val="32"/>
          <w:lang w:val="en-US" w:eastAsia="zh-CN" w:bidi="ar-SA"/>
        </w:rPr>
        <w:t>关于调整惠黎西路、金河路项目征收安置方式的汇报（送审稿）</w:t>
      </w:r>
      <w:r>
        <w:rPr>
          <w:rFonts w:hint="eastAsia" w:ascii="仿宋_GB2312" w:hAnsi="仿宋_GB2312" w:eastAsia="仿宋_GB2312" w:cs="仿宋_GB2312"/>
          <w:spacing w:val="2"/>
          <w:kern w:val="2"/>
          <w:sz w:val="32"/>
          <w:szCs w:val="32"/>
          <w:lang w:val="en-US" w:eastAsia="zh-CN" w:bidi="ar-SA"/>
        </w:rPr>
        <w:t>》</w:t>
      </w:r>
      <w:r>
        <w:rPr>
          <w:rFonts w:hint="eastAsia" w:ascii="仿宋_GB2312" w:hAnsi="仿宋_GB2312" w:eastAsia="仿宋_GB2312" w:cs="仿宋_GB2312"/>
          <w:snapToGrid/>
          <w:color w:val="auto"/>
          <w:kern w:val="0"/>
          <w:sz w:val="32"/>
          <w:szCs w:val="32"/>
          <w:lang w:val="en-US" w:eastAsia="zh-CN" w:bidi="ar-SA"/>
        </w:rPr>
        <w:t>征求意见稿，并于</w:t>
      </w:r>
      <w:r>
        <w:rPr>
          <w:rFonts w:hint="eastAsia" w:ascii="仿宋_GB2312" w:hAnsi="仿宋_GB2312" w:eastAsia="仿宋_GB2312" w:cs="仿宋_GB2312"/>
          <w:spacing w:val="2"/>
          <w:kern w:val="2"/>
          <w:sz w:val="32"/>
          <w:szCs w:val="32"/>
          <w:lang w:val="en-US" w:eastAsia="zh-CN" w:bidi="ar-SA"/>
        </w:rPr>
        <w:t>2026年7月10日-7月14日，书面征求了区房屋征迁安置中心、区住建局、区自规分局、区财政局4家单位的意见，其中3家单位反馈无意见，1家单位反馈意见3条，已全部采纳。在对征求意见稿作修改后，现面向社会公众公开征求意见。</w:t>
      </w:r>
    </w:p>
    <w:p w14:paraId="103A9B11">
      <w:pPr>
        <w:keepNext w:val="0"/>
        <w:keepLines w:val="0"/>
        <w:pageBreakBefore w:val="0"/>
        <w:widowControl w:val="0"/>
        <w:numPr>
          <w:ilvl w:val="0"/>
          <w:numId w:val="1"/>
        </w:numPr>
        <w:kinsoku/>
        <w:wordWrap/>
        <w:overflowPunct/>
        <w:topLinePunct w:val="0"/>
        <w:autoSpaceDE/>
        <w:autoSpaceDN/>
        <w:bidi w:val="0"/>
        <w:adjustRightInd/>
        <w:snapToGrid/>
        <w:spacing w:line="240" w:lineRule="auto"/>
        <w:ind w:firstLine="640" w:firstLineChars="200"/>
        <w:textAlignment w:val="auto"/>
        <w:rPr>
          <w:rFonts w:hint="eastAsia" w:ascii="黑体" w:hAnsi="黑体" w:eastAsia="黑体" w:cs="黑体"/>
          <w:snapToGrid/>
          <w:color w:val="auto"/>
          <w:kern w:val="0"/>
          <w:sz w:val="32"/>
          <w:szCs w:val="32"/>
          <w:lang w:val="en-US" w:eastAsia="zh-CN" w:bidi="ar-SA"/>
        </w:rPr>
      </w:pPr>
      <w:r>
        <w:rPr>
          <w:rFonts w:hint="eastAsia" w:ascii="黑体" w:hAnsi="黑体" w:eastAsia="黑体" w:cs="黑体"/>
          <w:snapToGrid/>
          <w:color w:val="auto"/>
          <w:kern w:val="0"/>
          <w:sz w:val="32"/>
          <w:szCs w:val="32"/>
          <w:lang w:val="en-US" w:eastAsia="zh-CN" w:bidi="ar-SA"/>
        </w:rPr>
        <w:t>主要内容</w:t>
      </w:r>
    </w:p>
    <w:p w14:paraId="053BD31B">
      <w:pPr>
        <w:numPr>
          <w:ilvl w:val="0"/>
          <w:numId w:val="0"/>
        </w:numPr>
        <w:spacing w:line="240" w:lineRule="auto"/>
        <w:ind w:firstLine="643" w:firstLineChars="200"/>
        <w:jc w:val="left"/>
        <w:rPr>
          <w:rFonts w:hint="eastAsia" w:ascii="楷体" w:hAnsi="楷体" w:eastAsia="楷体" w:cs="楷体"/>
          <w:b/>
          <w:bCs/>
          <w:color w:val="auto"/>
          <w:sz w:val="32"/>
          <w:szCs w:val="32"/>
          <w:highlight w:val="none"/>
          <w:lang w:val="en-US" w:eastAsia="zh-CN"/>
        </w:rPr>
      </w:pPr>
      <w:r>
        <w:rPr>
          <w:rFonts w:hint="eastAsia" w:ascii="楷体" w:hAnsi="楷体" w:eastAsia="楷体" w:cs="楷体"/>
          <w:b/>
          <w:bCs/>
          <w:color w:val="auto"/>
          <w:sz w:val="32"/>
          <w:szCs w:val="32"/>
          <w:highlight w:val="none"/>
          <w:lang w:val="en-US" w:eastAsia="zh-CN"/>
        </w:rPr>
        <w:t>（一）背景介绍</w:t>
      </w:r>
    </w:p>
    <w:p w14:paraId="394406F7">
      <w:pPr>
        <w:numPr>
          <w:ilvl w:val="0"/>
          <w:numId w:val="0"/>
        </w:numPr>
        <w:spacing w:line="240" w:lineRule="auto"/>
        <w:ind w:firstLine="640" w:firstLineChars="200"/>
        <w:jc w:val="left"/>
        <w:rPr>
          <w:rFonts w:hint="eastAsia" w:ascii="黑体" w:hAnsi="黑体" w:eastAsia="黑体" w:cs="黑体"/>
          <w:color w:val="auto"/>
          <w:sz w:val="32"/>
          <w:szCs w:val="32"/>
          <w:highlight w:val="none"/>
        </w:rPr>
      </w:pPr>
      <w:r>
        <w:rPr>
          <w:rFonts w:hint="eastAsia" w:ascii="仿宋_GB2312" w:hAnsi="仿宋_GB2312" w:eastAsia="仿宋_GB2312" w:cs="仿宋_GB2312"/>
          <w:color w:val="auto"/>
          <w:sz w:val="32"/>
          <w:szCs w:val="32"/>
          <w:highlight w:val="none"/>
        </w:rPr>
        <w:t>惠黎西路、金河路涉及渠沟镇桥头村被征收户72户，待安置64户，待安置面积10631.7㎡。项目原定征收补偿方案规定的安置方式为期房安置，</w:t>
      </w:r>
      <w:r>
        <w:rPr>
          <w:rFonts w:hint="eastAsia" w:ascii="仿宋_GB2312" w:hAnsi="仿宋_GB2312" w:eastAsia="仿宋_GB2312" w:cs="仿宋_GB2312"/>
          <w:color w:val="auto"/>
          <w:sz w:val="32"/>
          <w:szCs w:val="32"/>
          <w:highlight w:val="none"/>
          <w:lang w:eastAsia="zh-CN"/>
        </w:rPr>
        <w:t>安置期间发放临时安置费。</w:t>
      </w:r>
      <w:r>
        <w:rPr>
          <w:rFonts w:hint="eastAsia" w:ascii="仿宋_GB2312" w:hAnsi="仿宋_GB2312" w:eastAsia="仿宋_GB2312" w:cs="仿宋_GB2312"/>
          <w:color w:val="auto"/>
          <w:sz w:val="32"/>
          <w:szCs w:val="32"/>
          <w:highlight w:val="none"/>
        </w:rPr>
        <w:t>因政策调整，原定期房安置点不再建设，</w:t>
      </w:r>
      <w:r>
        <w:rPr>
          <w:rFonts w:hint="eastAsia" w:ascii="仿宋_GB2312" w:hAnsi="仿宋_GB2312" w:eastAsia="仿宋_GB2312" w:cs="仿宋_GB2312"/>
          <w:color w:val="auto"/>
          <w:sz w:val="32"/>
          <w:szCs w:val="32"/>
          <w:highlight w:val="none"/>
          <w:lang w:eastAsia="zh-CN"/>
        </w:rPr>
        <w:t>需对原安置方式进行调整。</w:t>
      </w:r>
      <w:r>
        <w:rPr>
          <w:rFonts w:hint="eastAsia" w:ascii="仿宋_GB2312" w:hAnsi="仿宋_GB2312" w:eastAsia="仿宋_GB2312" w:cs="仿宋_GB2312"/>
          <w:color w:val="auto"/>
          <w:sz w:val="32"/>
          <w:szCs w:val="32"/>
          <w:highlight w:val="none"/>
        </w:rPr>
        <w:t>截止目前，渠沟镇已拖欠该项目临时安置费及补偿款约340.17万元（临时安置费已发放至2025年5月），每月需支付临时安置费约12.76万元。</w:t>
      </w:r>
    </w:p>
    <w:p w14:paraId="3DD93969">
      <w:pPr>
        <w:numPr>
          <w:ilvl w:val="0"/>
          <w:numId w:val="0"/>
        </w:numPr>
        <w:spacing w:line="240" w:lineRule="auto"/>
        <w:ind w:firstLine="643" w:firstLineChars="200"/>
        <w:jc w:val="left"/>
        <w:rPr>
          <w:rFonts w:hint="eastAsia" w:ascii="楷体" w:hAnsi="楷体" w:eastAsia="楷体" w:cs="楷体"/>
          <w:b/>
          <w:bCs/>
          <w:color w:val="auto"/>
          <w:sz w:val="32"/>
          <w:szCs w:val="32"/>
          <w:highlight w:val="none"/>
          <w:lang w:eastAsia="zh-CN"/>
        </w:rPr>
      </w:pPr>
      <w:r>
        <w:rPr>
          <w:rFonts w:hint="eastAsia" w:ascii="楷体" w:hAnsi="楷体" w:eastAsia="楷体" w:cs="楷体"/>
          <w:b/>
          <w:bCs/>
          <w:color w:val="auto"/>
          <w:sz w:val="32"/>
          <w:szCs w:val="32"/>
          <w:highlight w:val="none"/>
          <w:lang w:eastAsia="zh-CN"/>
        </w:rPr>
        <w:t>（二）主要内容</w:t>
      </w:r>
    </w:p>
    <w:p w14:paraId="62600498">
      <w:pPr>
        <w:spacing w:line="240" w:lineRule="auto"/>
        <w:ind w:firstLine="643" w:firstLineChars="200"/>
        <w:jc w:val="left"/>
        <w:rPr>
          <w:rFonts w:hint="eastAsia" w:ascii="仿宋_GB2312" w:hAnsi="仿宋_GB2312" w:eastAsia="仿宋_GB2312" w:cs="仿宋_GB2312"/>
          <w:b/>
          <w:bCs/>
          <w:color w:val="auto"/>
          <w:sz w:val="32"/>
          <w:szCs w:val="32"/>
          <w:highlight w:val="none"/>
          <w:lang w:eastAsia="zh-CN"/>
        </w:rPr>
      </w:pPr>
      <w:r>
        <w:rPr>
          <w:rFonts w:hint="eastAsia" w:ascii="仿宋_GB2312" w:hAnsi="仿宋_GB2312" w:eastAsia="仿宋_GB2312" w:cs="仿宋_GB2312"/>
          <w:b/>
          <w:bCs/>
          <w:color w:val="auto"/>
          <w:sz w:val="32"/>
          <w:szCs w:val="32"/>
          <w:highlight w:val="none"/>
          <w:lang w:val="en-US" w:eastAsia="zh-CN"/>
        </w:rPr>
        <w:t>1、</w:t>
      </w:r>
      <w:r>
        <w:rPr>
          <w:rFonts w:hint="eastAsia" w:ascii="仿宋_GB2312" w:hAnsi="仿宋_GB2312" w:eastAsia="仿宋_GB2312" w:cs="仿宋_GB2312"/>
          <w:b/>
          <w:bCs/>
          <w:color w:val="auto"/>
          <w:sz w:val="32"/>
          <w:szCs w:val="32"/>
          <w:highlight w:val="none"/>
        </w:rPr>
        <w:t>调整安置方</w:t>
      </w:r>
      <w:r>
        <w:rPr>
          <w:rFonts w:hint="eastAsia" w:ascii="仿宋_GB2312" w:hAnsi="仿宋_GB2312" w:eastAsia="仿宋_GB2312" w:cs="仿宋_GB2312"/>
          <w:b/>
          <w:bCs/>
          <w:color w:val="auto"/>
          <w:sz w:val="32"/>
          <w:szCs w:val="32"/>
          <w:highlight w:val="none"/>
          <w:lang w:eastAsia="zh-CN"/>
        </w:rPr>
        <w:t>式</w:t>
      </w:r>
    </w:p>
    <w:p w14:paraId="0AFCBDA3">
      <w:pPr>
        <w:spacing w:line="240" w:lineRule="auto"/>
        <w:ind w:firstLine="640" w:firstLineChars="200"/>
        <w:jc w:val="left"/>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为妥善解决群众安置问题，缓解财政压力，拟将</w:t>
      </w:r>
      <w:r>
        <w:rPr>
          <w:rFonts w:hint="eastAsia" w:ascii="仿宋_GB2312" w:hAnsi="仿宋_GB2312" w:eastAsia="仿宋_GB2312" w:cs="仿宋_GB2312"/>
          <w:color w:val="auto"/>
          <w:sz w:val="32"/>
          <w:szCs w:val="32"/>
          <w:highlight w:val="none"/>
          <w:lang w:eastAsia="zh-CN"/>
        </w:rPr>
        <w:t>原期房</w:t>
      </w:r>
      <w:r>
        <w:rPr>
          <w:rFonts w:hint="eastAsia" w:ascii="仿宋_GB2312" w:hAnsi="仿宋_GB2312" w:eastAsia="仿宋_GB2312" w:cs="仿宋_GB2312"/>
          <w:color w:val="auto"/>
          <w:sz w:val="32"/>
          <w:szCs w:val="32"/>
          <w:highlight w:val="none"/>
        </w:rPr>
        <w:t>安置方式调整为</w:t>
      </w:r>
      <w:r>
        <w:rPr>
          <w:rFonts w:hint="eastAsia" w:ascii="仿宋_GB2312" w:hAnsi="仿宋_GB2312" w:eastAsia="仿宋_GB2312" w:cs="仿宋_GB2312"/>
          <w:color w:val="auto"/>
          <w:sz w:val="32"/>
          <w:szCs w:val="32"/>
          <w:highlight w:val="none"/>
          <w:lang w:val="en-US" w:eastAsia="zh-CN"/>
        </w:rPr>
        <w:t>现房</w:t>
      </w:r>
      <w:r>
        <w:rPr>
          <w:rFonts w:hint="eastAsia" w:ascii="仿宋_GB2312" w:hAnsi="仿宋_GB2312" w:eastAsia="仿宋_GB2312" w:cs="仿宋_GB2312"/>
          <w:color w:val="auto"/>
          <w:sz w:val="32"/>
          <w:szCs w:val="32"/>
          <w:highlight w:val="none"/>
        </w:rPr>
        <w:t>安置。</w:t>
      </w:r>
      <w:r>
        <w:rPr>
          <w:rFonts w:hint="eastAsia" w:ascii="仿宋_GB2312" w:hAnsi="仿宋_GB2312" w:eastAsia="仿宋_GB2312" w:cs="仿宋_GB2312"/>
          <w:color w:val="auto"/>
          <w:sz w:val="32"/>
          <w:szCs w:val="32"/>
          <w:highlight w:val="none"/>
          <w:lang w:val="en-US" w:eastAsia="zh-CN"/>
        </w:rPr>
        <w:t>现房安置房源为</w:t>
      </w:r>
      <w:r>
        <w:rPr>
          <w:rFonts w:hint="eastAsia" w:ascii="仿宋_GB2312" w:hAnsi="仿宋_GB2312" w:eastAsia="仿宋_GB2312" w:cs="仿宋_GB2312"/>
          <w:color w:val="auto"/>
          <w:sz w:val="32"/>
          <w:szCs w:val="32"/>
          <w:highlight w:val="none"/>
        </w:rPr>
        <w:t>龙源里、金桥家园、渠沟新村、相山家园、田庄二期、国购心苑、丁楼家园、国金华府、恒大雅苑等全区安置房源</w:t>
      </w:r>
      <w:r>
        <w:rPr>
          <w:rFonts w:hint="eastAsia" w:ascii="仿宋_GB2312" w:hAnsi="仿宋_GB2312" w:eastAsia="仿宋_GB2312" w:cs="仿宋_GB2312"/>
          <w:color w:val="auto"/>
          <w:sz w:val="32"/>
          <w:szCs w:val="32"/>
          <w:highlight w:val="none"/>
          <w:lang w:val="en-US" w:eastAsia="zh-CN"/>
        </w:rPr>
        <w:t>及</w:t>
      </w:r>
      <w:r>
        <w:rPr>
          <w:rFonts w:hint="eastAsia" w:ascii="仿宋_GB2312" w:hAnsi="仿宋_GB2312" w:eastAsia="仿宋_GB2312" w:cs="仿宋_GB2312"/>
          <w:color w:val="auto"/>
          <w:sz w:val="32"/>
          <w:szCs w:val="32"/>
          <w:highlight w:val="none"/>
        </w:rPr>
        <w:t>顺和家园、</w:t>
      </w:r>
      <w:r>
        <w:rPr>
          <w:rFonts w:hint="eastAsia" w:ascii="仿宋_GB2312" w:hAnsi="仿宋_GB2312" w:eastAsia="仿宋_GB2312" w:cs="仿宋_GB2312"/>
          <w:color w:val="auto"/>
          <w:sz w:val="32"/>
          <w:szCs w:val="32"/>
          <w:highlight w:val="none"/>
          <w:lang w:val="en-US" w:eastAsia="zh-CN"/>
        </w:rPr>
        <w:t>卓越府等商品房房源。</w:t>
      </w:r>
    </w:p>
    <w:p w14:paraId="72301146">
      <w:pPr>
        <w:spacing w:line="240" w:lineRule="auto"/>
        <w:ind w:firstLine="643" w:firstLineChars="200"/>
        <w:jc w:val="left"/>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2、</w:t>
      </w:r>
      <w:r>
        <w:rPr>
          <w:rFonts w:hint="eastAsia" w:ascii="仿宋_GB2312" w:hAnsi="仿宋_GB2312" w:eastAsia="仿宋_GB2312" w:cs="仿宋_GB2312"/>
          <w:b/>
          <w:bCs/>
          <w:color w:val="auto"/>
          <w:sz w:val="32"/>
          <w:szCs w:val="32"/>
          <w:highlight w:val="none"/>
        </w:rPr>
        <w:t>具体办法</w:t>
      </w:r>
    </w:p>
    <w:p w14:paraId="2CDF7163">
      <w:pPr>
        <w:spacing w:line="240" w:lineRule="auto"/>
        <w:ind w:firstLine="643"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lang w:eastAsia="zh-CN"/>
        </w:rPr>
        <w:t>（</w:t>
      </w:r>
      <w:r>
        <w:rPr>
          <w:rFonts w:hint="eastAsia" w:ascii="仿宋_GB2312" w:hAnsi="仿宋_GB2312" w:eastAsia="仿宋_GB2312" w:cs="仿宋_GB2312"/>
          <w:b/>
          <w:bCs/>
          <w:color w:val="auto"/>
          <w:sz w:val="32"/>
          <w:szCs w:val="32"/>
          <w:highlight w:val="none"/>
          <w:lang w:val="en-US" w:eastAsia="zh-CN"/>
        </w:rPr>
        <w:t>1</w:t>
      </w:r>
      <w:r>
        <w:rPr>
          <w:rFonts w:hint="eastAsia" w:ascii="仿宋_GB2312" w:hAnsi="仿宋_GB2312" w:eastAsia="仿宋_GB2312" w:cs="仿宋_GB2312"/>
          <w:b/>
          <w:bCs/>
          <w:color w:val="auto"/>
          <w:sz w:val="32"/>
          <w:szCs w:val="32"/>
          <w:highlight w:val="none"/>
          <w:lang w:eastAsia="zh-CN"/>
        </w:rPr>
        <w:t>）</w:t>
      </w:r>
      <w:r>
        <w:rPr>
          <w:rFonts w:hint="eastAsia" w:ascii="仿宋_GB2312" w:hAnsi="仿宋_GB2312" w:eastAsia="仿宋_GB2312" w:cs="仿宋_GB2312"/>
          <w:b/>
          <w:bCs/>
          <w:color w:val="auto"/>
          <w:sz w:val="32"/>
          <w:szCs w:val="32"/>
          <w:highlight w:val="none"/>
        </w:rPr>
        <w:t>安置单价。</w:t>
      </w:r>
      <w:r>
        <w:rPr>
          <w:rFonts w:hint="eastAsia" w:ascii="仿宋_GB2312" w:hAnsi="仿宋_GB2312" w:eastAsia="仿宋_GB2312" w:cs="仿宋_GB2312"/>
          <w:color w:val="auto"/>
          <w:sz w:val="32"/>
          <w:szCs w:val="32"/>
          <w:highlight w:val="none"/>
        </w:rPr>
        <w:t>顺和家园小区安置单价以评估机构出具的评估报告标准执行；</w:t>
      </w:r>
      <w:r>
        <w:rPr>
          <w:rFonts w:hint="eastAsia" w:ascii="仿宋_GB2312" w:hAnsi="仿宋_GB2312" w:eastAsia="仿宋_GB2312" w:cs="仿宋_GB2312"/>
          <w:color w:val="auto"/>
          <w:sz w:val="32"/>
          <w:szCs w:val="32"/>
          <w:highlight w:val="none"/>
          <w:lang w:val="en-US" w:eastAsia="zh-CN"/>
        </w:rPr>
        <w:t>卓越府小区房源单价根据开发企业提供的“一房一价”优惠标准执行；</w:t>
      </w:r>
      <w:r>
        <w:rPr>
          <w:rFonts w:hint="eastAsia" w:ascii="仿宋_GB2312" w:hAnsi="仿宋_GB2312" w:eastAsia="仿宋_GB2312" w:cs="仿宋_GB2312"/>
          <w:color w:val="auto"/>
          <w:sz w:val="32"/>
          <w:szCs w:val="32"/>
          <w:highlight w:val="none"/>
        </w:rPr>
        <w:t>龙源里小区安置单价建议按照政府回购价5340元/㎡执行；国金华府小区安置单价建议参照任圩二期棚改项目安置单价4645元/㎡执行；金桥家园、渠沟新村安置房源价格建议参照第二污水处理厂环评防护距离范围村庄搬迁项目评估价格3485元/㎡执行；其他房源按照关于印发《相山区利用存量安置房解决征迁安置问题实施方案》的通知（相政〔2024〕2号）安置单价执行。</w:t>
      </w:r>
    </w:p>
    <w:p w14:paraId="47186452">
      <w:pPr>
        <w:spacing w:line="240" w:lineRule="auto"/>
        <w:ind w:firstLine="643"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lang w:eastAsia="zh-CN"/>
        </w:rPr>
        <w:t>（</w:t>
      </w:r>
      <w:r>
        <w:rPr>
          <w:rFonts w:hint="eastAsia" w:ascii="仿宋_GB2312" w:hAnsi="仿宋_GB2312" w:eastAsia="仿宋_GB2312" w:cs="仿宋_GB2312"/>
          <w:b/>
          <w:bCs/>
          <w:color w:val="auto"/>
          <w:sz w:val="32"/>
          <w:szCs w:val="32"/>
          <w:highlight w:val="none"/>
          <w:lang w:val="en-US" w:eastAsia="zh-CN"/>
        </w:rPr>
        <w:t>2</w:t>
      </w:r>
      <w:r>
        <w:rPr>
          <w:rFonts w:hint="eastAsia" w:ascii="仿宋_GB2312" w:hAnsi="仿宋_GB2312" w:eastAsia="仿宋_GB2312" w:cs="仿宋_GB2312"/>
          <w:b/>
          <w:bCs/>
          <w:color w:val="auto"/>
          <w:sz w:val="32"/>
          <w:szCs w:val="32"/>
          <w:highlight w:val="none"/>
          <w:lang w:eastAsia="zh-CN"/>
        </w:rPr>
        <w:t>）</w:t>
      </w:r>
      <w:r>
        <w:rPr>
          <w:rFonts w:hint="eastAsia" w:ascii="仿宋_GB2312" w:hAnsi="仿宋_GB2312" w:eastAsia="仿宋_GB2312" w:cs="仿宋_GB2312"/>
          <w:b/>
          <w:bCs/>
          <w:color w:val="auto"/>
          <w:sz w:val="32"/>
          <w:szCs w:val="32"/>
          <w:highlight w:val="none"/>
        </w:rPr>
        <w:t>优惠政策。</w:t>
      </w:r>
      <w:r>
        <w:rPr>
          <w:rFonts w:hint="eastAsia" w:ascii="仿宋_GB2312" w:hAnsi="仿宋_GB2312" w:eastAsia="仿宋_GB2312" w:cs="仿宋_GB2312"/>
          <w:b/>
          <w:bCs/>
          <w:color w:val="auto"/>
          <w:sz w:val="32"/>
          <w:szCs w:val="32"/>
          <w:highlight w:val="none"/>
        </w:rPr>
        <w:fldChar w:fldCharType="begin"/>
      </w:r>
      <w:r>
        <w:rPr>
          <w:rFonts w:hint="eastAsia" w:ascii="仿宋_GB2312" w:hAnsi="仿宋_GB2312" w:eastAsia="仿宋_GB2312" w:cs="仿宋_GB2312"/>
          <w:b/>
          <w:bCs/>
          <w:color w:val="auto"/>
          <w:sz w:val="32"/>
          <w:szCs w:val="32"/>
          <w:highlight w:val="none"/>
        </w:rPr>
        <w:instrText xml:space="preserve"> = 1 \* GB3 \* MERGEFORMAT </w:instrText>
      </w:r>
      <w:r>
        <w:rPr>
          <w:rFonts w:hint="eastAsia" w:ascii="仿宋_GB2312" w:hAnsi="仿宋_GB2312" w:eastAsia="仿宋_GB2312" w:cs="仿宋_GB2312"/>
          <w:b/>
          <w:bCs/>
          <w:color w:val="auto"/>
          <w:sz w:val="32"/>
          <w:szCs w:val="32"/>
          <w:highlight w:val="none"/>
        </w:rPr>
        <w:fldChar w:fldCharType="separate"/>
      </w:r>
      <w:r>
        <w:t>①</w:t>
      </w:r>
      <w:r>
        <w:rPr>
          <w:rFonts w:hint="eastAsia" w:ascii="仿宋_GB2312" w:hAnsi="仿宋_GB2312" w:eastAsia="仿宋_GB2312" w:cs="仿宋_GB2312"/>
          <w:b/>
          <w:bCs/>
          <w:color w:val="auto"/>
          <w:sz w:val="32"/>
          <w:szCs w:val="32"/>
          <w:highlight w:val="none"/>
        </w:rPr>
        <w:fldChar w:fldCharType="end"/>
      </w:r>
      <w:r>
        <w:rPr>
          <w:rFonts w:hint="eastAsia" w:ascii="仿宋_GB2312" w:hAnsi="仿宋_GB2312" w:eastAsia="仿宋_GB2312" w:cs="仿宋_GB2312"/>
          <w:color w:val="auto"/>
          <w:sz w:val="32"/>
          <w:szCs w:val="32"/>
          <w:highlight w:val="none"/>
        </w:rPr>
        <w:t>选择顺和家园、龙源里、恒大雅苑（北区）小区安置并在公告规定时限内选房签约的，按照所选房屋面积给予200元/㎡奖励，奖励金额计入原产权调换折算金额，与房屋差价一并结算。</w:t>
      </w:r>
      <w:r>
        <w:rPr>
          <w:rFonts w:hint="eastAsia" w:ascii="仿宋_GB2312" w:hAnsi="仿宋_GB2312" w:eastAsia="仿宋_GB2312" w:cs="仿宋_GB2312"/>
          <w:color w:val="auto"/>
          <w:sz w:val="32"/>
          <w:szCs w:val="32"/>
          <w:highlight w:val="none"/>
        </w:rPr>
        <w:fldChar w:fldCharType="begin"/>
      </w:r>
      <w:r>
        <w:rPr>
          <w:rFonts w:hint="eastAsia" w:ascii="仿宋_GB2312" w:hAnsi="仿宋_GB2312" w:eastAsia="仿宋_GB2312" w:cs="仿宋_GB2312"/>
          <w:color w:val="auto"/>
          <w:sz w:val="32"/>
          <w:szCs w:val="32"/>
          <w:highlight w:val="none"/>
        </w:rPr>
        <w:instrText xml:space="preserve"> = 2 \* GB3 \* MERGEFORMAT </w:instrText>
      </w:r>
      <w:r>
        <w:rPr>
          <w:rFonts w:hint="eastAsia" w:ascii="仿宋_GB2312" w:hAnsi="仿宋_GB2312" w:eastAsia="仿宋_GB2312" w:cs="仿宋_GB2312"/>
          <w:color w:val="auto"/>
          <w:sz w:val="32"/>
          <w:szCs w:val="32"/>
          <w:highlight w:val="none"/>
        </w:rPr>
        <w:fldChar w:fldCharType="separate"/>
      </w:r>
      <w:r>
        <w:t>②</w:t>
      </w:r>
      <w:r>
        <w:rPr>
          <w:rFonts w:hint="eastAsia" w:ascii="仿宋_GB2312" w:hAnsi="仿宋_GB2312" w:eastAsia="仿宋_GB2312" w:cs="仿宋_GB2312"/>
          <w:color w:val="auto"/>
          <w:sz w:val="32"/>
          <w:szCs w:val="32"/>
          <w:highlight w:val="none"/>
        </w:rPr>
        <w:fldChar w:fldCharType="end"/>
      </w:r>
      <w:r>
        <w:rPr>
          <w:rFonts w:hint="eastAsia" w:ascii="仿宋_GB2312" w:hAnsi="仿宋_GB2312" w:eastAsia="仿宋_GB2312" w:cs="仿宋_GB2312"/>
          <w:color w:val="auto"/>
          <w:sz w:val="32"/>
          <w:szCs w:val="32"/>
          <w:highlight w:val="none"/>
        </w:rPr>
        <w:t>选择</w:t>
      </w:r>
      <w:r>
        <w:rPr>
          <w:rFonts w:hint="eastAsia" w:ascii="仿宋_GB2312" w:hAnsi="仿宋_GB2312" w:eastAsia="仿宋_GB2312" w:cs="仿宋_GB2312"/>
          <w:color w:val="auto"/>
          <w:sz w:val="32"/>
          <w:szCs w:val="32"/>
          <w:highlight w:val="none"/>
          <w:lang w:val="en-US" w:eastAsia="zh-CN"/>
        </w:rPr>
        <w:t>卓越府小区安置</w:t>
      </w:r>
      <w:r>
        <w:rPr>
          <w:rFonts w:hint="eastAsia" w:ascii="仿宋_GB2312" w:hAnsi="仿宋_GB2312" w:eastAsia="仿宋_GB2312" w:cs="仿宋_GB2312"/>
          <w:color w:val="auto"/>
          <w:sz w:val="32"/>
          <w:szCs w:val="32"/>
          <w:highlight w:val="none"/>
        </w:rPr>
        <w:t>并在公告规定时限内选房签约的，</w:t>
      </w:r>
      <w:r>
        <w:rPr>
          <w:rFonts w:hint="eastAsia" w:ascii="仿宋_GB2312" w:hAnsi="仿宋_GB2312" w:eastAsia="仿宋_GB2312" w:cs="仿宋_GB2312"/>
          <w:color w:val="auto"/>
          <w:sz w:val="32"/>
          <w:szCs w:val="32"/>
          <w:highlight w:val="none"/>
          <w:lang w:val="en-US" w:eastAsia="zh-CN"/>
        </w:rPr>
        <w:t>区政府再</w:t>
      </w:r>
      <w:r>
        <w:rPr>
          <w:rFonts w:hint="eastAsia" w:ascii="仿宋_GB2312" w:hAnsi="仿宋_GB2312" w:eastAsia="仿宋_GB2312" w:cs="仿宋_GB2312"/>
          <w:color w:val="auto"/>
          <w:sz w:val="32"/>
          <w:szCs w:val="32"/>
          <w:highlight w:val="none"/>
        </w:rPr>
        <w:t>按照所选房屋面积给予</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00元/㎡奖励，奖励金额计入原产权调换折算金额，与房屋差价一并结算。</w:t>
      </w:r>
      <w:r>
        <w:rPr>
          <w:rFonts w:hint="eastAsia" w:ascii="仿宋_GB2312" w:hAnsi="仿宋_GB2312" w:eastAsia="仿宋_GB2312" w:cs="仿宋_GB2312"/>
          <w:color w:val="auto"/>
          <w:sz w:val="32"/>
          <w:szCs w:val="32"/>
          <w:highlight w:val="none"/>
        </w:rPr>
        <w:fldChar w:fldCharType="begin"/>
      </w:r>
      <w:r>
        <w:rPr>
          <w:rFonts w:hint="eastAsia" w:ascii="仿宋_GB2312" w:hAnsi="仿宋_GB2312" w:eastAsia="仿宋_GB2312" w:cs="仿宋_GB2312"/>
          <w:color w:val="auto"/>
          <w:sz w:val="32"/>
          <w:szCs w:val="32"/>
          <w:highlight w:val="none"/>
        </w:rPr>
        <w:instrText xml:space="preserve"> = 3 \* GB3 \* MERGEFORMAT </w:instrText>
      </w:r>
      <w:r>
        <w:rPr>
          <w:rFonts w:hint="eastAsia" w:ascii="仿宋_GB2312" w:hAnsi="仿宋_GB2312" w:eastAsia="仿宋_GB2312" w:cs="仿宋_GB2312"/>
          <w:color w:val="auto"/>
          <w:sz w:val="32"/>
          <w:szCs w:val="32"/>
          <w:highlight w:val="none"/>
        </w:rPr>
        <w:fldChar w:fldCharType="separate"/>
      </w:r>
      <w:r>
        <w:t>③</w:t>
      </w:r>
      <w:r>
        <w:rPr>
          <w:rFonts w:hint="eastAsia" w:ascii="仿宋_GB2312" w:hAnsi="仿宋_GB2312" w:eastAsia="仿宋_GB2312" w:cs="仿宋_GB2312"/>
          <w:color w:val="auto"/>
          <w:sz w:val="32"/>
          <w:szCs w:val="32"/>
          <w:highlight w:val="none"/>
        </w:rPr>
        <w:fldChar w:fldCharType="end"/>
      </w:r>
      <w:r>
        <w:rPr>
          <w:rFonts w:hint="eastAsia" w:ascii="仿宋_GB2312" w:hAnsi="仿宋_GB2312" w:eastAsia="仿宋_GB2312" w:cs="仿宋_GB2312"/>
          <w:color w:val="auto"/>
          <w:sz w:val="32"/>
          <w:szCs w:val="32"/>
          <w:highlight w:val="none"/>
        </w:rPr>
        <w:t>选择恒大雅苑（北区）小区2#、3#楼栋安置的，参照恒大雅苑（北区）前期安置政策，另按照所选房屋面积给予10%面积奖励。</w:t>
      </w:r>
      <w:r>
        <w:rPr>
          <w:rFonts w:hint="eastAsia" w:ascii="仿宋_GB2312" w:hAnsi="仿宋_GB2312" w:eastAsia="仿宋_GB2312" w:cs="仿宋_GB2312"/>
          <w:color w:val="auto"/>
          <w:sz w:val="32"/>
          <w:szCs w:val="32"/>
          <w:highlight w:val="none"/>
        </w:rPr>
        <w:fldChar w:fldCharType="begin"/>
      </w:r>
      <w:r>
        <w:rPr>
          <w:rFonts w:hint="eastAsia" w:ascii="仿宋_GB2312" w:hAnsi="仿宋_GB2312" w:eastAsia="仿宋_GB2312" w:cs="仿宋_GB2312"/>
          <w:color w:val="auto"/>
          <w:sz w:val="32"/>
          <w:szCs w:val="32"/>
          <w:highlight w:val="none"/>
        </w:rPr>
        <w:instrText xml:space="preserve"> = 4 \* GB3 \* MERGEFORMAT </w:instrText>
      </w:r>
      <w:r>
        <w:rPr>
          <w:rFonts w:hint="eastAsia" w:ascii="仿宋_GB2312" w:hAnsi="仿宋_GB2312" w:eastAsia="仿宋_GB2312" w:cs="仿宋_GB2312"/>
          <w:color w:val="auto"/>
          <w:sz w:val="32"/>
          <w:szCs w:val="32"/>
          <w:highlight w:val="none"/>
        </w:rPr>
        <w:fldChar w:fldCharType="separate"/>
      </w:r>
      <w:r>
        <w:t>④</w:t>
      </w:r>
      <w:r>
        <w:rPr>
          <w:rFonts w:hint="eastAsia" w:ascii="仿宋_GB2312" w:hAnsi="仿宋_GB2312" w:eastAsia="仿宋_GB2312" w:cs="仿宋_GB2312"/>
          <w:color w:val="auto"/>
          <w:sz w:val="32"/>
          <w:szCs w:val="32"/>
          <w:highlight w:val="none"/>
        </w:rPr>
        <w:fldChar w:fldCharType="end"/>
      </w:r>
      <w:r>
        <w:rPr>
          <w:rFonts w:hint="eastAsia" w:ascii="仿宋_GB2312" w:hAnsi="仿宋_GB2312" w:eastAsia="仿宋_GB2312" w:cs="仿宋_GB2312"/>
          <w:color w:val="auto"/>
          <w:sz w:val="32"/>
          <w:szCs w:val="32"/>
          <w:highlight w:val="none"/>
        </w:rPr>
        <w:t>选择顶层房屋安置的，给予所选房屋面积15%的面积奖励。</w:t>
      </w:r>
    </w:p>
    <w:p w14:paraId="56F388D0">
      <w:pPr>
        <w:spacing w:line="240" w:lineRule="auto"/>
        <w:ind w:firstLine="643"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lang w:eastAsia="zh-CN"/>
        </w:rPr>
        <w:t>（</w:t>
      </w:r>
      <w:r>
        <w:rPr>
          <w:rFonts w:hint="eastAsia" w:ascii="仿宋_GB2312" w:hAnsi="仿宋_GB2312" w:eastAsia="仿宋_GB2312" w:cs="仿宋_GB2312"/>
          <w:b/>
          <w:bCs/>
          <w:color w:val="auto"/>
          <w:sz w:val="32"/>
          <w:szCs w:val="32"/>
          <w:highlight w:val="none"/>
          <w:lang w:val="en-US" w:eastAsia="zh-CN"/>
        </w:rPr>
        <w:t>3</w:t>
      </w:r>
      <w:r>
        <w:rPr>
          <w:rFonts w:hint="eastAsia" w:ascii="仿宋_GB2312" w:hAnsi="仿宋_GB2312" w:eastAsia="仿宋_GB2312" w:cs="仿宋_GB2312"/>
          <w:b/>
          <w:bCs/>
          <w:color w:val="auto"/>
          <w:sz w:val="32"/>
          <w:szCs w:val="32"/>
          <w:highlight w:val="none"/>
          <w:lang w:eastAsia="zh-CN"/>
        </w:rPr>
        <w:t>）</w:t>
      </w:r>
      <w:r>
        <w:rPr>
          <w:rFonts w:hint="eastAsia" w:ascii="仿宋_GB2312" w:hAnsi="仿宋_GB2312" w:eastAsia="仿宋_GB2312" w:cs="仿宋_GB2312"/>
          <w:b/>
          <w:bCs/>
          <w:color w:val="auto"/>
          <w:sz w:val="32"/>
          <w:szCs w:val="32"/>
          <w:highlight w:val="none"/>
        </w:rPr>
        <w:t>差价找补。</w:t>
      </w:r>
      <w:r>
        <w:rPr>
          <w:rFonts w:hint="eastAsia" w:ascii="仿宋_GB2312" w:hAnsi="仿宋_GB2312" w:eastAsia="仿宋_GB2312" w:cs="仿宋_GB2312"/>
          <w:color w:val="auto"/>
          <w:sz w:val="32"/>
          <w:szCs w:val="32"/>
          <w:highlight w:val="none"/>
        </w:rPr>
        <w:t>按照被征收户应安置面积×3785元/㎡与所选安置房源的折算金额（所选安置房源面积×选择安置小区安置单价）互相找补。选房后，剩余原产权调换面积大于政府提供安置房源面积（按照田庄二期小区单套最小面积87.32㎡）60%的，须再选一套区内安置房；如剩余原产权调换面积小于政府提供安置房源面积（按照田庄二期小区单套最小面积87.32㎡）60%的，被征收户确有实际住房需求，也可继续选择区内其他安置房源进行安置。</w:t>
      </w:r>
    </w:p>
    <w:p w14:paraId="0CEE2309">
      <w:pPr>
        <w:spacing w:line="240" w:lineRule="auto"/>
        <w:ind w:firstLine="643"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lang w:eastAsia="zh-CN"/>
        </w:rPr>
        <w:t>（</w:t>
      </w:r>
      <w:r>
        <w:rPr>
          <w:rFonts w:hint="eastAsia" w:ascii="仿宋_GB2312" w:hAnsi="仿宋_GB2312" w:eastAsia="仿宋_GB2312" w:cs="仿宋_GB2312"/>
          <w:b/>
          <w:bCs/>
          <w:color w:val="auto"/>
          <w:sz w:val="32"/>
          <w:szCs w:val="32"/>
          <w:highlight w:val="none"/>
          <w:lang w:val="en-US" w:eastAsia="zh-CN"/>
        </w:rPr>
        <w:t>4</w:t>
      </w:r>
      <w:r>
        <w:rPr>
          <w:rFonts w:hint="eastAsia" w:ascii="仿宋_GB2312" w:hAnsi="仿宋_GB2312" w:eastAsia="仿宋_GB2312" w:cs="仿宋_GB2312"/>
          <w:b/>
          <w:bCs/>
          <w:color w:val="auto"/>
          <w:sz w:val="32"/>
          <w:szCs w:val="32"/>
          <w:highlight w:val="none"/>
          <w:lang w:eastAsia="zh-CN"/>
        </w:rPr>
        <w:t>）</w:t>
      </w:r>
      <w:r>
        <w:rPr>
          <w:rFonts w:hint="eastAsia" w:ascii="仿宋_GB2312" w:hAnsi="仿宋_GB2312" w:eastAsia="仿宋_GB2312" w:cs="仿宋_GB2312"/>
          <w:b/>
          <w:bCs/>
          <w:color w:val="auto"/>
          <w:sz w:val="32"/>
          <w:szCs w:val="32"/>
          <w:highlight w:val="none"/>
        </w:rPr>
        <w:t>临时安置费。</w:t>
      </w:r>
      <w:r>
        <w:rPr>
          <w:rFonts w:hint="eastAsia" w:ascii="仿宋_GB2312" w:hAnsi="仿宋_GB2312" w:eastAsia="仿宋_GB2312" w:cs="仿宋_GB2312"/>
          <w:color w:val="auto"/>
          <w:sz w:val="32"/>
          <w:szCs w:val="32"/>
          <w:highlight w:val="none"/>
        </w:rPr>
        <w:t>调整方案研究审议通过后，由渠沟镇将区政府发布的调整方案决定进行公告，从公告之日起支付3个月的临时安置费。临时安置费可与房屋差价款相互抵扣结算。</w:t>
      </w:r>
    </w:p>
    <w:p w14:paraId="18CACB63">
      <w:pPr>
        <w:spacing w:line="240" w:lineRule="auto"/>
        <w:ind w:firstLine="643"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（5）其他。</w:t>
      </w:r>
      <w:r>
        <w:rPr>
          <w:rFonts w:hint="eastAsia" w:ascii="仿宋_GB2312" w:hAnsi="仿宋_GB2312" w:eastAsia="仿宋_GB2312" w:cs="仿宋_GB2312"/>
          <w:color w:val="auto"/>
          <w:sz w:val="32"/>
          <w:szCs w:val="32"/>
          <w:highlight w:val="none"/>
        </w:rPr>
        <w:t>其他征收补偿相关事项仍按原征收补偿方案执行。</w:t>
      </w:r>
    </w:p>
    <w:p w14:paraId="7D03B37E">
      <w:pPr>
        <w:spacing w:line="240" w:lineRule="auto"/>
        <w:ind w:firstLine="643" w:firstLineChars="200"/>
        <w:contextualSpacing/>
        <w:rPr>
          <w:rFonts w:hint="eastAsia" w:ascii="楷体" w:hAnsi="楷体" w:eastAsia="楷体" w:cs="楷体"/>
          <w:b/>
          <w:bCs/>
          <w:color w:val="auto"/>
          <w:sz w:val="32"/>
          <w:szCs w:val="32"/>
          <w:highlight w:val="none"/>
        </w:rPr>
      </w:pPr>
      <w:r>
        <w:rPr>
          <w:rFonts w:hint="eastAsia" w:ascii="楷体" w:hAnsi="楷体" w:eastAsia="楷体" w:cs="楷体"/>
          <w:b/>
          <w:bCs/>
          <w:color w:val="auto"/>
          <w:sz w:val="32"/>
          <w:szCs w:val="32"/>
          <w:highlight w:val="none"/>
          <w:lang w:eastAsia="zh-CN"/>
        </w:rPr>
        <w:t>（三）</w:t>
      </w:r>
      <w:r>
        <w:rPr>
          <w:rFonts w:hint="eastAsia" w:ascii="楷体" w:hAnsi="楷体" w:eastAsia="楷体" w:cs="楷体"/>
          <w:b/>
          <w:bCs/>
          <w:color w:val="auto"/>
          <w:sz w:val="32"/>
          <w:szCs w:val="32"/>
          <w:highlight w:val="none"/>
        </w:rPr>
        <w:t>提请事项</w:t>
      </w:r>
    </w:p>
    <w:p w14:paraId="3BADA21C">
      <w:pPr>
        <w:spacing w:line="240" w:lineRule="auto"/>
        <w:ind w:firstLine="640" w:firstLineChars="200"/>
        <w:contextualSpacing/>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color w:val="auto"/>
          <w:sz w:val="32"/>
          <w:szCs w:val="32"/>
          <w:highlight w:val="none"/>
          <w:lang w:val="en-US" w:eastAsia="zh-CN"/>
        </w:rPr>
        <w:t>现</w:t>
      </w:r>
      <w:r>
        <w:rPr>
          <w:rFonts w:hint="eastAsia" w:ascii="仿宋_GB2312" w:hAnsi="仿宋_GB2312" w:eastAsia="仿宋_GB2312" w:cs="仿宋_GB2312"/>
          <w:color w:val="auto"/>
          <w:sz w:val="32"/>
          <w:szCs w:val="32"/>
          <w:highlight w:val="none"/>
        </w:rPr>
        <w:t>提请区政府常务会研究审议</w:t>
      </w:r>
      <w:r>
        <w:rPr>
          <w:rFonts w:hint="eastAsia" w:ascii="仿宋_GB2312" w:hAnsi="仿宋_GB2312" w:eastAsia="仿宋_GB2312" w:cs="仿宋_GB2312"/>
          <w:color w:val="auto"/>
          <w:sz w:val="32"/>
          <w:szCs w:val="32"/>
          <w:highlight w:val="none"/>
          <w:lang w:eastAsia="zh-CN"/>
        </w:rPr>
        <w:t>《关于调整惠黎西路、金河路项目安置方式的汇报（送审稿）》，我镇将根据会议意见修改完善后执行</w:t>
      </w:r>
      <w:r>
        <w:rPr>
          <w:rFonts w:hint="eastAsia" w:ascii="仿宋_GB2312" w:hAnsi="仿宋_GB2312" w:eastAsia="仿宋_GB2312" w:cs="仿宋_GB2312"/>
          <w:color w:val="auto"/>
          <w:sz w:val="32"/>
          <w:szCs w:val="32"/>
          <w:highlight w:val="none"/>
        </w:rPr>
        <w:t>。</w:t>
      </w:r>
    </w:p>
    <w:p w14:paraId="77D387F2">
      <w:pPr>
        <w:ind w:firstLine="5120" w:firstLineChars="1600"/>
        <w:rPr>
          <w:rFonts w:hint="eastAsia" w:ascii="仿宋_GB2312" w:hAnsi="仿宋_GB2312" w:eastAsia="仿宋_GB2312" w:cs="仿宋_GB2312"/>
          <w:sz w:val="32"/>
          <w:szCs w:val="32"/>
          <w:lang w:val="en-US" w:eastAsia="zh-CN"/>
        </w:rPr>
      </w:pPr>
      <w:bookmarkStart w:id="0" w:name="_GoBack"/>
      <w:bookmarkEnd w:id="0"/>
    </w:p>
    <w:sectPr>
      <w:pgSz w:w="11906" w:h="16838"/>
      <w:pgMar w:top="1157" w:right="1800" w:bottom="873" w:left="180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FangSong_GB2312">
    <w:altName w:val="仿宋_GB2312"/>
    <w:panose1 w:val="02010609030101010101"/>
    <w:charset w:val="86"/>
    <w:family w:val="auto"/>
    <w:pitch w:val="default"/>
    <w:sig w:usb0="00000000" w:usb1="00000000" w:usb2="00000000" w:usb3="00000000" w:csb0="00040000" w:csb1="00000000"/>
  </w:font>
  <w:font w:name="仿宋_GB2312">
    <w:panose1 w:val="02010609030101010101"/>
    <w:charset w:val="86"/>
    <w:family w:val="swiss"/>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AA3A24"/>
    <w:multiLevelType w:val="singleLevel"/>
    <w:tmpl w:val="C8AA3A2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IwNWI4ZWRmYzgwZDNjOTU0N2FlYTFjOTAwZjVlYWIifQ=="/>
  </w:docVars>
  <w:rsids>
    <w:rsidRoot w:val="009C0023"/>
    <w:rsid w:val="001B4A11"/>
    <w:rsid w:val="0037303C"/>
    <w:rsid w:val="007D2383"/>
    <w:rsid w:val="009C0023"/>
    <w:rsid w:val="00CD2ACE"/>
    <w:rsid w:val="00E6559D"/>
    <w:rsid w:val="00ED5940"/>
    <w:rsid w:val="025952CA"/>
    <w:rsid w:val="04277401"/>
    <w:rsid w:val="0476274E"/>
    <w:rsid w:val="04EC21BD"/>
    <w:rsid w:val="05B93485"/>
    <w:rsid w:val="082E2341"/>
    <w:rsid w:val="08AE01DD"/>
    <w:rsid w:val="0BDE5844"/>
    <w:rsid w:val="0EE75E6B"/>
    <w:rsid w:val="10042CED"/>
    <w:rsid w:val="10083CD1"/>
    <w:rsid w:val="105C6685"/>
    <w:rsid w:val="108F7C7F"/>
    <w:rsid w:val="113873F2"/>
    <w:rsid w:val="13251C05"/>
    <w:rsid w:val="13D00335"/>
    <w:rsid w:val="14FE1412"/>
    <w:rsid w:val="17D36612"/>
    <w:rsid w:val="1BA32E7E"/>
    <w:rsid w:val="1C3E1334"/>
    <w:rsid w:val="1CE13A4E"/>
    <w:rsid w:val="1D2872E2"/>
    <w:rsid w:val="1EB36F22"/>
    <w:rsid w:val="21BD62DF"/>
    <w:rsid w:val="28F53CDF"/>
    <w:rsid w:val="29D315FE"/>
    <w:rsid w:val="29F56FB8"/>
    <w:rsid w:val="29FC7A07"/>
    <w:rsid w:val="2A2E3C7D"/>
    <w:rsid w:val="2A415BF8"/>
    <w:rsid w:val="2A623F72"/>
    <w:rsid w:val="2B4F2D00"/>
    <w:rsid w:val="2B757007"/>
    <w:rsid w:val="2C2563D3"/>
    <w:rsid w:val="2C64656C"/>
    <w:rsid w:val="2CA73C5E"/>
    <w:rsid w:val="2D7F4DE8"/>
    <w:rsid w:val="2D802E9F"/>
    <w:rsid w:val="2D8C1F84"/>
    <w:rsid w:val="2DCC77BD"/>
    <w:rsid w:val="2E9D4E30"/>
    <w:rsid w:val="304B42F4"/>
    <w:rsid w:val="30BA08BD"/>
    <w:rsid w:val="32247A8C"/>
    <w:rsid w:val="357478C4"/>
    <w:rsid w:val="35B425F8"/>
    <w:rsid w:val="36E5082B"/>
    <w:rsid w:val="388320BC"/>
    <w:rsid w:val="39BC1DBE"/>
    <w:rsid w:val="3A35150A"/>
    <w:rsid w:val="3F8468AF"/>
    <w:rsid w:val="41EC4052"/>
    <w:rsid w:val="43C875B2"/>
    <w:rsid w:val="466B78DA"/>
    <w:rsid w:val="4823125B"/>
    <w:rsid w:val="4A180775"/>
    <w:rsid w:val="4D4203D5"/>
    <w:rsid w:val="4ED623FF"/>
    <w:rsid w:val="500A3930"/>
    <w:rsid w:val="52DB2BC1"/>
    <w:rsid w:val="553C2850"/>
    <w:rsid w:val="5895206A"/>
    <w:rsid w:val="59BB7545"/>
    <w:rsid w:val="5AA20705"/>
    <w:rsid w:val="5B081FD1"/>
    <w:rsid w:val="5C0E76BF"/>
    <w:rsid w:val="5D5538EF"/>
    <w:rsid w:val="5DEA73A2"/>
    <w:rsid w:val="5FAC27AF"/>
    <w:rsid w:val="5FB54A36"/>
    <w:rsid w:val="6120654D"/>
    <w:rsid w:val="653B073A"/>
    <w:rsid w:val="663D0D7B"/>
    <w:rsid w:val="678A786E"/>
    <w:rsid w:val="6A1941F0"/>
    <w:rsid w:val="6A780DF9"/>
    <w:rsid w:val="6AA56BEB"/>
    <w:rsid w:val="6B3B2126"/>
    <w:rsid w:val="6B6E1C20"/>
    <w:rsid w:val="6BA376DA"/>
    <w:rsid w:val="6F135A3B"/>
    <w:rsid w:val="71063254"/>
    <w:rsid w:val="71702994"/>
    <w:rsid w:val="717635CC"/>
    <w:rsid w:val="73FF76A9"/>
    <w:rsid w:val="7544567D"/>
    <w:rsid w:val="75D94991"/>
    <w:rsid w:val="78B61166"/>
    <w:rsid w:val="79BA6D45"/>
    <w:rsid w:val="7A997364"/>
    <w:rsid w:val="7B705D59"/>
    <w:rsid w:val="7C095B70"/>
    <w:rsid w:val="7C880678"/>
    <w:rsid w:val="7C8F0C60"/>
    <w:rsid w:val="7CEE7A4D"/>
    <w:rsid w:val="7F17496E"/>
    <w:rsid w:val="7F8A256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FangSong_GB2312" w:hAnsi="FangSong_GB2312" w:eastAsia="FangSong_GB2312" w:cs="FangSong_GB2312"/>
      <w:sz w:val="31"/>
      <w:szCs w:val="31"/>
      <w:lang w:val="en-US" w:eastAsia="en-US" w:bidi="ar-SA"/>
    </w:rPr>
  </w:style>
  <w:style w:type="paragraph" w:styleId="3">
    <w:name w:val="Body Text Indent"/>
    <w:basedOn w:val="1"/>
    <w:qFormat/>
    <w:uiPriority w:val="0"/>
    <w:pPr>
      <w:ind w:firstLine="600"/>
    </w:pPr>
    <w:rPr>
      <w:sz w:val="30"/>
      <w:szCs w:val="20"/>
    </w:rPr>
  </w:style>
  <w:style w:type="paragraph" w:styleId="4">
    <w:name w:val="Title"/>
    <w:basedOn w:val="1"/>
    <w:next w:val="1"/>
    <w:qFormat/>
    <w:uiPriority w:val="0"/>
    <w:pPr>
      <w:spacing w:before="240" w:after="60"/>
      <w:jc w:val="center"/>
      <w:outlineLvl w:val="0"/>
    </w:pPr>
    <w:rPr>
      <w:rFonts w:ascii="Cambria" w:hAnsi="Cambria" w:cs="Times New Roman"/>
      <w:b/>
      <w:bCs/>
      <w:sz w:val="32"/>
      <w:szCs w:val="32"/>
    </w:rPr>
  </w:style>
  <w:style w:type="paragraph" w:styleId="5">
    <w:name w:val="Body Text First Indent 2"/>
    <w:basedOn w:val="1"/>
    <w:qFormat/>
    <w:uiPriority w:val="0"/>
    <w:pPr>
      <w:ind w:firstLine="420" w:firstLineChars="200"/>
    </w:pPr>
    <w:rPr>
      <w:kern w:val="0"/>
      <w:sz w:val="20"/>
    </w:rPr>
  </w:style>
  <w:style w:type="table" w:styleId="7">
    <w:name w:val="Table Grid"/>
    <w:basedOn w:val="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正文01"/>
    <w:basedOn w:val="1"/>
    <w:qFormat/>
    <w:uiPriority w:val="0"/>
    <w:pPr>
      <w:spacing w:line="360" w:lineRule="auto"/>
      <w:ind w:firstLine="200" w:firstLineChars="200"/>
    </w:pPr>
    <w:rPr>
      <w:rFonts w:hint="eastAsia"/>
      <w:sz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4</Pages>
  <Words>1457</Words>
  <Characters>1517</Characters>
  <Lines>1</Lines>
  <Paragraphs>1</Paragraphs>
  <TotalTime>2</TotalTime>
  <ScaleCrop>false</ScaleCrop>
  <LinksUpToDate>false</LinksUpToDate>
  <CharactersWithSpaces>1537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2017-10-16T08:44:00Z</dcterms:created>
  <dc:creator>Administrator</dc:creator>
  <cp:lastModifiedBy>流觞止水</cp:lastModifiedBy>
  <cp:lastPrinted>2026-09-03T03:42:00Z</cp:lastPrinted>
  <dcterms:modified xsi:type="dcterms:W3CDTF">2026-09-08T01:42:39Z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003637FC9253479F806D18486BD8A6AC_13</vt:lpwstr>
  </property>
  <property fmtid="{D5CDD505-2E9C-101B-9397-08002B2CF9AE}" pid="4" name="KSOTemplateDocerSaveRecord">
    <vt:lpwstr>eyJoZGlkIjoiOTc3MjA3YThjNGQ2YWRlYmM3MTA1NjFmMTVjNzFjMWQiLCJ1c2VySWQiOiI2NjY5ODMwOTQifQ==</vt:lpwstr>
  </property>
</Properties>
</file>