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D0C93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评审办法</w:t>
      </w:r>
    </w:p>
    <w:p w14:paraId="6F735D53"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资格评审</w:t>
      </w:r>
    </w:p>
    <w:tbl>
      <w:tblPr>
        <w:tblStyle w:val="2"/>
        <w:tblW w:w="9594" w:type="dxa"/>
        <w:tblInd w:w="-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109"/>
        <w:gridCol w:w="2010"/>
        <w:gridCol w:w="4575"/>
      </w:tblGrid>
      <w:tr w14:paraId="00883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0" w:type="dxa"/>
            <w:noWrap w:val="0"/>
            <w:vAlign w:val="top"/>
          </w:tcPr>
          <w:p w14:paraId="31C0BABE">
            <w:pPr>
              <w:pStyle w:val="4"/>
              <w:spacing w:before="112"/>
              <w:ind w:left="14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4119" w:type="dxa"/>
            <w:gridSpan w:val="2"/>
            <w:noWrap w:val="0"/>
            <w:vAlign w:val="top"/>
          </w:tcPr>
          <w:p w14:paraId="4D098363">
            <w:pPr>
              <w:pStyle w:val="4"/>
              <w:spacing w:before="112"/>
              <w:ind w:left="1585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审查因素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4575" w:type="dxa"/>
            <w:noWrap w:val="0"/>
            <w:vAlign w:val="top"/>
          </w:tcPr>
          <w:p w14:paraId="5700EFFB">
            <w:pPr>
              <w:pStyle w:val="4"/>
              <w:spacing w:before="112"/>
              <w:ind w:left="1712" w:right="1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审查内容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 w14:paraId="23857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00" w:type="dxa"/>
            <w:noWrap w:val="0"/>
            <w:vAlign w:val="top"/>
          </w:tcPr>
          <w:p w14:paraId="46CB92E4">
            <w:pPr>
              <w:pStyle w:val="4"/>
              <w:spacing w:before="113" w:line="306" w:lineRule="exact"/>
              <w:ind w:left="145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09" w:type="dxa"/>
            <w:noWrap w:val="0"/>
            <w:vAlign w:val="top"/>
          </w:tcPr>
          <w:p w14:paraId="2E29F325">
            <w:pPr>
              <w:pStyle w:val="4"/>
              <w:spacing w:before="113" w:line="306" w:lineRule="exact"/>
              <w:ind w:left="553"/>
              <w:rPr>
                <w:sz w:val="24"/>
              </w:rPr>
            </w:pPr>
            <w:r>
              <w:rPr>
                <w:sz w:val="24"/>
              </w:rPr>
              <w:t xml:space="preserve">营业执照 </w:t>
            </w:r>
          </w:p>
        </w:tc>
        <w:tc>
          <w:tcPr>
            <w:tcW w:w="2010" w:type="dxa"/>
            <w:noWrap w:val="0"/>
            <w:vAlign w:val="top"/>
          </w:tcPr>
          <w:p w14:paraId="52BCDC83">
            <w:pPr>
              <w:pStyle w:val="4"/>
              <w:spacing w:before="113" w:line="306" w:lineRule="exact"/>
              <w:ind w:left="510"/>
              <w:rPr>
                <w:sz w:val="24"/>
              </w:rPr>
            </w:pPr>
            <w:r>
              <w:rPr>
                <w:sz w:val="24"/>
              </w:rPr>
              <w:t xml:space="preserve">合法有效 </w:t>
            </w:r>
          </w:p>
        </w:tc>
        <w:tc>
          <w:tcPr>
            <w:tcW w:w="4575" w:type="dxa"/>
            <w:vMerge w:val="restart"/>
            <w:noWrap w:val="0"/>
            <w:vAlign w:val="top"/>
          </w:tcPr>
          <w:p w14:paraId="30EAE6E1">
            <w:pPr>
              <w:pStyle w:val="4"/>
              <w:spacing w:line="242" w:lineRule="auto"/>
              <w:ind w:left="113" w:right="110"/>
              <w:rPr>
                <w:sz w:val="24"/>
              </w:rPr>
            </w:pPr>
            <w:r>
              <w:rPr>
                <w:sz w:val="24"/>
              </w:rPr>
              <w:t>提供有效的投标人营业执照（或事业单位法人登记证书）和税务登记证的</w:t>
            </w:r>
            <w:r>
              <w:rPr>
                <w:rFonts w:hint="eastAsia"/>
                <w:sz w:val="24"/>
                <w:lang w:val="en-US" w:eastAsia="zh-CN"/>
              </w:rPr>
              <w:t>复印件</w:t>
            </w:r>
            <w:r>
              <w:rPr>
                <w:sz w:val="24"/>
              </w:rPr>
              <w:t>，应完整的体现出营业执照（或事业单位法人登记证书）和税务登记证的全部内容。已办理“三证合一”登记的， 投标文件中提供营业执照（或事业单位法人登记证书）</w:t>
            </w:r>
            <w:r>
              <w:rPr>
                <w:rFonts w:hint="eastAsia"/>
                <w:sz w:val="24"/>
                <w:lang w:val="en-US" w:eastAsia="zh-CN"/>
              </w:rPr>
              <w:t>复印件</w:t>
            </w:r>
            <w:r>
              <w:rPr>
                <w:sz w:val="24"/>
              </w:rPr>
              <w:t xml:space="preserve">即可。 </w:t>
            </w:r>
          </w:p>
        </w:tc>
      </w:tr>
      <w:tr w14:paraId="1B899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900" w:type="dxa"/>
            <w:noWrap w:val="0"/>
            <w:vAlign w:val="top"/>
          </w:tcPr>
          <w:p w14:paraId="5DC870CD">
            <w:pPr>
              <w:pStyle w:val="4"/>
              <w:rPr>
                <w:sz w:val="24"/>
              </w:rPr>
            </w:pPr>
          </w:p>
          <w:p w14:paraId="042E4F9C">
            <w:pPr>
              <w:pStyle w:val="4"/>
              <w:spacing w:before="2"/>
              <w:rPr>
                <w:sz w:val="35"/>
              </w:rPr>
            </w:pPr>
          </w:p>
          <w:p w14:paraId="463FE084">
            <w:pPr>
              <w:pStyle w:val="4"/>
              <w:ind w:left="145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09" w:type="dxa"/>
            <w:noWrap w:val="0"/>
            <w:vAlign w:val="top"/>
          </w:tcPr>
          <w:p w14:paraId="4FDCDF80">
            <w:pPr>
              <w:pStyle w:val="4"/>
              <w:rPr>
                <w:sz w:val="24"/>
              </w:rPr>
            </w:pPr>
          </w:p>
          <w:p w14:paraId="2F345CDC">
            <w:pPr>
              <w:pStyle w:val="4"/>
              <w:spacing w:before="2"/>
              <w:rPr>
                <w:sz w:val="35"/>
              </w:rPr>
            </w:pPr>
          </w:p>
          <w:p w14:paraId="7FDB149F">
            <w:pPr>
              <w:pStyle w:val="4"/>
              <w:ind w:left="433"/>
              <w:rPr>
                <w:sz w:val="24"/>
              </w:rPr>
            </w:pPr>
            <w:r>
              <w:rPr>
                <w:sz w:val="24"/>
              </w:rPr>
              <w:t xml:space="preserve">税务登记证 </w:t>
            </w:r>
          </w:p>
        </w:tc>
        <w:tc>
          <w:tcPr>
            <w:tcW w:w="2010" w:type="dxa"/>
            <w:noWrap w:val="0"/>
            <w:vAlign w:val="top"/>
          </w:tcPr>
          <w:p w14:paraId="7A85663C">
            <w:pPr>
              <w:pStyle w:val="4"/>
              <w:rPr>
                <w:sz w:val="24"/>
              </w:rPr>
            </w:pPr>
          </w:p>
          <w:p w14:paraId="180E07AB">
            <w:pPr>
              <w:pStyle w:val="4"/>
              <w:spacing w:before="2"/>
              <w:rPr>
                <w:sz w:val="35"/>
              </w:rPr>
            </w:pPr>
          </w:p>
          <w:p w14:paraId="2B9EED07">
            <w:pPr>
              <w:pStyle w:val="4"/>
              <w:ind w:left="510"/>
              <w:rPr>
                <w:sz w:val="24"/>
              </w:rPr>
            </w:pPr>
            <w:r>
              <w:rPr>
                <w:sz w:val="24"/>
              </w:rPr>
              <w:t xml:space="preserve">合法有效 </w:t>
            </w:r>
          </w:p>
        </w:tc>
        <w:tc>
          <w:tcPr>
            <w:tcW w:w="4575" w:type="dxa"/>
            <w:vMerge w:val="continue"/>
            <w:tcBorders>
              <w:top w:val="nil"/>
            </w:tcBorders>
            <w:noWrap w:val="0"/>
            <w:vAlign w:val="top"/>
          </w:tcPr>
          <w:p w14:paraId="74A3EF5F">
            <w:pPr>
              <w:rPr>
                <w:sz w:val="2"/>
                <w:szCs w:val="2"/>
              </w:rPr>
            </w:pPr>
          </w:p>
        </w:tc>
      </w:tr>
      <w:tr w14:paraId="445BE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900" w:type="dxa"/>
            <w:noWrap w:val="0"/>
            <w:vAlign w:val="top"/>
          </w:tcPr>
          <w:p w14:paraId="1A1B025D">
            <w:pPr>
              <w:pStyle w:val="4"/>
              <w:spacing w:line="242" w:lineRule="exact"/>
              <w:ind w:left="145" w:right="21"/>
              <w:jc w:val="center"/>
              <w:rPr>
                <w:rFonts w:hint="eastAsia"/>
                <w:sz w:val="24"/>
                <w:lang w:val="en-US"/>
              </w:rPr>
            </w:pPr>
          </w:p>
          <w:p w14:paraId="5E6894B0">
            <w:pPr>
              <w:pStyle w:val="4"/>
              <w:spacing w:line="242" w:lineRule="exact"/>
              <w:ind w:left="145" w:right="21"/>
              <w:jc w:val="center"/>
              <w:rPr>
                <w:rFonts w:hint="eastAsia"/>
                <w:sz w:val="24"/>
                <w:lang w:val="en-US"/>
              </w:rPr>
            </w:pPr>
          </w:p>
          <w:p w14:paraId="2AB1EAB2">
            <w:pPr>
              <w:pStyle w:val="4"/>
              <w:spacing w:line="242" w:lineRule="exact"/>
              <w:ind w:left="145" w:right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09" w:type="dxa"/>
            <w:noWrap w:val="0"/>
            <w:vAlign w:val="center"/>
          </w:tcPr>
          <w:p w14:paraId="31C96041">
            <w:pPr>
              <w:pStyle w:val="4"/>
              <w:spacing w:before="112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满足《中华人民共</w:t>
            </w:r>
          </w:p>
          <w:p w14:paraId="22352743">
            <w:pPr>
              <w:pStyle w:val="4"/>
              <w:spacing w:line="24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和国政府采购法》</w:t>
            </w:r>
          </w:p>
          <w:p w14:paraId="27386E7B">
            <w:pPr>
              <w:pStyle w:val="4"/>
              <w:spacing w:before="19"/>
              <w:ind w:left="107" w:right="-29"/>
              <w:jc w:val="center"/>
              <w:rPr>
                <w:b/>
                <w:i/>
                <w:sz w:val="25"/>
              </w:rPr>
            </w:pPr>
            <w:r>
              <w:rPr>
                <w:spacing w:val="-9"/>
                <w:sz w:val="24"/>
              </w:rPr>
              <w:t>第二十二条规定；</w:t>
            </w:r>
          </w:p>
        </w:tc>
        <w:tc>
          <w:tcPr>
            <w:tcW w:w="2010" w:type="dxa"/>
            <w:noWrap w:val="0"/>
            <w:vAlign w:val="center"/>
          </w:tcPr>
          <w:p w14:paraId="6A24DB33">
            <w:pPr>
              <w:pStyle w:val="4"/>
              <w:spacing w:before="194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内容完整，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</w:p>
          <w:p w14:paraId="4D2D50AF">
            <w:pPr>
              <w:pStyle w:val="4"/>
              <w:spacing w:before="40" w:line="29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齐全</w:t>
            </w:r>
          </w:p>
        </w:tc>
        <w:tc>
          <w:tcPr>
            <w:tcW w:w="4575" w:type="dxa"/>
            <w:noWrap w:val="0"/>
            <w:vAlign w:val="center"/>
          </w:tcPr>
          <w:p w14:paraId="69C717F0">
            <w:pPr>
              <w:pStyle w:val="4"/>
              <w:spacing w:line="290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提供投标企业符合《中华人民共和国政</w:t>
            </w:r>
            <w:r>
              <w:rPr>
                <w:spacing w:val="-12"/>
                <w:sz w:val="24"/>
              </w:rPr>
              <w:t>府采购法》第二十二条规定声明函</w:t>
            </w:r>
          </w:p>
        </w:tc>
      </w:tr>
      <w:tr w14:paraId="02A8C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900" w:type="dxa"/>
            <w:noWrap w:val="0"/>
            <w:vAlign w:val="top"/>
          </w:tcPr>
          <w:p w14:paraId="352EA5FF">
            <w:pPr>
              <w:pStyle w:val="4"/>
              <w:rPr>
                <w:sz w:val="24"/>
              </w:rPr>
            </w:pPr>
          </w:p>
          <w:p w14:paraId="77A6007A">
            <w:pPr>
              <w:pStyle w:val="4"/>
              <w:rPr>
                <w:sz w:val="24"/>
              </w:rPr>
            </w:pPr>
          </w:p>
          <w:p w14:paraId="050E754A">
            <w:pPr>
              <w:pStyle w:val="4"/>
              <w:rPr>
                <w:sz w:val="24"/>
              </w:rPr>
            </w:pPr>
          </w:p>
          <w:p w14:paraId="5D097DC4">
            <w:pPr>
              <w:pStyle w:val="4"/>
              <w:spacing w:before="195"/>
              <w:ind w:left="145" w:right="2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4</w:t>
            </w:r>
          </w:p>
        </w:tc>
        <w:tc>
          <w:tcPr>
            <w:tcW w:w="2109" w:type="dxa"/>
            <w:noWrap w:val="0"/>
            <w:vAlign w:val="top"/>
          </w:tcPr>
          <w:p w14:paraId="374710AA">
            <w:pPr>
              <w:pStyle w:val="4"/>
              <w:spacing w:before="5"/>
              <w:rPr>
                <w:sz w:val="20"/>
              </w:rPr>
            </w:pPr>
          </w:p>
          <w:p w14:paraId="31B901C1">
            <w:pPr>
              <w:pStyle w:val="4"/>
              <w:spacing w:line="422" w:lineRule="auto"/>
              <w:ind w:left="107" w:right="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近三年在经营活动中没有重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大违法记录书面声明</w:t>
            </w:r>
            <w:r>
              <w:rPr>
                <w:sz w:val="24"/>
              </w:rPr>
              <w:t xml:space="preserve"> </w:t>
            </w:r>
          </w:p>
          <w:p w14:paraId="05A3BC12">
            <w:pPr>
              <w:pStyle w:val="4"/>
              <w:spacing w:before="9"/>
              <w:rPr>
                <w:sz w:val="19"/>
              </w:rPr>
            </w:pPr>
          </w:p>
          <w:p w14:paraId="7CCF12BC">
            <w:pPr>
              <w:pStyle w:val="4"/>
              <w:spacing w:before="1" w:line="292" w:lineRule="exact"/>
              <w:ind w:right="17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0" w:type="dxa"/>
            <w:noWrap w:val="0"/>
            <w:vAlign w:val="top"/>
          </w:tcPr>
          <w:p w14:paraId="38BD96BD">
            <w:pPr>
              <w:pStyle w:val="4"/>
              <w:rPr>
                <w:sz w:val="24"/>
              </w:rPr>
            </w:pPr>
          </w:p>
          <w:p w14:paraId="60234D4E">
            <w:pPr>
              <w:pStyle w:val="4"/>
              <w:rPr>
                <w:sz w:val="24"/>
              </w:rPr>
            </w:pPr>
          </w:p>
          <w:p w14:paraId="1584BFAB">
            <w:pPr>
              <w:pStyle w:val="4"/>
              <w:rPr>
                <w:sz w:val="22"/>
              </w:rPr>
            </w:pPr>
          </w:p>
          <w:p w14:paraId="71065B16">
            <w:pPr>
              <w:pStyle w:val="4"/>
              <w:spacing w:line="343" w:lineRule="auto"/>
              <w:ind w:left="106" w:right="88"/>
              <w:rPr>
                <w:sz w:val="24"/>
              </w:rPr>
            </w:pPr>
            <w:r>
              <w:rPr>
                <w:sz w:val="24"/>
              </w:rPr>
              <w:t>内容完整，</w:t>
            </w:r>
            <w:r>
              <w:rPr>
                <w:rFonts w:hint="eastAsia"/>
                <w:sz w:val="24"/>
                <w:lang w:val="en-US" w:eastAsia="zh-CN"/>
              </w:rPr>
              <w:t>盖</w:t>
            </w:r>
            <w:r>
              <w:rPr>
                <w:sz w:val="24"/>
              </w:rPr>
              <w:t xml:space="preserve">章齐全 </w:t>
            </w:r>
          </w:p>
        </w:tc>
        <w:tc>
          <w:tcPr>
            <w:tcW w:w="4575" w:type="dxa"/>
            <w:noWrap w:val="0"/>
            <w:vAlign w:val="center"/>
          </w:tcPr>
          <w:p w14:paraId="128BEF32">
            <w:pPr>
              <w:pStyle w:val="4"/>
              <w:jc w:val="center"/>
              <w:rPr>
                <w:sz w:val="24"/>
              </w:rPr>
            </w:pPr>
          </w:p>
          <w:p w14:paraId="0FCBED3D">
            <w:pPr>
              <w:pStyle w:val="4"/>
              <w:spacing w:before="160" w:line="422" w:lineRule="auto"/>
              <w:ind w:left="353" w:right="103" w:hanging="24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提供</w:t>
            </w:r>
            <w:r>
              <w:rPr>
                <w:sz w:val="24"/>
              </w:rPr>
              <w:t>无重大违法记录声明函</w:t>
            </w:r>
          </w:p>
        </w:tc>
      </w:tr>
      <w:tr w14:paraId="3FB0D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0" w:type="dxa"/>
            <w:noWrap w:val="0"/>
            <w:vAlign w:val="center"/>
          </w:tcPr>
          <w:p w14:paraId="5B811875">
            <w:pPr>
              <w:pStyle w:val="4"/>
              <w:spacing w:before="112"/>
              <w:ind w:left="145" w:right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5</w:t>
            </w:r>
          </w:p>
        </w:tc>
        <w:tc>
          <w:tcPr>
            <w:tcW w:w="2109" w:type="dxa"/>
            <w:noWrap w:val="0"/>
            <w:vAlign w:val="center"/>
          </w:tcPr>
          <w:p w14:paraId="2EA28B58">
            <w:pPr>
              <w:pStyle w:val="4"/>
              <w:spacing w:before="112"/>
              <w:ind w:left="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业绩</w:t>
            </w:r>
          </w:p>
        </w:tc>
        <w:tc>
          <w:tcPr>
            <w:tcW w:w="2010" w:type="dxa"/>
            <w:noWrap w:val="0"/>
            <w:vAlign w:val="top"/>
          </w:tcPr>
          <w:p w14:paraId="5CEF8CB7">
            <w:pPr>
              <w:pStyle w:val="4"/>
              <w:spacing w:before="112"/>
              <w:ind w:left="106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4575" w:type="dxa"/>
            <w:noWrap w:val="0"/>
            <w:vAlign w:val="center"/>
          </w:tcPr>
          <w:p w14:paraId="29CC95CD">
            <w:pPr>
              <w:pStyle w:val="4"/>
              <w:spacing w:before="112"/>
              <w:ind w:left="104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提供合同扫描件或复印件加盖公章</w:t>
            </w:r>
          </w:p>
        </w:tc>
      </w:tr>
    </w:tbl>
    <w:p w14:paraId="73A8D585">
      <w:pPr>
        <w:numPr>
          <w:ilvl w:val="0"/>
          <w:numId w:val="0"/>
        </w:numPr>
        <w:jc w:val="both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注：通过资格评审的供应商进入方案评审。</w:t>
      </w:r>
    </w:p>
    <w:p w14:paraId="08DD86C9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03506FEE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0D4118BA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71A43E2C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63EC1402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27BAA52D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 w14:paraId="740FC699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page" w:horzAnchor="page" w:tblpX="1845" w:tblpY="2443"/>
        <w:tblW w:w="8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7235"/>
      </w:tblGrid>
      <w:tr w14:paraId="07B6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69" w:type="dxa"/>
            <w:noWrap w:val="0"/>
            <w:vAlign w:val="center"/>
          </w:tcPr>
          <w:p w14:paraId="677FE05B"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整体设计方案（40分）</w:t>
            </w:r>
          </w:p>
        </w:tc>
        <w:tc>
          <w:tcPr>
            <w:tcW w:w="7235" w:type="dxa"/>
            <w:noWrap w:val="0"/>
            <w:vAlign w:val="top"/>
          </w:tcPr>
          <w:p w14:paraId="7DD1DEFC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针对于项目整体设计方案进行横向对比：</w:t>
            </w:r>
          </w:p>
          <w:p w14:paraId="37ADDC4E">
            <w:pPr>
              <w:numPr>
                <w:ilvl w:val="0"/>
                <w:numId w:val="2"/>
              </w:numPr>
              <w:ind w:left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方案内容完善，包含方案整体设计参数，每间教室细分参数、设备及器材名称、品牌、详细参数、数量、单位、单价、总价、整体实施方案、售后服务、质保期等全部内容，完全符合项目需要的得40分。</w:t>
            </w:r>
          </w:p>
          <w:p w14:paraId="7A0BC571">
            <w:pPr>
              <w:numPr>
                <w:ilvl w:val="0"/>
                <w:numId w:val="2"/>
              </w:numPr>
              <w:ind w:leftChars="0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方案内容较完善，包含方案整体设计参数，每间教室细分参数、设备及器材名称、品牌、详细参数、数量、单位、单价、总价、整体实施方案、售后服务、质保期等较多内容，相对符合项目需要的得20分。</w:t>
            </w:r>
          </w:p>
          <w:p w14:paraId="1C882D72">
            <w:pPr>
              <w:numPr>
                <w:ilvl w:val="0"/>
                <w:numId w:val="2"/>
              </w:numPr>
              <w:ind w:leftChars="0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方案内容一般，包含方案整体设计参数，每间教室细分参数、设备及器材名称、品牌、详细参数、数量、单位、单价、总价、整体实施方案、售后服务、质保期等部分内容，基本符合项目需要的得10分。</w:t>
            </w:r>
          </w:p>
          <w:p w14:paraId="2D9FCC5B">
            <w:pPr>
              <w:numPr>
                <w:ilvl w:val="0"/>
                <w:numId w:val="2"/>
              </w:numPr>
              <w:ind w:leftChars="0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方案内容较差，不符合项目需要的得0分。</w:t>
            </w:r>
          </w:p>
        </w:tc>
      </w:tr>
      <w:tr w14:paraId="06D8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69" w:type="dxa"/>
            <w:noWrap w:val="0"/>
            <w:vAlign w:val="center"/>
          </w:tcPr>
          <w:p w14:paraId="5E1B0383">
            <w:pPr>
              <w:jc w:val="center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设备参数的完整性（20分）</w:t>
            </w:r>
          </w:p>
        </w:tc>
        <w:tc>
          <w:tcPr>
            <w:tcW w:w="7235" w:type="dxa"/>
            <w:noWrap w:val="0"/>
            <w:vAlign w:val="top"/>
          </w:tcPr>
          <w:p w14:paraId="394249A2">
            <w:p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针对于方案中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设备及器材名称、品牌、详细参数、数量、单位、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进行横向对比</w:t>
            </w:r>
          </w:p>
          <w:p w14:paraId="595F9869"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设备参数详细完善，可以满足项目需求的得20分。</w:t>
            </w:r>
          </w:p>
          <w:p w14:paraId="53A0641B"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设备参数相对详细完善，可以满足项目需求的得10分。</w:t>
            </w:r>
          </w:p>
          <w:p w14:paraId="778FAA13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设备参数一般，基本可以满足项目需求的得5分。</w:t>
            </w:r>
          </w:p>
          <w:p w14:paraId="5916BB93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设备参数不完善，无法满足项目需求的不得分。</w:t>
            </w:r>
          </w:p>
        </w:tc>
      </w:tr>
      <w:tr w14:paraId="58EF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69" w:type="dxa"/>
            <w:noWrap w:val="0"/>
            <w:vAlign w:val="center"/>
          </w:tcPr>
          <w:p w14:paraId="0211B329"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供货</w:t>
            </w:r>
          </w:p>
          <w:p w14:paraId="10F92100">
            <w:pPr>
              <w:jc w:val="center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方案</w:t>
            </w:r>
          </w:p>
          <w:p w14:paraId="6AE0074E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(5分</w:t>
            </w:r>
            <w:r>
              <w:rPr>
                <w:rFonts w:hint="default" w:ascii="宋体" w:hAnsi="宋体"/>
                <w:sz w:val="24"/>
                <w:highlight w:val="none"/>
                <w:lang w:val="en-US" w:eastAsia="zh-CN"/>
              </w:rPr>
              <w:t>)</w:t>
            </w:r>
          </w:p>
        </w:tc>
        <w:tc>
          <w:tcPr>
            <w:tcW w:w="7235" w:type="dxa"/>
            <w:noWrap w:val="0"/>
            <w:vAlign w:val="top"/>
          </w:tcPr>
          <w:p w14:paraId="20E6D7FF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结合本项目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实际需要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，项目供货方案，内容包括但不局限于:①项目进度计划②项目供货计划③供货流程安排④组织机构及主要人员组成⑤运输条件等。每提供一项得1分，最高得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分。 </w:t>
            </w:r>
          </w:p>
        </w:tc>
      </w:tr>
      <w:tr w14:paraId="56D0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69" w:type="dxa"/>
            <w:noWrap w:val="0"/>
            <w:vAlign w:val="center"/>
          </w:tcPr>
          <w:p w14:paraId="4CAB0324">
            <w:pP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质量保证方案（3分）</w:t>
            </w:r>
          </w:p>
        </w:tc>
        <w:tc>
          <w:tcPr>
            <w:tcW w:w="7235" w:type="dxa"/>
            <w:noWrap w:val="0"/>
            <w:vAlign w:val="top"/>
          </w:tcPr>
          <w:p w14:paraId="049AAF2F">
            <w:pPr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结合本项目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实际需要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，提供质量保障方案，内容包括但不局限于:①设备技术部分的质量标准②设备技术性能指标描述③产品运输保证方案。每符合一项得1分，最高得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分。 </w:t>
            </w:r>
          </w:p>
        </w:tc>
      </w:tr>
      <w:tr w14:paraId="123B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169" w:type="dxa"/>
            <w:noWrap w:val="0"/>
            <w:vAlign w:val="center"/>
          </w:tcPr>
          <w:p w14:paraId="06252750">
            <w:p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设备安装方案（4分） </w:t>
            </w:r>
          </w:p>
          <w:p w14:paraId="07DE0223">
            <w:p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7235" w:type="dxa"/>
            <w:noWrap w:val="0"/>
            <w:vAlign w:val="top"/>
          </w:tcPr>
          <w:p w14:paraId="3BE1F611">
            <w:pPr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结合本项目采购需求，内容包括但不局限于:①安装前的准备工作②安装工作流程③设备调试、使用和维护④技术服务内容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 xml:space="preserve"> 每符合一项得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分，最高得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分。</w:t>
            </w:r>
          </w:p>
        </w:tc>
      </w:tr>
      <w:tr w14:paraId="0505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69" w:type="dxa"/>
            <w:noWrap w:val="0"/>
            <w:vAlign w:val="center"/>
          </w:tcPr>
          <w:p w14:paraId="10A5B2E8">
            <w:pPr>
              <w:jc w:val="both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售后服务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及承诺</w:t>
            </w:r>
          </w:p>
          <w:p w14:paraId="210CD769">
            <w:pPr>
              <w:jc w:val="both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ascii="宋体" w:hAnsi="宋体" w:eastAsia="宋体"/>
                <w:sz w:val="24"/>
                <w:highlight w:val="none"/>
              </w:rPr>
              <w:t>分）</w:t>
            </w:r>
          </w:p>
        </w:tc>
        <w:tc>
          <w:tcPr>
            <w:tcW w:w="7235" w:type="dxa"/>
            <w:tcBorders>
              <w:bottom w:val="single" w:color="auto" w:sz="4" w:space="0"/>
            </w:tcBorders>
            <w:noWrap w:val="0"/>
            <w:vAlign w:val="top"/>
          </w:tcPr>
          <w:p w14:paraId="27A6D8E0">
            <w:pPr>
              <w:numPr>
                <w:ilvl w:val="0"/>
                <w:numId w:val="4"/>
              </w:numPr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针对本项目供应商提供完善的售后服务制度等进行横向对比，服务内容包含但不限于：1.培训方案；2.售后服务措施；3.维修响应时间；4.售后服务维修机构；5.配备工程师数量（需提供证书）。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每符合一项得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分，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最高得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分。</w:t>
            </w:r>
          </w:p>
          <w:p w14:paraId="7CECBCE6">
            <w:pPr>
              <w:numPr>
                <w:ilvl w:val="0"/>
                <w:numId w:val="4"/>
              </w:numPr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在同一免费质保期的基础上，每增加一年免费质保得1分，满分3分。</w:t>
            </w:r>
          </w:p>
        </w:tc>
      </w:tr>
    </w:tbl>
    <w:p w14:paraId="318FDD60"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2、方案评审（满分80分）</w:t>
      </w:r>
    </w:p>
    <w:p w14:paraId="5C02287E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D6C08"/>
    <w:multiLevelType w:val="singleLevel"/>
    <w:tmpl w:val="8CAD6C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2978B9"/>
    <w:multiLevelType w:val="singleLevel"/>
    <w:tmpl w:val="B32978B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DCA63ED"/>
    <w:multiLevelType w:val="singleLevel"/>
    <w:tmpl w:val="CDCA63E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C33A350"/>
    <w:multiLevelType w:val="singleLevel"/>
    <w:tmpl w:val="0C33A3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YmM4OTBlMzQ1ZjYzYjVmYzg1NjBiZGE0ODM0MGUifQ=="/>
  </w:docVars>
  <w:rsids>
    <w:rsidRoot w:val="37AB5CFE"/>
    <w:rsid w:val="11C64636"/>
    <w:rsid w:val="13BC3026"/>
    <w:rsid w:val="37AB5CFE"/>
    <w:rsid w:val="4294586A"/>
    <w:rsid w:val="50B26176"/>
    <w:rsid w:val="5B823B08"/>
    <w:rsid w:val="73C44DF0"/>
    <w:rsid w:val="7810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rPr>
      <w:rFonts w:ascii="宋体" w:hAnsi="宋体" w:cs="宋体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1159</Words>
  <Characters>1174</Characters>
  <Lines>0</Lines>
  <Paragraphs>0</Paragraphs>
  <TotalTime>140</TotalTime>
  <ScaleCrop>false</ScaleCrop>
  <LinksUpToDate>false</LinksUpToDate>
  <CharactersWithSpaces>1197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2024-07-03T07:30:00Z</dcterms:created>
  <dc:creator>丨′抬头观望那1.袭星光ゞ</dc:creator>
  <cp:lastModifiedBy>一Z.菇凉</cp:lastModifiedBy>
  <dcterms:modified xsi:type="dcterms:W3CDTF">2024-07-17T06:39:50Z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63C150E109C44D3BBBCCC4D9FA825D0C_13</vt:lpwstr>
  </property>
</Properties>
</file>