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a5"/>
      </w:pPr>
      <w:r>
        <w:t xml:space="preserve">中国证监会行政处罚裁量基本规则（2025年）</w:t>
      </w:r>
    </w:p>
    <w:p>
      <w:pPr>
        <w:pStyle w:val="Author"/>
      </w:pPr>
      <w:r>
        <w:t xml:space="preserve">法律法规速查APP</w:t>
      </w:r>
    </w:p>
    <w:p>
      <w:pPr>
        <w:pStyle w:val="Info"/>
      </w:pPr>
      <w:r>
        <w:rPr>
          <w:rStyle w:val="InfoTitle"/>
        </w:rPr>
        <w:t xml:space="preserve">发布字号：</w:t>
      </w:r>
      <w:r>
        <w:t xml:space="preserve">中国证券监督管理委员会令第225号</w:t>
      </w:r>
    </w:p>
    <w:p>
      <w:pPr>
        <w:pStyle w:val="Info"/>
      </w:pPr>
      <w:r>
        <w:rPr>
          <w:rStyle w:val="InfoTitle"/>
        </w:rPr>
        <w:t xml:space="preserve">发布机关：</w:t>
      </w:r>
      <w:r>
        <w:t xml:space="preserve">中国证监会</w:t>
      </w:r>
    </w:p>
    <w:p>
      <w:pPr>
        <w:pStyle w:val="Info"/>
      </w:pPr>
      <w:r>
        <w:rPr>
          <w:rStyle w:val="InfoTitle"/>
        </w:rPr>
        <w:t xml:space="preserve">发布日期：</w:t>
      </w:r>
      <w:r>
        <w:t xml:space="preserve">2025年1月17日</w:t>
      </w:r>
    </w:p>
    <w:p>
      <w:pPr>
        <w:pStyle w:val="Info"/>
      </w:pPr>
      <w:r>
        <w:rPr>
          <w:rStyle w:val="InfoTitle"/>
        </w:rPr>
        <w:t xml:space="preserve">实施日期：</w:t>
      </w:r>
      <w:r>
        <w:t xml:space="preserve">2025年3月1日</w:t>
      </w:r>
    </w:p>
    <w:p>
      <w:pPr>
        <w:pStyle w:val="Info"/>
      </w:pPr>
      <w:r>
        <w:rPr>
          <w:rStyle w:val="InfoTitle"/>
        </w:rPr>
        <w:t xml:space="preserve">当前效力：</w:t>
      </w:r>
      <w:r>
        <w:t xml:space="preserve">有效</w:t>
      </w:r>
    </w:p>
    <w:p>
      <w:pPr>
        <w:pStyle w:val="Info"/>
      </w:pPr>
      <w:r>
        <w:t xml:space="preserve"> </w:t>
      </w:r>
    </w:p>
    <w:p>
      <w:pPr>
        <w:pStyle w:val="Abstract"/>
      </w:pPr>
      <w:r>
        <w:t xml:space="preserve">（2024年12月31日经中国证监会2024年第3次委务会议审议通过　2025年1月17日中国证监会令第225号公布　自2025年3月1日起施行）</w:t>
      </w:r>
    </w:p>
    <w:p>
      <w:pPr>
        <w:pStyle w:val="Abstract"/>
      </w:pPr>
      <w:r>
        <w:t xml:space="preserve"> </w:t>
      </w:r>
    </w:p>
    <w:p>
      <w:pPr>
        <w:pStyle w:val="ArticleBody"/>
      </w:pPr>
      <w:r>
        <w:rPr>
          <w:rStyle w:val="ArticleHead"/>
        </w:rPr>
        <w:t xml:space="preserve">第一条</w:t>
      </w:r>
      <w:r>
        <w:rPr>
          <w:rStyle w:val="ArticleHead"/>
        </w:rPr>
        <w:t xml:space="preserve"> </w:t>
      </w:r>
      <w:r>
        <w:t xml:space="preserve">为了规范中国证券监督管理委员会（以下简称中国证监会）及其派出机构的行政处罚裁量工作，统一执法尺度，保护公民、法人或者其他组织的合法权益，促进资本市场健康发展，根据《中华人民共和国行政处罚法》、《中华人民共和国证券法》、《中华人民共和国证券投资基金法》、《中华人民共和国期货和衍生品法》等法律、行政法规，制定本规则。</w:t>
      </w:r>
    </w:p>
    <w:p>
      <w:pPr>
        <w:pStyle w:val="ArticleBody"/>
      </w:pPr>
      <w:r>
        <w:rPr>
          <w:rStyle w:val="ArticleHead"/>
        </w:rPr>
        <w:t xml:space="preserve">第二条</w:t>
      </w:r>
      <w:r>
        <w:rPr>
          <w:rStyle w:val="ArticleHead"/>
        </w:rPr>
        <w:t xml:space="preserve"> </w:t>
      </w:r>
      <w:r>
        <w:t xml:space="preserve">本规则所称行政处罚裁量，是指中国证监会及其派出机构在实施行政处罚时，根据法律、行政法规和规章的规定，决定是否给予处罚、给予处罚的种类和幅度的裁度、衡量过程。</w:t>
      </w:r>
    </w:p>
    <w:p>
      <w:pPr>
        <w:pStyle w:val="ArticleBody"/>
      </w:pPr>
      <w:r>
        <w:rPr>
          <w:rStyle w:val="ArticleHead"/>
        </w:rPr>
        <w:t xml:space="preserve">第三条</w:t>
      </w:r>
      <w:r>
        <w:rPr>
          <w:rStyle w:val="ArticleHead"/>
        </w:rPr>
        <w:t xml:space="preserve"> </w:t>
      </w:r>
      <w:r>
        <w:t xml:space="preserve">行政处罚裁量应当以事实为依据，与违法行为的事实、性质、情节、社会危害程度以及当事人主观过错程度相当。</w:t>
      </w:r>
    </w:p>
    <w:p>
      <w:pPr>
        <w:pStyle w:val="ArticleBody"/>
      </w:pPr>
      <w:r>
        <w:rPr>
          <w:rStyle w:val="ArticleHead"/>
        </w:rPr>
        <w:t xml:space="preserve">第四条</w:t>
      </w:r>
      <w:r>
        <w:rPr>
          <w:rStyle w:val="ArticleHead"/>
        </w:rPr>
        <w:t xml:space="preserve"> </w:t>
      </w:r>
      <w:r>
        <w:t xml:space="preserve">行政处罚裁量应当综合考虑资本市场发展和投资者保护等因素，确保处罚必要、适当，并符合社会公序良俗和公众合理期待。对同一时期类别、性质、情节相似的案件，处理结果应当基本均衡。</w:t>
      </w:r>
    </w:p>
    <w:p>
      <w:pPr>
        <w:pStyle w:val="ArticleBody"/>
      </w:pPr>
      <w:r>
        <w:rPr>
          <w:rStyle w:val="ArticleHead"/>
        </w:rPr>
        <w:t xml:space="preserve">第五条</w:t>
      </w:r>
      <w:r>
        <w:rPr>
          <w:rStyle w:val="ArticleHead"/>
        </w:rPr>
        <w:t xml:space="preserve"> </w:t>
      </w:r>
      <w:r>
        <w:t xml:space="preserve">行政处罚裁量分为不予处罚、免予处罚、减轻处罚、从轻处罚、一般处罚、从重处罚等裁量阶次。</w:t>
      </w:r>
    </w:p>
    <w:p>
      <w:pPr>
        <w:pStyle w:val="ArticleBody"/>
      </w:pPr>
      <w:r>
        <w:t xml:space="preserve">减轻处罚，是指在法律、行政法规、规章规定的处罚幅度以下进行处罚，或者减少并处的处罚种类。</w:t>
      </w:r>
    </w:p>
    <w:p>
      <w:pPr>
        <w:pStyle w:val="ArticleBody"/>
      </w:pPr>
      <w:r>
        <w:t xml:space="preserve">从轻处罚，是指在法律、行政法规、规章规定的处罚幅度以内，给予较轻的处罚。</w:t>
      </w:r>
    </w:p>
    <w:p>
      <w:pPr>
        <w:pStyle w:val="ArticleBody"/>
      </w:pPr>
      <w:r>
        <w:t xml:space="preserve">从重处罚，是指在法律、行政法规、规章规定的处罚幅度以内，给予较重的处罚。</w:t>
      </w:r>
    </w:p>
    <w:p>
      <w:pPr>
        <w:pStyle w:val="ArticleBody"/>
      </w:pPr>
      <w:r>
        <w:t xml:space="preserve">一般处罚，是指除不予处罚、免予处罚、减轻处罚外，不存在本规则规定的从轻或者从重处罚情形的，在法律、行政法规、规章规定的处罚幅度以内，给予适中的处罚。</w:t>
      </w:r>
    </w:p>
    <w:p>
      <w:pPr>
        <w:pStyle w:val="ArticleBody"/>
      </w:pPr>
      <w:r>
        <w:rPr>
          <w:rStyle w:val="ArticleHead"/>
        </w:rPr>
        <w:t xml:space="preserve">第六条</w:t>
      </w:r>
      <w:r>
        <w:rPr>
          <w:rStyle w:val="ArticleHead"/>
        </w:rPr>
        <w:t xml:space="preserve"> </w:t>
      </w:r>
      <w:r>
        <w:t xml:space="preserve">对罚款有一定幅度的，在法律、行政法规、规章规定的处罚幅度以内，划分从轻处罚、一般处罚、从重处罚等裁量阶次：</w:t>
      </w:r>
    </w:p>
    <w:p>
      <w:pPr>
        <w:pStyle w:val="ArticleBody"/>
      </w:pPr>
      <w:r>
        <w:t xml:space="preserve">（一）从轻处罚阶次，在法定最低罚款金额以上（没有法定最低罚款金额的除外）、法定最高罚款金额30%以下给予罚款；</w:t>
      </w:r>
    </w:p>
    <w:p>
      <w:pPr>
        <w:pStyle w:val="ArticleBody"/>
      </w:pPr>
      <w:r>
        <w:t xml:space="preserve">（二）一般处罚阶次，在法定最高罚款金额30%以上、60%以下给予罚款；</w:t>
      </w:r>
    </w:p>
    <w:p>
      <w:pPr>
        <w:pStyle w:val="ArticleBody"/>
      </w:pPr>
      <w:r>
        <w:t xml:space="preserve">（三）从重处罚阶次，在法定最高罚款金额60%以上、法定最高罚款金额以下给予罚款。</w:t>
      </w:r>
    </w:p>
    <w:p>
      <w:pPr>
        <w:pStyle w:val="ArticleBody"/>
      </w:pPr>
      <w:r>
        <w:t xml:space="preserve">在确定裁量阶次时，根据不同违法行为类型的性质、构成、特点等情况，可以以前款规定的百分比为基础上下浮动十个百分点。</w:t>
      </w:r>
    </w:p>
    <w:p>
      <w:pPr>
        <w:pStyle w:val="ArticleBody"/>
      </w:pPr>
      <w:r>
        <w:t xml:space="preserve">对依法应当采取证券、期货市场禁入措施、暂停或者撤销相关业务许可、给予买卖证券等值以下罚款等行政处罚种类的，参照前两款规定的原则划分裁量阶次。</w:t>
      </w:r>
    </w:p>
    <w:p>
      <w:pPr>
        <w:pStyle w:val="ArticleBody"/>
      </w:pPr>
      <w:r>
        <w:rPr>
          <w:rStyle w:val="ArticleHead"/>
        </w:rPr>
        <w:t xml:space="preserve">第七条</w:t>
      </w:r>
      <w:r>
        <w:rPr>
          <w:rStyle w:val="ArticleHead"/>
        </w:rPr>
        <w:t xml:space="preserve"> </w:t>
      </w:r>
      <w:r>
        <w:t xml:space="preserve">有下列情形之一的，不予处罚：</w:t>
      </w:r>
    </w:p>
    <w:p>
      <w:pPr>
        <w:pStyle w:val="ArticleBody"/>
      </w:pPr>
      <w:r>
        <w:t xml:space="preserve">（一）违法行为轻微并及时改正，没有造成危害后果；</w:t>
      </w:r>
    </w:p>
    <w:p>
      <w:pPr>
        <w:pStyle w:val="ArticleBody"/>
      </w:pPr>
      <w:r>
        <w:t xml:space="preserve">（二）当事人有证据足以证明没有主观过错，但是法律、行政法规另有规定的除外；</w:t>
      </w:r>
    </w:p>
    <w:p>
      <w:pPr>
        <w:pStyle w:val="ArticleBody"/>
      </w:pPr>
      <w:r>
        <w:t xml:space="preserve">（三）其他依法不予处罚的情形。</w:t>
      </w:r>
    </w:p>
    <w:p>
      <w:pPr>
        <w:pStyle w:val="ArticleBody"/>
      </w:pPr>
      <w:r>
        <w:t xml:space="preserve">初次违法且危害后果轻微并及时改正的，可以不予处罚。</w:t>
      </w:r>
    </w:p>
    <w:p>
      <w:pPr>
        <w:pStyle w:val="ArticleBody"/>
      </w:pPr>
      <w:r>
        <w:rPr>
          <w:rStyle w:val="ArticleHead"/>
        </w:rPr>
        <w:t xml:space="preserve">第八条</w:t>
      </w:r>
      <w:r>
        <w:rPr>
          <w:rStyle w:val="ArticleHead"/>
        </w:rPr>
        <w:t xml:space="preserve"> </w:t>
      </w:r>
      <w:r>
        <w:t xml:space="preserve">违法的自然人死亡，或者违法的单位被撤销、注销的，免予处罚。违法的单位被撤销、注销的，违法行为的直接负责的主管人员和其他直接责任人员仍承担行政法律责任。</w:t>
      </w:r>
    </w:p>
    <w:p>
      <w:pPr>
        <w:pStyle w:val="ArticleBody"/>
      </w:pPr>
      <w:r>
        <w:rPr>
          <w:rStyle w:val="ArticleHead"/>
        </w:rPr>
        <w:t xml:space="preserve">第九条</w:t>
      </w:r>
      <w:r>
        <w:rPr>
          <w:rStyle w:val="ArticleHead"/>
        </w:rPr>
        <w:t xml:space="preserve"> </w:t>
      </w:r>
      <w:r>
        <w:t xml:space="preserve">有下列情形之一的，减轻处罚：</w:t>
      </w:r>
    </w:p>
    <w:p>
      <w:pPr>
        <w:pStyle w:val="ArticleBody"/>
      </w:pPr>
      <w:r>
        <w:t xml:space="preserve">（一）主动采取补救措施，消除违法行为危害后果；</w:t>
      </w:r>
    </w:p>
    <w:p>
      <w:pPr>
        <w:pStyle w:val="ArticleBody"/>
      </w:pPr>
      <w:r>
        <w:t xml:space="preserve">（二）受他人严重胁迫或者严重诱骗实施违法行为；</w:t>
      </w:r>
    </w:p>
    <w:p>
      <w:pPr>
        <w:pStyle w:val="ArticleBody"/>
      </w:pPr>
      <w:r>
        <w:t xml:space="preserve">（三）单位违法的直接负责的主管人员和其他直接责任人员在案发前主动举报单位违法行为，并且积极配合查处；</w:t>
      </w:r>
    </w:p>
    <w:p>
      <w:pPr>
        <w:pStyle w:val="ArticleBody"/>
      </w:pPr>
      <w:r>
        <w:t xml:space="preserve">（四）配合查处违法行为有重大立功表现；</w:t>
      </w:r>
    </w:p>
    <w:p>
      <w:pPr>
        <w:pStyle w:val="ArticleBody"/>
      </w:pPr>
      <w:r>
        <w:t xml:space="preserve">（五）其他依法减轻处罚的情形。</w:t>
      </w:r>
    </w:p>
    <w:p>
      <w:pPr>
        <w:pStyle w:val="ArticleBody"/>
      </w:pPr>
      <w:r>
        <w:rPr>
          <w:rStyle w:val="ArticleHead"/>
        </w:rPr>
        <w:t xml:space="preserve">第十条</w:t>
      </w:r>
      <w:r>
        <w:rPr>
          <w:rStyle w:val="ArticleHead"/>
        </w:rPr>
        <w:t xml:space="preserve"> </w:t>
      </w:r>
      <w:r>
        <w:t xml:space="preserve">有下列情形之一的，从轻处罚：</w:t>
      </w:r>
    </w:p>
    <w:p>
      <w:pPr>
        <w:pStyle w:val="ArticleBody"/>
      </w:pPr>
      <w:r>
        <w:t xml:space="preserve">（一）主动减轻违法行为危害后果；</w:t>
      </w:r>
    </w:p>
    <w:p>
      <w:pPr>
        <w:pStyle w:val="ArticleBody"/>
      </w:pPr>
      <w:r>
        <w:t xml:space="preserve">（二）受他人胁迫或者诱骗实施违法行为；</w:t>
      </w:r>
    </w:p>
    <w:p>
      <w:pPr>
        <w:pStyle w:val="ArticleBody"/>
      </w:pPr>
      <w:r>
        <w:t xml:space="preserve">（三）主动供述监管机构尚未掌握的违法行为；</w:t>
      </w:r>
    </w:p>
    <w:p>
      <w:pPr>
        <w:pStyle w:val="ArticleBody"/>
      </w:pPr>
      <w:r>
        <w:t xml:space="preserve">（四）配合查处违法行为有立功表现；</w:t>
      </w:r>
    </w:p>
    <w:p>
      <w:pPr>
        <w:pStyle w:val="ArticleBody"/>
      </w:pPr>
      <w:r>
        <w:t xml:space="preserve">（五）其他依法从轻处罚的情形。</w:t>
      </w:r>
    </w:p>
    <w:p>
      <w:pPr>
        <w:pStyle w:val="ArticleBody"/>
      </w:pPr>
      <w:r>
        <w:t xml:space="preserve">有下列情形之一的，可以从轻处罚：</w:t>
      </w:r>
    </w:p>
    <w:p>
      <w:pPr>
        <w:pStyle w:val="ArticleBody"/>
      </w:pPr>
      <w:r>
        <w:t xml:space="preserve">（一）对资本市场秩序影响较小；</w:t>
      </w:r>
    </w:p>
    <w:p>
      <w:pPr>
        <w:pStyle w:val="ArticleBody"/>
      </w:pPr>
      <w:r>
        <w:t xml:space="preserve">（二）对资本市场投资者、交易者权益损害较小；</w:t>
      </w:r>
    </w:p>
    <w:p>
      <w:pPr>
        <w:pStyle w:val="ArticleBody"/>
      </w:pPr>
      <w:r>
        <w:t xml:space="preserve">（三）主观过错较小；</w:t>
      </w:r>
    </w:p>
    <w:p>
      <w:pPr>
        <w:pStyle w:val="ArticleBody"/>
      </w:pPr>
      <w:r>
        <w:t xml:space="preserve">（四）如实陈述，积极配合查处；</w:t>
      </w:r>
    </w:p>
    <w:p>
      <w:pPr>
        <w:pStyle w:val="ArticleBody"/>
      </w:pPr>
      <w:r>
        <w:t xml:space="preserve">（五）对违法事实没有异议，签署认错认罚具结书；</w:t>
      </w:r>
    </w:p>
    <w:p>
      <w:pPr>
        <w:pStyle w:val="ArticleBody"/>
      </w:pPr>
      <w:r>
        <w:t xml:space="preserve">（六）其他依法可以从轻处罚的情形。</w:t>
      </w:r>
    </w:p>
    <w:p>
      <w:pPr>
        <w:pStyle w:val="ArticleBody"/>
      </w:pPr>
      <w:r>
        <w:rPr>
          <w:rStyle w:val="ArticleHead"/>
        </w:rPr>
        <w:t xml:space="preserve">第十一条</w:t>
      </w:r>
      <w:r>
        <w:rPr>
          <w:rStyle w:val="ArticleHead"/>
        </w:rPr>
        <w:t xml:space="preserve"> </w:t>
      </w:r>
      <w:r>
        <w:t xml:space="preserve">有下列情形之一的，从重处罚：</w:t>
      </w:r>
    </w:p>
    <w:p>
      <w:pPr>
        <w:pStyle w:val="ArticleBody"/>
      </w:pPr>
      <w:r>
        <w:t xml:space="preserve">（一）严重违反市场公开公平公正原则，影响资本市场秩序稳定，可能引发金融风险、严重危害金融安全；</w:t>
      </w:r>
    </w:p>
    <w:p>
      <w:pPr>
        <w:pStyle w:val="ArticleBody"/>
      </w:pPr>
      <w:r>
        <w:t xml:space="preserve">（二）严重损害资本市场投资者、交易者权益，影响恶劣；</w:t>
      </w:r>
    </w:p>
    <w:p>
      <w:pPr>
        <w:pStyle w:val="ArticleBody"/>
      </w:pPr>
      <w:r>
        <w:t xml:space="preserve">（三）实施违法行为，涉及行贿或者受贿情形；</w:t>
      </w:r>
    </w:p>
    <w:p>
      <w:pPr>
        <w:pStyle w:val="ArticleBody"/>
      </w:pPr>
      <w:r>
        <w:t xml:space="preserve">（四）殴打、围攻、推搡、抓挠执法人员，造成执法人员人身损害，或者限制执法人员人身自由；</w:t>
      </w:r>
    </w:p>
    <w:p>
      <w:pPr>
        <w:pStyle w:val="ArticleBody"/>
      </w:pPr>
      <w:r>
        <w:t xml:space="preserve">（五）毁损、伪造、篡改证据材料；</w:t>
      </w:r>
    </w:p>
    <w:p>
      <w:pPr>
        <w:pStyle w:val="ArticleBody"/>
      </w:pPr>
      <w:r>
        <w:t xml:space="preserve">（六）转移、变卖、毁损、隐藏被依法冻结、查封、扣押、封存的资金或涉案财产；</w:t>
      </w:r>
    </w:p>
    <w:p>
      <w:pPr>
        <w:pStyle w:val="ArticleBody"/>
      </w:pPr>
      <w:r>
        <w:t xml:space="preserve">（七）因证券、期货违法行为受到行政处罚或者刑事处罚后五年内，再次实施同一类型违法行为；</w:t>
      </w:r>
    </w:p>
    <w:p>
      <w:pPr>
        <w:pStyle w:val="ArticleBody"/>
      </w:pPr>
      <w:r>
        <w:t xml:space="preserve">（八）其他依法从重处罚的情形。</w:t>
      </w:r>
    </w:p>
    <w:p>
      <w:pPr>
        <w:pStyle w:val="ArticleBody"/>
      </w:pPr>
      <w:r>
        <w:t xml:space="preserve">有下列情形之一的，可以从重处罚：</w:t>
      </w:r>
    </w:p>
    <w:p>
      <w:pPr>
        <w:pStyle w:val="ArticleBody"/>
      </w:pPr>
      <w:r>
        <w:t xml:space="preserve">（一）违法持续时间长，涉及面广，社会危害较大；</w:t>
      </w:r>
    </w:p>
    <w:p>
      <w:pPr>
        <w:pStyle w:val="ArticleBody"/>
      </w:pPr>
      <w:r>
        <w:t xml:space="preserve">（二）主观过错较大；</w:t>
      </w:r>
    </w:p>
    <w:p>
      <w:pPr>
        <w:pStyle w:val="ArticleBody"/>
      </w:pPr>
      <w:r>
        <w:t xml:space="preserve">（三）侮辱、谩骂执法人员；</w:t>
      </w:r>
    </w:p>
    <w:p>
      <w:pPr>
        <w:pStyle w:val="ArticleBody"/>
      </w:pPr>
      <w:r>
        <w:t xml:space="preserve">（四）抢夺、毁损执法装备及执法人员个人物品；</w:t>
      </w:r>
    </w:p>
    <w:p>
      <w:pPr>
        <w:pStyle w:val="ArticleBody"/>
      </w:pPr>
      <w:r>
        <w:t xml:space="preserve">（五）抢夺、隐藏证据材料；</w:t>
      </w:r>
    </w:p>
    <w:p>
      <w:pPr>
        <w:pStyle w:val="ArticleBody"/>
      </w:pPr>
      <w:r>
        <w:t xml:space="preserve">（六）未按照要求提供涉案文件资料，且无正当理由；</w:t>
      </w:r>
    </w:p>
    <w:p>
      <w:pPr>
        <w:pStyle w:val="ArticleBody"/>
      </w:pPr>
      <w:r>
        <w:t xml:space="preserve">（七）躲避推脱、拒不接受、无故离开等不配合执法人员询问，或在询问时故意提供虚假陈述、谎报案情；</w:t>
      </w:r>
    </w:p>
    <w:p>
      <w:pPr>
        <w:pStyle w:val="ArticleBody"/>
      </w:pPr>
      <w:r>
        <w:t xml:space="preserve">（八）其他依法可以从重处罚的情形。</w:t>
      </w:r>
    </w:p>
    <w:p>
      <w:pPr>
        <w:pStyle w:val="ArticleBody"/>
      </w:pPr>
      <w:r>
        <w:t xml:space="preserve">当事人因第一款第四项至第六项、第二款第三项至第七项所涉行为已被中国证监会或其派出机构行政处罚的，该行为不再作为从重处罚情节。</w:t>
      </w:r>
    </w:p>
    <w:p>
      <w:pPr>
        <w:pStyle w:val="ArticleBody"/>
      </w:pPr>
      <w:r>
        <w:rPr>
          <w:rStyle w:val="ArticleHead"/>
        </w:rPr>
        <w:t xml:space="preserve">第十二条</w:t>
      </w:r>
      <w:r>
        <w:rPr>
          <w:rStyle w:val="ArticleHead"/>
        </w:rPr>
        <w:t xml:space="preserve"> </w:t>
      </w:r>
      <w:r>
        <w:t xml:space="preserve">当事人同时具有从轻、减轻或者从重处罚情节的，应当结合案件具体情况综合考虑后进行处罚。</w:t>
      </w:r>
    </w:p>
    <w:p>
      <w:pPr>
        <w:pStyle w:val="ArticleBody"/>
      </w:pPr>
      <w:r>
        <w:rPr>
          <w:rStyle w:val="ArticleHead"/>
        </w:rPr>
        <w:t xml:space="preserve">第十三条</w:t>
      </w:r>
      <w:r>
        <w:rPr>
          <w:rStyle w:val="ArticleHead"/>
        </w:rPr>
        <w:t xml:space="preserve"> </w:t>
      </w:r>
      <w:r>
        <w:t xml:space="preserve">当事人有违法所得，除依法应当退赔的外，应当予以没收。证券期货违法行为的违法所得，是指通过违法行为所获利益或者避免的损失，应根据违法行为的不同性质予以认定。</w:t>
      </w:r>
    </w:p>
    <w:p>
      <w:pPr>
        <w:pStyle w:val="ArticleBody"/>
      </w:pPr>
      <w:r>
        <w:rPr>
          <w:rStyle w:val="ArticleHead"/>
        </w:rPr>
        <w:t xml:space="preserve">第十四条</w:t>
      </w:r>
      <w:r>
        <w:rPr>
          <w:rStyle w:val="ArticleHead"/>
        </w:rPr>
        <w:t xml:space="preserve"> </w:t>
      </w:r>
      <w:r>
        <w:t xml:space="preserve">两个以上当事人共同实施违法行为的，应当将所有当事人作为一个整体，认定主观过错、违法行为和违法所得。但是，法律、行政法规、规章另有规定的，从其规定。</w:t>
      </w:r>
    </w:p>
    <w:p>
      <w:pPr>
        <w:pStyle w:val="ArticleBody"/>
      </w:pPr>
      <w:r>
        <w:rPr>
          <w:rStyle w:val="ArticleHead"/>
        </w:rPr>
        <w:t xml:space="preserve">第十五条</w:t>
      </w:r>
      <w:r>
        <w:rPr>
          <w:rStyle w:val="ArticleHead"/>
        </w:rPr>
        <w:t xml:space="preserve"> </w:t>
      </w:r>
      <w:r>
        <w:t xml:space="preserve">认定构成共同违法，依法给予没收违法所得、罚款等处罚的，应当在处罚决定书中明确各当事人承担没收违法所得、罚款的金额。</w:t>
      </w:r>
    </w:p>
    <w:p>
      <w:pPr>
        <w:pStyle w:val="ArticleBody"/>
      </w:pPr>
      <w:r>
        <w:rPr>
          <w:rStyle w:val="ArticleHead"/>
        </w:rPr>
        <w:t xml:space="preserve">第十六条</w:t>
      </w:r>
      <w:r>
        <w:rPr>
          <w:rStyle w:val="ArticleHead"/>
        </w:rPr>
        <w:t xml:space="preserve"> </w:t>
      </w:r>
      <w:r>
        <w:t xml:space="preserve">单位实施违法行为的，对直接负责的主管人员和其他直接责任人员的处罚，从以下方面考虑该人员与案件认定的事实、性质、情节、社会危害程度之间的关系，综合分析认定：</w:t>
      </w:r>
    </w:p>
    <w:p>
      <w:pPr>
        <w:pStyle w:val="ArticleBody"/>
      </w:pPr>
      <w:r>
        <w:t xml:space="preserve">（一）在违法行为中所起的作用；</w:t>
      </w:r>
    </w:p>
    <w:p>
      <w:pPr>
        <w:pStyle w:val="ArticleBody"/>
      </w:pPr>
      <w:r>
        <w:t xml:space="preserve">（二）职务及履行职责情况；</w:t>
      </w:r>
    </w:p>
    <w:p>
      <w:pPr>
        <w:pStyle w:val="ArticleBody"/>
      </w:pPr>
      <w:r>
        <w:t xml:space="preserve">（三）知情程度；</w:t>
      </w:r>
    </w:p>
    <w:p>
      <w:pPr>
        <w:pStyle w:val="ArticleBody"/>
      </w:pPr>
      <w:r>
        <w:t xml:space="preserve">（四）知情后采取的行动；</w:t>
      </w:r>
    </w:p>
    <w:p>
      <w:pPr>
        <w:pStyle w:val="ArticleBody"/>
      </w:pPr>
      <w:r>
        <w:t xml:space="preserve">（五）其他影响责任认定的情节。</w:t>
      </w:r>
    </w:p>
    <w:p>
      <w:pPr>
        <w:pStyle w:val="ArticleBody"/>
      </w:pPr>
      <w:r>
        <w:rPr>
          <w:rStyle w:val="ArticleHead"/>
        </w:rPr>
        <w:t xml:space="preserve">第十七条</w:t>
      </w:r>
      <w:r>
        <w:rPr>
          <w:rStyle w:val="ArticleHead"/>
        </w:rPr>
        <w:t xml:space="preserve"> </w:t>
      </w:r>
      <w:r>
        <w:t xml:space="preserve">中国证监会及其派出机构认定当事人有多个独立违法行为，均给予罚款的，罚款数额累计计算。</w:t>
      </w:r>
    </w:p>
    <w:p>
      <w:pPr>
        <w:pStyle w:val="ArticleBody"/>
      </w:pPr>
      <w:r>
        <w:rPr>
          <w:rStyle w:val="ArticleHead"/>
        </w:rPr>
        <w:t xml:space="preserve">第十八条</w:t>
      </w:r>
      <w:r>
        <w:rPr>
          <w:rStyle w:val="ArticleHead"/>
        </w:rPr>
        <w:t xml:space="preserve"> </w:t>
      </w:r>
      <w:r>
        <w:t xml:space="preserve">实施行政处罚，适用违法行为发生时的法律、行政法规、规章的规定。</w:t>
      </w:r>
    </w:p>
    <w:p>
      <w:pPr>
        <w:pStyle w:val="ArticleBody"/>
      </w:pPr>
      <w:r>
        <w:t xml:space="preserve">作出行政处罚决定时，法律、行政法规、规章已修改或者废止，且新的规定处罚较轻或者不认为是违法的，适用新的规定。</w:t>
      </w:r>
    </w:p>
    <w:p>
      <w:pPr>
        <w:pStyle w:val="ArticleBody"/>
      </w:pPr>
      <w:r>
        <w:rPr>
          <w:rStyle w:val="ArticleHead"/>
        </w:rPr>
        <w:t xml:space="preserve">第十九条</w:t>
      </w:r>
      <w:r>
        <w:rPr>
          <w:rStyle w:val="ArticleHead"/>
        </w:rPr>
        <w:t xml:space="preserve"> </w:t>
      </w:r>
      <w:r>
        <w:t xml:space="preserve">违法行为始于法律、行政法规、规章修改生效之前，终于修改生效之后的，适用新的规定进行处罚。</w:t>
      </w:r>
    </w:p>
    <w:p>
      <w:pPr>
        <w:pStyle w:val="ArticleBody"/>
      </w:pPr>
      <w:r>
        <w:rPr>
          <w:rStyle w:val="ArticleHead"/>
        </w:rPr>
        <w:t xml:space="preserve">第二十条</w:t>
      </w:r>
      <w:r>
        <w:rPr>
          <w:rStyle w:val="ArticleHead"/>
        </w:rPr>
        <w:t xml:space="preserve"> </w:t>
      </w:r>
      <w:r>
        <w:t xml:space="preserve">对情节复杂或者重大违法行为给予行政处罚的，中国证监会或其派出机构负责人应当集体讨论决定。</w:t>
      </w:r>
    </w:p>
    <w:p>
      <w:pPr>
        <w:pStyle w:val="ArticleBody"/>
      </w:pPr>
      <w:r>
        <w:t xml:space="preserve">适用本规则可能出现明显不当、显失公平，或者本规则适用的客观情况发生变化，需要调整适用的，应当经中国证监会主要负责人批准或者集体讨论决定。</w:t>
      </w:r>
    </w:p>
    <w:p>
      <w:pPr>
        <w:pStyle w:val="ArticleBody"/>
      </w:pPr>
      <w:r>
        <w:rPr>
          <w:rStyle w:val="ArticleHead"/>
        </w:rPr>
        <w:t xml:space="preserve">第二十一条</w:t>
      </w:r>
      <w:r>
        <w:rPr>
          <w:rStyle w:val="ArticleHead"/>
        </w:rPr>
        <w:t xml:space="preserve"> </w:t>
      </w:r>
      <w:r>
        <w:t xml:space="preserve">对违法行为涉嫌犯罪的，应当依照规定及时移送司法机关，依法追究刑事责任。对违法行为同时构成民事侵权的，依法配合做好民事责任追究。</w:t>
      </w:r>
    </w:p>
    <w:p>
      <w:pPr>
        <w:pStyle w:val="ArticleBody"/>
      </w:pPr>
      <w:r>
        <w:t xml:space="preserve">依法不予处罚的，可以根据情节采取相应的行政监管措施并记入证券期货市场诚信档案、通知自律组织依法采取纪律处分等自律管理措施。</w:t>
      </w:r>
    </w:p>
    <w:p>
      <w:pPr>
        <w:pStyle w:val="ArticleBody"/>
      </w:pPr>
      <w:r>
        <w:rPr>
          <w:rStyle w:val="ArticleHead"/>
        </w:rPr>
        <w:t xml:space="preserve">第二十二条</w:t>
      </w:r>
      <w:r>
        <w:rPr>
          <w:rStyle w:val="ArticleHead"/>
        </w:rPr>
        <w:t xml:space="preserve"> </w:t>
      </w:r>
      <w:r>
        <w:t xml:space="preserve">违法行为涉嫌犯罪，移送司法机关时已给予没收违法所得、罚款的，移送文书中应当写明没收违法所得、缴纳罚款情况。</w:t>
      </w:r>
    </w:p>
    <w:p>
      <w:pPr>
        <w:pStyle w:val="ArticleBody"/>
      </w:pPr>
      <w:r>
        <w:t xml:space="preserve">违法行为构成犯罪被判处罚金后，对该违法行为还需要给予行政处罚的，不再给予罚款。</w:t>
      </w:r>
    </w:p>
    <w:p>
      <w:pPr>
        <w:pStyle w:val="ArticleBody"/>
      </w:pPr>
      <w:r>
        <w:t xml:space="preserve">违法行为涉嫌犯罪，移送司法机关后，对依法不需要追究刑事责任或者免予刑事处罚，但应当给予行政处罚的，依法进行处罚。</w:t>
      </w:r>
    </w:p>
    <w:p>
      <w:pPr>
        <w:pStyle w:val="ArticleBody"/>
      </w:pPr>
      <w:r>
        <w:rPr>
          <w:rStyle w:val="ArticleHead"/>
        </w:rPr>
        <w:t xml:space="preserve">第二十三条</w:t>
      </w:r>
      <w:r>
        <w:rPr>
          <w:rStyle w:val="ArticleHead"/>
        </w:rPr>
        <w:t xml:space="preserve"> </w:t>
      </w:r>
      <w:r>
        <w:t xml:space="preserve">中国证监会对派出机构行使处罚权进行监督、指导。</w:t>
      </w:r>
    </w:p>
    <w:p>
      <w:pPr>
        <w:pStyle w:val="ArticleBody"/>
      </w:pPr>
      <w:r>
        <w:rPr>
          <w:rStyle w:val="ArticleHead"/>
        </w:rPr>
        <w:t xml:space="preserve">第二十四条</w:t>
      </w:r>
      <w:r>
        <w:rPr>
          <w:rStyle w:val="ArticleHead"/>
        </w:rPr>
        <w:t xml:space="preserve"> </w:t>
      </w:r>
      <w:r>
        <w:t xml:space="preserve">本规则中下列用语的含义：</w:t>
      </w:r>
    </w:p>
    <w:p>
      <w:pPr>
        <w:pStyle w:val="ArticleBody"/>
      </w:pPr>
      <w:r>
        <w:t xml:space="preserve">“受他人胁迫或者诱骗”是指当事人受到他人威胁，迫于精神上的强制而实施违法行为，或者受到引诱、欺骗，因被蒙蔽而实施违法行为。</w:t>
      </w:r>
    </w:p>
    <w:p>
      <w:pPr>
        <w:pStyle w:val="ArticleBody"/>
      </w:pPr>
      <w:r>
        <w:t xml:space="preserve">“受他人严重胁迫或者严重诱骗”是指当事人的人身权利、财产权利以及其他合法权益受到严重威胁，或者被引诱、欺骗而产生重大认识错误，导致违法行为发生。</w:t>
      </w:r>
    </w:p>
    <w:p>
      <w:pPr>
        <w:pStyle w:val="ArticleBody"/>
      </w:pPr>
      <w:r>
        <w:t xml:space="preserve">“立功”是指检举、揭发他人违法犯罪行为或者提供查处其他案件的重要线索，经查证属实。</w:t>
      </w:r>
    </w:p>
    <w:p>
      <w:pPr>
        <w:pStyle w:val="ArticleBody"/>
      </w:pPr>
      <w:r>
        <w:t xml:space="preserve">“重大立功”是指检举、揭发他人重大违法犯罪行为或者提供查处其他重大案件的重要线索，经查证属实。</w:t>
      </w:r>
    </w:p>
    <w:p>
      <w:pPr>
        <w:pStyle w:val="ArticleBody"/>
      </w:pPr>
      <w:r>
        <w:rPr>
          <w:rStyle w:val="ArticleHead"/>
        </w:rPr>
        <w:t xml:space="preserve">第二十五条</w:t>
      </w:r>
      <w:r>
        <w:rPr>
          <w:rStyle w:val="ArticleHead"/>
        </w:rPr>
        <w:t xml:space="preserve"> </w:t>
      </w:r>
      <w:r>
        <w:t xml:space="preserve">本规则自2025年3月1日起施行。</w:t>
      </w:r>
    </w:p>
    <w:sectPr w:rsidR="00CC7B08" w:rsidSect="00682AE7">
      <w:headerReference w:type="default" r:id="rId9"/>
      <w:footerReference w:type="default" r:id="rId11"/>
      <w:footerReference w:type="first" r:id="rId10"/>
      <w:pgSz w:w="12240" w:h="15840"/>
      <w:pgMar w:top="1440" w:right="1800" w:bottom="1440" w:left="1800" w:header="720" w:footer="720" w:gutter="0"/>
      <w:cols w:space="720"/>
      <w:titlePg/>
      <w:docGrid w:linePitch="3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F490" w14:textId="77777777" w:rsidR="00DA7927" w:rsidRPr="00991CDD" w:rsidRDefault="00DA7927">
    <w:pPr>
      <w:pStyle w:val="af1"/>
      <w:jc w:val="center"/>
      <w:rPr>
        <w:color w:val="808080" w:themeColor="background1" w:themeShade="80"/>
      </w:rPr>
    </w:pPr>
    <w:r w:rsidRPr="00991CDD">
      <w:rPr>
        <w:color w:val="808080" w:themeColor="background1" w:themeShade="80"/>
        <w:lang w:val="zh-CN" w:eastAsia="zh-CN"/>
      </w:rPr>
      <w:t xml:space="preserve"> </w:t>
    </w: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sidRPr="00991CDD">
      <w:rPr>
        <w:color w:val="808080" w:themeColor="background1" w:themeShade="80"/>
        <w:lang w:val="zh-CN" w:eastAsia="zh-CN"/>
      </w:rPr>
      <w:t>2</w:t>
    </w:r>
    <w:r w:rsidRPr="00991CDD">
      <w:rPr>
        <w:color w:val="808080" w:themeColor="background1" w:themeShade="80"/>
      </w:rPr>
      <w:fldChar w:fldCharType="end"/>
    </w:r>
  </w:p>
  <w:p w14:paraId="391DC504" w14:textId="77777777" w:rsidR="00DA7927" w:rsidRDefault="00DA792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EB9E1" w14:textId="77777777" w:rsidR="00980732" w:rsidRPr="00991CDD" w:rsidRDefault="00980732" w:rsidP="00980732">
    <w:pPr>
      <w:pStyle w:val="af1"/>
      <w:jc w:val="center"/>
      <w:rPr>
        <w:color w:val="808080" w:themeColor="background1" w:themeShade="80"/>
      </w:rPr>
    </w:pPr>
    <w:r w:rsidRPr="00991CDD">
      <w:rPr>
        <w:color w:val="808080" w:themeColor="background1" w:themeShade="80"/>
      </w:rPr>
      <w:fldChar w:fldCharType="begin"/>
    </w:r>
    <w:r w:rsidRPr="00991CDD">
      <w:rPr>
        <w:color w:val="808080" w:themeColor="background1" w:themeShade="80"/>
      </w:rPr>
      <w:instrText>PAGE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r w:rsidRPr="00991CDD">
      <w:rPr>
        <w:color w:val="808080" w:themeColor="background1" w:themeShade="80"/>
        <w:lang w:val="zh-CN" w:eastAsia="zh-CN"/>
      </w:rPr>
      <w:t xml:space="preserve"> / </w:t>
    </w:r>
    <w:r w:rsidRPr="00991CDD">
      <w:rPr>
        <w:color w:val="808080" w:themeColor="background1" w:themeShade="80"/>
      </w:rPr>
      <w:fldChar w:fldCharType="begin"/>
    </w:r>
    <w:r w:rsidRPr="00991CDD">
      <w:rPr>
        <w:color w:val="808080" w:themeColor="background1" w:themeShade="80"/>
      </w:rPr>
      <w:instrText>NUMPAGES  \* Arabic  \* MERGEFORMAT</w:instrText>
    </w:r>
    <w:r w:rsidRPr="00991CDD">
      <w:rPr>
        <w:color w:val="808080" w:themeColor="background1" w:themeShade="80"/>
      </w:rPr>
      <w:fldChar w:fldCharType="separate"/>
    </w:r>
    <w:r>
      <w:rPr>
        <w:color w:val="808080" w:themeColor="background1" w:themeShade="80"/>
      </w:rPr>
      <w:t>2</w:t>
    </w:r>
    <w:r w:rsidRPr="00991CDD">
      <w:rPr>
        <w:color w:val="808080" w:themeColor="background1" w:themeShade="80"/>
      </w:rPr>
      <w:fldChar w:fldCharType="end"/>
    </w:r>
  </w:p>
  <w:p w14:paraId="62EC56E7" w14:textId="77777777" w:rsidR="00980732" w:rsidRDefault="00980732">
    <w:pPr>
      <w:pStyle w:val="af1"/>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11F" w14:textId="2B5CE0F0" w:rsidR="00980732" w:rsidRDefault="00000000">
    <w:pPr>
      <w:pStyle w:val="af"/>
      <w:rPr>
        <w:lang w:eastAsia="zh-CN"/>
      </w:rPr>
    </w:pPr>
    <w:sdt>
      <w:sdtPr>
        <w:rPr>
          <w:caps/>
          <w:color w:val="1F497D" w:themeColor="text2"/>
          <w:sz w:val="16"/>
          <w:szCs w:val="16"/>
          <w:u w:val="words"/>
        </w:rPr>
        <w:alias w:val="标题"/>
        <w:tag w:val=""/>
        <w:id w:val="307668787"/>
        <w:placeholder>
          <w:docPart w:val="8987CF8CFD5A494BA4CCEA3B83FD4BA4"/>
        </w:placeholder>
        <w:dataBinding w:prefixMappings="xmlns:ns0='http://purl.org/dc/elements/1.1/' xmlns:ns1='http://schemas.openxmlformats.org/package/2006/metadata/core-properties' " w:xpath="/ns1:coreProperties[1]/ns0:title[1]" w:storeItemID="{6C3C8BC8-F283-45AE-878A-BAB7291924A1}"/>
        <w:text/>
      </w:sdtPr>
      <w:sdtContent>
        <w:r w:rsidR="00682AE7">
          <w:rPr>
            <w:caps/>
            <w:color w:val="1F497D" w:themeColor="text2"/>
            <w:sz w:val="16"/>
            <w:szCs w:val="16"/>
            <w:u w:val="words"/>
          </w:rPr>
          <w:t>Title</w:t>
        </w:r>
      </w:sdtContent>
    </w:sdt>
    <w:r w:rsidR="00682AE7" w:rsidRPr="00682AE7">
      <w:rPr>
        <w:caps/>
        <w:color w:val="1F497D" w:themeColor="text2"/>
        <w:sz w:val="16"/>
        <w:szCs w:val="16"/>
        <w:u w:val="words"/>
      </w:rPr>
      <w:ptab w:relativeTo="margin" w:alignment="center" w:leader="none"/>
    </w:r>
    <w:r w:rsidR="00682AE7" w:rsidRPr="00682AE7">
      <w:rPr>
        <w:caps/>
        <w:color w:val="1F497D" w:themeColor="text2"/>
        <w:sz w:val="16"/>
        <w:szCs w:val="16"/>
        <w:u w:val="words"/>
      </w:rPr>
      <w:ptab w:relativeTo="margin" w:alignment="right" w:leader="none"/>
    </w:r>
    <w:sdt>
      <w:sdtPr>
        <w:rPr>
          <w:caps/>
          <w:color w:val="1F497D" w:themeColor="text2"/>
          <w:sz w:val="16"/>
          <w:szCs w:val="16"/>
          <w:u w:val="words"/>
        </w:rPr>
        <w:alias w:val="作者"/>
        <w:tag w:val=""/>
        <w:id w:val="1033303816"/>
        <w:placeholder>
          <w:docPart w:val="F54E810B9B9344D8A1CC0B1D7EBE36D5"/>
        </w:placeholder>
        <w:dataBinding w:prefixMappings="xmlns:ns0='http://purl.org/dc/elements/1.1/' xmlns:ns1='http://schemas.openxmlformats.org/package/2006/metadata/core-properties' " w:xpath="/ns1:coreProperties[1]/ns0:creator[1]" w:storeItemID="{6C3C8BC8-F283-45AE-878A-BAB7291924A1}"/>
        <w:text/>
      </w:sdtPr>
      <w:sdtContent>
        <w:r w:rsidR="00682AE7">
          <w:rPr>
            <w:caps/>
            <w:color w:val="1F497D" w:themeColor="text2"/>
            <w:sz w:val="16"/>
            <w:szCs w:val="16"/>
            <w:u w:val="words"/>
          </w:rPr>
          <w:t>Author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0"/>
    <w:uiPriority w:val="9"/>
    <w:qFormat/>
    <w:rsid w:val="00991CDD"/>
    <w:pPr>
      <w:keepNext/>
      <w:keepLines/>
      <w:spacing w:before="480" w:after="400"/>
      <w:jc w:val="center"/>
      <w:outlineLvl w:val="0"/>
    </w:pPr>
    <w:rPr>
      <w:rFonts w:asciiTheme="majorHAnsi" w:eastAsiaTheme="majorEastAsia" w:hAnsiTheme="majorHAnsi" w:cstheme="majorBidi"/>
      <w:b/>
      <w:bCs/>
      <w:color w:val="4F81BD" w:themeColor="accent1"/>
      <w:sz w:val="40"/>
      <w:szCs w:val="32"/>
    </w:rPr>
  </w:style>
  <w:style w:type="paragraph" w:styleId="2">
    <w:name w:val="heading 2"/>
    <w:basedOn w:val="a"/>
    <w:next w:val="a0"/>
    <w:uiPriority w:val="9"/>
    <w:unhideWhenUsed/>
    <w:qFormat/>
    <w:rsid w:val="00991CDD"/>
    <w:pPr>
      <w:keepNext/>
      <w:keepLines/>
      <w:spacing w:before="480" w:after="400"/>
      <w:jc w:val="center"/>
      <w:outlineLvl w:val="1"/>
    </w:pPr>
    <w:rPr>
      <w:rFonts w:asciiTheme="majorHAnsi" w:eastAsiaTheme="majorEastAsia" w:hAnsiTheme="majorHAnsi" w:cstheme="majorBidi"/>
      <w:b/>
      <w:bCs/>
      <w:color w:val="4F81BD" w:themeColor="accent1"/>
      <w:sz w:val="36"/>
      <w:szCs w:val="28"/>
    </w:rPr>
  </w:style>
  <w:style w:type="paragraph" w:styleId="3">
    <w:name w:val="heading 3"/>
    <w:basedOn w:val="a"/>
    <w:next w:val="a0"/>
    <w:uiPriority w:val="9"/>
    <w:unhideWhenUsed/>
    <w:qFormat/>
    <w:rsid w:val="00991CDD"/>
    <w:pPr>
      <w:keepNext/>
      <w:keepLines/>
      <w:spacing w:before="480" w:after="400"/>
      <w:jc w:val="center"/>
      <w:outlineLvl w:val="2"/>
    </w:pPr>
    <w:rPr>
      <w:rFonts w:asciiTheme="majorHAnsi" w:eastAsiaTheme="majorEastAsia" w:hAnsiTheme="majorHAnsi" w:cstheme="majorBidi"/>
      <w:b/>
      <w:bCs/>
      <w:color w:val="4F81BD" w:themeColor="accent1"/>
      <w:sz w:val="32"/>
    </w:rPr>
  </w:style>
  <w:style w:type="paragraph" w:styleId="4">
    <w:name w:val="heading 4"/>
    <w:basedOn w:val="a"/>
    <w:next w:val="a0"/>
    <w:uiPriority w:val="9"/>
    <w:unhideWhenUsed/>
    <w:qFormat/>
    <w:rsid w:val="0095402B"/>
    <w:pPr>
      <w:keepNext/>
      <w:keepLines/>
      <w:spacing w:before="480" w:after="400"/>
      <w:jc w:val="center"/>
      <w:outlineLvl w:val="3"/>
    </w:pPr>
    <w:rPr>
      <w:rFonts w:asciiTheme="majorHAnsi" w:eastAsiaTheme="majorEastAsia" w:hAnsiTheme="majorHAnsi" w:cstheme="majorBidi"/>
      <w:b/>
      <w:bCs/>
      <w:color w:val="4F81BD" w:themeColor="accent1"/>
      <w:sz w:val="28"/>
    </w:rPr>
  </w:style>
  <w:style w:type="paragraph" w:styleId="5">
    <w:name w:val="heading 5"/>
    <w:basedOn w:val="a"/>
    <w:next w:val="a0"/>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6">
    <w:name w:val="heading 6"/>
    <w:basedOn w:val="a"/>
    <w:next w:val="a0"/>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7">
    <w:name w:val="heading 7"/>
    <w:basedOn w:val="a"/>
    <w:next w:val="a0"/>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8">
    <w:name w:val="heading 8"/>
    <w:basedOn w:val="a"/>
    <w:next w:val="a0"/>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9">
    <w:name w:val="heading 9"/>
    <w:basedOn w:val="a"/>
    <w:next w:val="a0"/>
    <w:uiPriority w:val="9"/>
    <w:unhideWhenUsed/>
    <w:qFormat/>
    <w:rsid w:val="002302D4"/>
    <w:pPr>
      <w:keepNext/>
      <w:keepLines/>
      <w:spacing w:before="200" w:after="0"/>
      <w:outlineLvl w:val="8"/>
    </w:pPr>
    <w:rPr>
      <w:rFonts w:asciiTheme="majorHAnsi" w:eastAsiaTheme="majorEastAsia" w:hAnsiTheme="majorHAnsi" w:cstheme="majorBidi"/>
      <w:color w:val="4F81BD" w:themeColor="accent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before="180" w:after="180"/>
    </w:pPr>
  </w:style>
  <w:style w:type="paragraph" w:customStyle="1" w:styleId="FirstParagraph">
    <w:name w:val="First Paragraph"/>
    <w:basedOn w:val="a0"/>
    <w:next w:val="a0"/>
    <w:qFormat/>
  </w:style>
  <w:style w:type="paragraph" w:customStyle="1" w:styleId="Compact">
    <w:name w:val="Compact"/>
    <w:basedOn w:val="a0"/>
    <w:qFormat/>
    <w:pPr>
      <w:spacing w:before="36" w:after="36"/>
    </w:pPr>
  </w:style>
  <w:style w:type="paragraph" w:styleId="a5">
    <w:name w:val="Title"/>
    <w:basedOn w:val="a"/>
    <w:next w:val="a0"/>
    <w:qFormat/>
    <w:rsid w:val="006D1009"/>
    <w:pPr>
      <w:keepNext/>
      <w:keepLines/>
      <w:spacing w:before="480" w:after="240"/>
      <w:jc w:val="center"/>
    </w:pPr>
    <w:rPr>
      <w:rFonts w:asciiTheme="majorHAnsi" w:eastAsiaTheme="majorEastAsia" w:hAnsiTheme="majorHAnsi" w:cstheme="majorBidi"/>
      <w:b/>
      <w:bCs/>
      <w:sz w:val="36"/>
      <w:szCs w:val="36"/>
    </w:rPr>
  </w:style>
  <w:style w:type="paragraph" w:styleId="a6">
    <w:name w:val="Subtitle"/>
    <w:basedOn w:val="a5"/>
    <w:next w:val="a0"/>
    <w:qFormat/>
    <w:pPr>
      <w:spacing w:before="240"/>
    </w:pPr>
    <w:rPr>
      <w:sz w:val="30"/>
      <w:szCs w:val="30"/>
    </w:rPr>
  </w:style>
  <w:style w:type="paragraph" w:customStyle="1" w:styleId="Author">
    <w:name w:val="Author"/>
    <w:next w:val="a0"/>
    <w:qFormat/>
    <w:rsid w:val="0029058A"/>
    <w:pPr>
      <w:keepNext/>
      <w:keepLines/>
      <w:spacing w:after="0" w:line="14" w:lineRule="exact"/>
      <w:jc w:val="center"/>
    </w:pPr>
    <w:rPr>
      <w:color w:val="FFFFFF" w:themeColor="background1"/>
    </w:rPr>
  </w:style>
  <w:style w:type="paragraph" w:styleId="a7">
    <w:name w:val="Date"/>
    <w:next w:val="a0"/>
    <w:qFormat/>
    <w:pPr>
      <w:keepNext/>
      <w:keepLines/>
      <w:jc w:val="center"/>
    </w:pPr>
  </w:style>
  <w:style w:type="paragraph" w:customStyle="1" w:styleId="Abstract">
    <w:name w:val="Abstract"/>
    <w:basedOn w:val="a"/>
    <w:next w:val="a0"/>
    <w:qFormat/>
    <w:rsid w:val="0070793D"/>
    <w:pPr>
      <w:keepNext/>
      <w:keepLines/>
      <w:spacing w:after="0"/>
    </w:pPr>
    <w:rPr>
      <w:rFonts w:eastAsia="楷体"/>
      <w:sz w:val="18"/>
      <w:szCs w:val="20"/>
    </w:rPr>
  </w:style>
  <w:style w:type="paragraph" w:styleId="a8">
    <w:name w:val="Bibliography"/>
    <w:basedOn w:val="a"/>
    <w:qFormat/>
  </w:style>
  <w:style w:type="paragraph" w:styleId="a9">
    <w:name w:val="Block Text"/>
    <w:basedOn w:val="a0"/>
    <w:next w:val="a0"/>
    <w:uiPriority w:val="9"/>
    <w:unhideWhenUsed/>
    <w:qFormat/>
    <w:pPr>
      <w:spacing w:before="100" w:after="100"/>
      <w:ind w:left="480" w:right="480"/>
    </w:pPr>
  </w:style>
  <w:style w:type="paragraph" w:styleId="aa">
    <w:name w:val="footnote text"/>
    <w:basedOn w:val="a"/>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b">
    <w:name w:val="caption"/>
    <w:basedOn w:val="a"/>
    <w:link w:val="ac"/>
    <w:pPr>
      <w:spacing w:after="120"/>
    </w:pPr>
    <w:rPr>
      <w:i/>
    </w:rPr>
  </w:style>
  <w:style w:type="paragraph" w:customStyle="1" w:styleId="TableCaption">
    <w:name w:val="Table Caption"/>
    <w:basedOn w:val="ab"/>
    <w:pPr>
      <w:keepNext/>
    </w:pPr>
  </w:style>
  <w:style w:type="paragraph" w:customStyle="1" w:styleId="ImageCaption">
    <w:name w:val="Image Caption"/>
    <w:basedOn w:val="ab"/>
  </w:style>
  <w:style w:type="paragraph" w:customStyle="1" w:styleId="Figure">
    <w:name w:val="Figure"/>
    <w:basedOn w:val="a"/>
  </w:style>
  <w:style w:type="paragraph" w:customStyle="1" w:styleId="CaptionedFigure">
    <w:name w:val="Captioned Figure"/>
    <w:basedOn w:val="Figure"/>
    <w:pPr>
      <w:keepNext/>
    </w:pPr>
  </w:style>
  <w:style w:type="character" w:customStyle="1" w:styleId="ac">
    <w:name w:val="题注 字符"/>
    <w:basedOn w:val="a1"/>
    <w:link w:val="ab"/>
  </w:style>
  <w:style w:type="character" w:customStyle="1" w:styleId="VerbatimChar">
    <w:name w:val="Verbatim Char"/>
    <w:basedOn w:val="ac"/>
    <w:rPr>
      <w:rFonts w:ascii="Consolas" w:hAnsi="Consolas"/>
      <w:sz w:val="22"/>
    </w:rPr>
  </w:style>
  <w:style w:type="character" w:customStyle="1" w:styleId="SectionNumber">
    <w:name w:val="Section Number"/>
    <w:basedOn w:val="ac"/>
  </w:style>
  <w:style w:type="character" w:styleId="ad">
    <w:name w:val="footnote reference"/>
    <w:basedOn w:val="ac"/>
    <w:rPr>
      <w:vertAlign w:val="superscript"/>
    </w:rPr>
  </w:style>
  <w:style w:type="character" w:styleId="ae">
    <w:name w:val="Hyperlink"/>
    <w:basedOn w:val="ac"/>
    <w:rPr>
      <w:color w:val="4F81BD" w:themeColor="accent1"/>
    </w:rPr>
  </w:style>
  <w:style w:type="paragraph" w:styleId="TOC">
    <w:name w:val="TOC Heading"/>
    <w:basedOn w:val="1"/>
    <w:next w:val="a0"/>
    <w:uiPriority w:val="39"/>
    <w:unhideWhenUsed/>
    <w:qFormat/>
    <w:pPr>
      <w:spacing w:before="240" w:line="259" w:lineRule="auto"/>
      <w:outlineLvl w:val="9"/>
    </w:pPr>
    <w:rPr>
      <w:b w:val="0"/>
      <w:bCs w:val="0"/>
      <w:color w:val="365F91" w:themeColor="accent1" w:themeShade="BF"/>
    </w:rPr>
  </w:style>
  <w:style w:type="paragraph" w:styleId="af">
    <w:name w:val="header"/>
    <w:basedOn w:val="a"/>
    <w:link w:val="af0"/>
    <w:uiPriority w:val="99"/>
    <w:unhideWhenUsed/>
    <w:rsid w:val="002905F9"/>
    <w:pPr>
      <w:tabs>
        <w:tab w:val="center" w:pos="4320"/>
        <w:tab w:val="right" w:pos="8640"/>
      </w:tabs>
      <w:spacing w:after="0"/>
    </w:pPr>
  </w:style>
  <w:style w:type="character" w:customStyle="1" w:styleId="af0">
    <w:name w:val="页眉 字符"/>
    <w:basedOn w:val="a1"/>
    <w:link w:val="af"/>
    <w:uiPriority w:val="99"/>
    <w:rsid w:val="002905F9"/>
  </w:style>
  <w:style w:type="paragraph" w:styleId="af1">
    <w:name w:val="footer"/>
    <w:basedOn w:val="a"/>
    <w:link w:val="af2"/>
    <w:uiPriority w:val="99"/>
    <w:unhideWhenUsed/>
    <w:rsid w:val="002905F9"/>
    <w:pPr>
      <w:tabs>
        <w:tab w:val="center" w:pos="4320"/>
        <w:tab w:val="right" w:pos="8640"/>
      </w:tabs>
      <w:spacing w:after="0"/>
    </w:pPr>
  </w:style>
  <w:style w:type="character" w:customStyle="1" w:styleId="af2">
    <w:name w:val="页脚 字符"/>
    <w:basedOn w:val="a1"/>
    <w:link w:val="af1"/>
    <w:uiPriority w:val="99"/>
    <w:rsid w:val="002905F9"/>
  </w:style>
  <w:style w:type="paragraph" w:customStyle="1" w:styleId="Info">
    <w:name w:val="Info"/>
    <w:basedOn w:val="a0"/>
    <w:link w:val="Info0"/>
    <w:autoRedefine/>
    <w:qFormat/>
    <w:rsid w:val="00B616C5"/>
    <w:pPr>
      <w:spacing w:before="0" w:after="0"/>
    </w:pPr>
    <w:rPr>
      <w:sz w:val="20"/>
    </w:rPr>
  </w:style>
  <w:style w:type="character" w:customStyle="1" w:styleId="a4">
    <w:name w:val="正文文本 字符"/>
    <w:basedOn w:val="a1"/>
    <w:link w:val="a0"/>
    <w:rsid w:val="002905F9"/>
  </w:style>
  <w:style w:type="character" w:customStyle="1" w:styleId="Info0">
    <w:name w:val="Info 字符"/>
    <w:basedOn w:val="a4"/>
    <w:link w:val="Info"/>
    <w:rsid w:val="00B616C5"/>
    <w:rPr>
      <w:sz w:val="20"/>
    </w:rPr>
  </w:style>
  <w:style w:type="character" w:customStyle="1" w:styleId="ArticleAnnotation">
    <w:name w:val="Article Annotation"/>
    <w:basedOn w:val="a1"/>
    <w:uiPriority w:val="1"/>
    <w:qFormat/>
    <w:rsid w:val="00991CDD"/>
    <w:rPr>
      <w:rFonts w:eastAsia="宋体"/>
      <w:b/>
      <w:i w:val="0"/>
      <w:color w:val="1F497D" w:themeColor="text2"/>
    </w:rPr>
  </w:style>
  <w:style w:type="paragraph" w:customStyle="1" w:styleId="ArticleBody">
    <w:name w:val="Article Body"/>
    <w:basedOn w:val="a0"/>
    <w:qFormat/>
    <w:rsid w:val="00C64016"/>
    <w:pPr>
      <w:ind w:firstLineChars="200" w:firstLine="200"/>
    </w:pPr>
    <w:rPr>
      <w:rFonts w:eastAsia="仿宋"/>
      <w:lang w:eastAsia="zh-CN"/>
    </w:rPr>
  </w:style>
  <w:style w:type="character" w:customStyle="1" w:styleId="ArticleHead">
    <w:name w:val="Article Head"/>
    <w:basedOn w:val="a1"/>
    <w:uiPriority w:val="1"/>
    <w:qFormat/>
    <w:rsid w:val="003A4D3E"/>
    <w:rPr>
      <w:rFonts w:eastAsia="黑体"/>
      <w:b w:val="0"/>
      <w:i w:val="0"/>
      <w:color w:val="C0504D" w:themeColor="accent2"/>
      <w:spacing w:val="0"/>
      <w:sz w:val="26"/>
      <w:lang w:eastAsia="zh-CN"/>
    </w:rPr>
  </w:style>
  <w:style w:type="paragraph" w:customStyle="1" w:styleId="ArticleImage">
    <w:name w:val="Article Image"/>
    <w:basedOn w:val="ArticleBody"/>
    <w:qFormat/>
    <w:rsid w:val="00716993"/>
    <w:pPr>
      <w:ind w:firstLine="480"/>
      <w:jc w:val="center"/>
    </w:pPr>
  </w:style>
  <w:style w:type="paragraph" w:customStyle="1" w:styleId="ArticleImageTitle">
    <w:name w:val="Article Image Title"/>
    <w:basedOn w:val="ArticleImage"/>
    <w:qFormat/>
    <w:rsid w:val="008447C2"/>
    <w:rPr>
      <w:rFonts w:eastAsia="宋体"/>
      <w:sz w:val="22"/>
      <w:szCs w:val="22"/>
    </w:rPr>
  </w:style>
  <w:style w:type="character" w:customStyle="1" w:styleId="InfoTitle">
    <w:name w:val="Info Title"/>
    <w:basedOn w:val="a1"/>
    <w:uiPriority w:val="1"/>
    <w:qFormat/>
    <w:rsid w:val="00991CDD"/>
    <w:rPr>
      <w:b/>
      <w:color w:val="4F81BD" w:themeColor="accent1"/>
      <w:lang w:eastAsia="zh-CN"/>
    </w:rPr>
  </w:style>
  <w:style w:type="character" w:styleId="af3">
    <w:name w:val="Placeholder Text"/>
    <w:basedOn w:val="a1"/>
    <w:uiPriority w:val="99"/>
    <w:semiHidden/>
    <w:rsid w:val="00980732"/>
    <w:rPr>
      <w:color w:val="80808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139911">
      <w:bodyDiv w:val="1"/>
      <w:marLeft w:val="0"/>
      <w:marRight w:val="0"/>
      <w:marTop w:val="0"/>
      <w:marBottom w:val="0"/>
      <w:divBdr>
        <w:top w:val="none" w:sz="0" w:space="0" w:color="auto"/>
        <w:left w:val="none" w:sz="0" w:space="0" w:color="auto"/>
        <w:bottom w:val="none" w:sz="0" w:space="0" w:color="auto"/>
        <w:right w:val="none" w:sz="0" w:space="0" w:color="auto"/>
      </w:divBdr>
      <w:divsChild>
        <w:div w:id="772093580">
          <w:marLeft w:val="0"/>
          <w:marRight w:val="0"/>
          <w:marTop w:val="0"/>
          <w:marBottom w:val="0"/>
          <w:divBdr>
            <w:top w:val="none" w:sz="0" w:space="0" w:color="auto"/>
            <w:left w:val="none" w:sz="0" w:space="0" w:color="auto"/>
            <w:bottom w:val="none" w:sz="0" w:space="0" w:color="auto"/>
            <w:right w:val="none" w:sz="0" w:space="0" w:color="auto"/>
          </w:divBdr>
          <w:divsChild>
            <w:div w:id="15150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5777">
      <w:bodyDiv w:val="1"/>
      <w:marLeft w:val="0"/>
      <w:marRight w:val="0"/>
      <w:marTop w:val="0"/>
      <w:marBottom w:val="0"/>
      <w:divBdr>
        <w:top w:val="none" w:sz="0" w:space="0" w:color="auto"/>
        <w:left w:val="none" w:sz="0" w:space="0" w:color="auto"/>
        <w:bottom w:val="none" w:sz="0" w:space="0" w:color="auto"/>
        <w:right w:val="none" w:sz="0" w:space="0" w:color="auto"/>
      </w:divBdr>
      <w:divsChild>
        <w:div w:id="1939292803">
          <w:marLeft w:val="0"/>
          <w:marRight w:val="0"/>
          <w:marTop w:val="0"/>
          <w:marBottom w:val="0"/>
          <w:divBdr>
            <w:top w:val="none" w:sz="0" w:space="0" w:color="auto"/>
            <w:left w:val="none" w:sz="0" w:space="0" w:color="auto"/>
            <w:bottom w:val="none" w:sz="0" w:space="0" w:color="auto"/>
            <w:right w:val="none" w:sz="0" w:space="0" w:color="auto"/>
          </w:divBdr>
          <w:divsChild>
            <w:div w:id="3104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13708">
      <w:bodyDiv w:val="1"/>
      <w:marLeft w:val="0"/>
      <w:marRight w:val="0"/>
      <w:marTop w:val="0"/>
      <w:marBottom w:val="0"/>
      <w:divBdr>
        <w:top w:val="none" w:sz="0" w:space="0" w:color="auto"/>
        <w:left w:val="none" w:sz="0" w:space="0" w:color="auto"/>
        <w:bottom w:val="none" w:sz="0" w:space="0" w:color="auto"/>
        <w:right w:val="none" w:sz="0" w:space="0" w:color="auto"/>
      </w:divBdr>
      <w:divsChild>
        <w:div w:id="1540047518">
          <w:marLeft w:val="0"/>
          <w:marRight w:val="0"/>
          <w:marTop w:val="0"/>
          <w:marBottom w:val="0"/>
          <w:divBdr>
            <w:top w:val="none" w:sz="0" w:space="0" w:color="auto"/>
            <w:left w:val="none" w:sz="0" w:space="0" w:color="auto"/>
            <w:bottom w:val="none" w:sz="0" w:space="0" w:color="auto"/>
            <w:right w:val="none" w:sz="0" w:space="0" w:color="auto"/>
          </w:divBdr>
          <w:divsChild>
            <w:div w:id="9243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32561">
      <w:bodyDiv w:val="1"/>
      <w:marLeft w:val="0"/>
      <w:marRight w:val="0"/>
      <w:marTop w:val="0"/>
      <w:marBottom w:val="0"/>
      <w:divBdr>
        <w:top w:val="none" w:sz="0" w:space="0" w:color="auto"/>
        <w:left w:val="none" w:sz="0" w:space="0" w:color="auto"/>
        <w:bottom w:val="none" w:sz="0" w:space="0" w:color="auto"/>
        <w:right w:val="none" w:sz="0" w:space="0" w:color="auto"/>
      </w:divBdr>
      <w:divsChild>
        <w:div w:id="1125126160">
          <w:marLeft w:val="0"/>
          <w:marRight w:val="0"/>
          <w:marTop w:val="0"/>
          <w:marBottom w:val="0"/>
          <w:divBdr>
            <w:top w:val="none" w:sz="0" w:space="0" w:color="auto"/>
            <w:left w:val="none" w:sz="0" w:space="0" w:color="auto"/>
            <w:bottom w:val="none" w:sz="0" w:space="0" w:color="auto"/>
            <w:right w:val="none" w:sz="0" w:space="0" w:color="auto"/>
          </w:divBdr>
          <w:divsChild>
            <w:div w:id="83822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579474">
      <w:bodyDiv w:val="1"/>
      <w:marLeft w:val="0"/>
      <w:marRight w:val="0"/>
      <w:marTop w:val="0"/>
      <w:marBottom w:val="0"/>
      <w:divBdr>
        <w:top w:val="none" w:sz="0" w:space="0" w:color="auto"/>
        <w:left w:val="none" w:sz="0" w:space="0" w:color="auto"/>
        <w:bottom w:val="none" w:sz="0" w:space="0" w:color="auto"/>
        <w:right w:val="none" w:sz="0" w:space="0" w:color="auto"/>
      </w:divBdr>
      <w:divsChild>
        <w:div w:id="657807862">
          <w:marLeft w:val="0"/>
          <w:marRight w:val="0"/>
          <w:marTop w:val="0"/>
          <w:marBottom w:val="0"/>
          <w:divBdr>
            <w:top w:val="none" w:sz="0" w:space="0" w:color="auto"/>
            <w:left w:val="none" w:sz="0" w:space="0" w:color="auto"/>
            <w:bottom w:val="none" w:sz="0" w:space="0" w:color="auto"/>
            <w:right w:val="none" w:sz="0" w:space="0" w:color="auto"/>
          </w:divBdr>
          <w:divsChild>
            <w:div w:id="48551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15181">
      <w:bodyDiv w:val="1"/>
      <w:marLeft w:val="0"/>
      <w:marRight w:val="0"/>
      <w:marTop w:val="0"/>
      <w:marBottom w:val="0"/>
      <w:divBdr>
        <w:top w:val="none" w:sz="0" w:space="0" w:color="auto"/>
        <w:left w:val="none" w:sz="0" w:space="0" w:color="auto"/>
        <w:bottom w:val="none" w:sz="0" w:space="0" w:color="auto"/>
        <w:right w:val="none" w:sz="0" w:space="0" w:color="auto"/>
      </w:divBdr>
      <w:divsChild>
        <w:div w:id="349837243">
          <w:marLeft w:val="0"/>
          <w:marRight w:val="0"/>
          <w:marTop w:val="0"/>
          <w:marBottom w:val="0"/>
          <w:divBdr>
            <w:top w:val="none" w:sz="0" w:space="0" w:color="auto"/>
            <w:left w:val="none" w:sz="0" w:space="0" w:color="auto"/>
            <w:bottom w:val="none" w:sz="0" w:space="0" w:color="auto"/>
            <w:right w:val="none" w:sz="0" w:space="0" w:color="auto"/>
          </w:divBdr>
          <w:divsChild>
            <w:div w:id="179085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2.xml" /><Relationship Id="rId11"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2</Pages>
  <Words>83</Words>
  <Characters>478</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中国证监会行政处罚裁量基本规则（2025年）</dc:title>
  <dc:creator>法律法规速查APP</dc:creator>
  <cp:keywords/>
  <dcterms:created xsi:type="dcterms:W3CDTF">2025-10-31T06:47:56Z</dcterms:created>
  <dcterms:modified xsi:type="dcterms:W3CDTF">2025-10-31T06:47:56Z</dcterms:modified>
</cp:coreProperties>
</file>

<file path=docProps/custom.xml><?xml version="1.0" encoding="utf-8"?>
<Properties xmlns="http://schemas.openxmlformats.org/officeDocument/2006/custom-properties" xmlns:vt="http://schemas.openxmlformats.org/officeDocument/2006/docPropsVTypes"/>
</file>