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5"/>
      </w:pPr>
      <w:r>
        <w:t xml:space="preserve">规范医疗保障基金使用监督管理行政处罚裁量权办法（2021年）</w:t>
      </w:r>
    </w:p>
    <w:p>
      <w:pPr>
        <w:pStyle w:val="Author"/>
      </w:pPr>
      <w:r>
        <w:t xml:space="preserve">法律法规速查APP</w:t>
      </w:r>
    </w:p>
    <w:p>
      <w:pPr>
        <w:pStyle w:val="Info"/>
      </w:pPr>
      <w:r>
        <w:rPr>
          <w:rStyle w:val="InfoTitle"/>
        </w:rPr>
        <w:t xml:space="preserve">发布字号：</w:t>
      </w:r>
      <w:r>
        <w:t xml:space="preserve">医保发〔2021〕35号</w:t>
      </w:r>
    </w:p>
    <w:p>
      <w:pPr>
        <w:pStyle w:val="Info"/>
      </w:pPr>
      <w:r>
        <w:rPr>
          <w:rStyle w:val="InfoTitle"/>
        </w:rPr>
        <w:t xml:space="preserve">发布机关：</w:t>
      </w:r>
      <w:r>
        <w:t xml:space="preserve">医保局</w:t>
      </w:r>
    </w:p>
    <w:p>
      <w:pPr>
        <w:pStyle w:val="Info"/>
      </w:pPr>
      <w:r>
        <w:rPr>
          <w:rStyle w:val="InfoTitle"/>
        </w:rPr>
        <w:t xml:space="preserve">发布日期：</w:t>
      </w:r>
      <w:r>
        <w:t xml:space="preserve">2021年6月23日</w:t>
      </w:r>
    </w:p>
    <w:p>
      <w:pPr>
        <w:pStyle w:val="Info"/>
      </w:pPr>
      <w:r>
        <w:rPr>
          <w:rStyle w:val="InfoTitle"/>
        </w:rPr>
        <w:t xml:space="preserve">实施日期：</w:t>
      </w:r>
      <w:r>
        <w:t xml:space="preserve">2021年7月15日</w:t>
      </w:r>
    </w:p>
    <w:p>
      <w:pPr>
        <w:pStyle w:val="Info"/>
      </w:pPr>
      <w:r>
        <w:rPr>
          <w:rStyle w:val="InfoTitle"/>
        </w:rPr>
        <w:t xml:space="preserve">当前效力：</w:t>
      </w:r>
      <w:r>
        <w:t xml:space="preserve">有效</w:t>
      </w:r>
    </w:p>
    <w:p>
      <w:pPr>
        <w:pStyle w:val="Info"/>
      </w:pPr>
      <w:r>
        <w:t xml:space="preserve"> </w:t>
      </w:r>
    </w:p>
    <w:p>
      <w:pPr>
        <w:pStyle w:val="Abstract"/>
      </w:pPr>
      <w:r>
        <w:t xml:space="preserve"> </w:t>
      </w:r>
    </w:p>
    <w:p>
      <w:pPr>
        <w:pStyle w:val="ArticleBody"/>
      </w:pPr>
      <w:r>
        <w:rPr>
          <w:rStyle w:val="ArticleHead"/>
        </w:rPr>
        <w:t xml:space="preserve">第一条</w:t>
      </w:r>
      <w:r>
        <w:rPr>
          <w:rStyle w:val="ArticleHead"/>
        </w:rPr>
        <w:t xml:space="preserve"> </w:t>
      </w:r>
      <w:r>
        <w:t xml:space="preserve">为规范医疗保障基金使用监管行政执法行为，保障医疗保障行政部门合法、合理、适当地行使行政处罚裁量权，保护公民、法人和其他组织的合法权益，根据《中华人民共和国行政处罚法》、《医疗保障基金使用监督管理条例》等相关法律法规，制定本办法。</w:t>
      </w:r>
    </w:p>
    <w:p>
      <w:pPr>
        <w:pStyle w:val="ArticleBody"/>
      </w:pPr>
      <w:r>
        <w:rPr>
          <w:rStyle w:val="ArticleHead"/>
        </w:rPr>
        <w:t xml:space="preserve">第二条</w:t>
      </w:r>
      <w:r>
        <w:rPr>
          <w:rStyle w:val="ArticleHead"/>
        </w:rPr>
        <w:t xml:space="preserve"> </w:t>
      </w:r>
      <w:r>
        <w:t xml:space="preserve">本办法所称医疗保障基金使用监督管理行政处罚裁量权，是指医疗保障行政部门在实施医疗保障基金使用监督管理行政处罚时，根据法律、法规、规章等规定，综合考虑违法行为的事实、性质、情节、社会危害程度以及当事人主观过错等因素，决定行政处罚种类及处罚幅度的权限。</w:t>
      </w:r>
    </w:p>
    <w:p>
      <w:pPr>
        <w:pStyle w:val="ArticleBody"/>
      </w:pPr>
      <w:r>
        <w:rPr>
          <w:rStyle w:val="ArticleHead"/>
        </w:rPr>
        <w:t xml:space="preserve">第三条</w:t>
      </w:r>
      <w:r>
        <w:rPr>
          <w:rStyle w:val="ArticleHead"/>
        </w:rPr>
        <w:t xml:space="preserve"> </w:t>
      </w:r>
      <w:r>
        <w:t xml:space="preserve">省级医疗保障行政部门制定行政处罚裁量基准和行使行政处罚裁量权，适用本办法。</w:t>
      </w:r>
    </w:p>
    <w:p>
      <w:pPr>
        <w:pStyle w:val="ArticleBody"/>
      </w:pPr>
      <w:r>
        <w:rPr>
          <w:rStyle w:val="ArticleHead"/>
        </w:rPr>
        <w:t xml:space="preserve">第四条</w:t>
      </w:r>
      <w:r>
        <w:rPr>
          <w:rStyle w:val="ArticleHead"/>
        </w:rPr>
        <w:t xml:space="preserve"> </w:t>
      </w:r>
      <w:r>
        <w:t xml:space="preserve">行使行政处罚裁量权，应当符合法律、法规、规章规定，遵循法定程序，保障行政相对人的合法权益。</w:t>
      </w:r>
    </w:p>
    <w:p>
      <w:pPr>
        <w:pStyle w:val="ArticleBody"/>
      </w:pPr>
      <w:r>
        <w:rPr>
          <w:rStyle w:val="ArticleHead"/>
        </w:rPr>
        <w:t xml:space="preserve">第五条</w:t>
      </w:r>
      <w:r>
        <w:rPr>
          <w:rStyle w:val="ArticleHead"/>
        </w:rPr>
        <w:t xml:space="preserve"> </w:t>
      </w:r>
      <w:r>
        <w:t xml:space="preserve">行使行政处罚裁量权应当符合法律目的，排除不相关因素的干扰，所采取的措施和手段应当必要、适当。</w:t>
      </w:r>
    </w:p>
    <w:p>
      <w:pPr>
        <w:pStyle w:val="ArticleBody"/>
      </w:pPr>
      <w:r>
        <w:rPr>
          <w:rStyle w:val="ArticleHead"/>
        </w:rPr>
        <w:t xml:space="preserve">第六条</w:t>
      </w:r>
      <w:r>
        <w:rPr>
          <w:rStyle w:val="ArticleHead"/>
        </w:rPr>
        <w:t xml:space="preserve"> </w:t>
      </w:r>
      <w:r>
        <w:t xml:space="preserve">行使行政处罚裁量权，应当以事实为依据，行政处罚的种类和幅度应当与违法行为的事实、性质、情节、社会危害程度相当，与违法行为发生地的经济社会发展水平相适应。</w:t>
      </w:r>
    </w:p>
    <w:p>
      <w:pPr>
        <w:pStyle w:val="ArticleBody"/>
      </w:pPr>
      <w:r>
        <w:t xml:space="preserve">违法事实、性质、情节及社会危害后果等相同或相近的违法行为，同一行政区域行政处罚的种类和幅度应当基本一致。</w:t>
      </w:r>
    </w:p>
    <w:p>
      <w:pPr>
        <w:pStyle w:val="ArticleBody"/>
      </w:pPr>
      <w:r>
        <w:rPr>
          <w:rStyle w:val="ArticleHead"/>
        </w:rPr>
        <w:t xml:space="preserve">第七条</w:t>
      </w:r>
      <w:r>
        <w:rPr>
          <w:rStyle w:val="ArticleHead"/>
        </w:rPr>
        <w:t xml:space="preserve"> </w:t>
      </w:r>
      <w:r>
        <w:t xml:space="preserve">省级医疗保障行政部门可以根据统一和规范的全国医疗保障基金监管行政执法裁量尺度，针对特定的医疗保障基金监管行政处罚事项制定裁量基准。</w:t>
      </w:r>
    </w:p>
    <w:p>
      <w:pPr>
        <w:pStyle w:val="ArticleBody"/>
      </w:pPr>
      <w:r>
        <w:rPr>
          <w:rStyle w:val="ArticleHead"/>
        </w:rPr>
        <w:t xml:space="preserve">第八条</w:t>
      </w:r>
      <w:r>
        <w:rPr>
          <w:rStyle w:val="ArticleHead"/>
        </w:rPr>
        <w:t xml:space="preserve"> </w:t>
      </w:r>
      <w:r>
        <w:t xml:space="preserve">法律、法规、规章对行政处罚事项规定有裁量空间的，省级医疗保障行政部门应当根据本办法结合本地区实际制定裁量基准，明确处罚裁量标准和适用条件，供本区域医疗保障行政部门实施行政处罚时参照执行。</w:t>
      </w:r>
    </w:p>
    <w:p>
      <w:pPr>
        <w:pStyle w:val="ArticleBody"/>
      </w:pPr>
      <w:r>
        <w:rPr>
          <w:rStyle w:val="ArticleHead"/>
        </w:rPr>
        <w:t xml:space="preserve">第九条</w:t>
      </w:r>
      <w:r>
        <w:rPr>
          <w:rStyle w:val="ArticleHead"/>
        </w:rPr>
        <w:t xml:space="preserve"> </w:t>
      </w:r>
      <w:r>
        <w:t xml:space="preserve">省级医疗保障行政部门应当依据法律、法规、规章制定情况、上级部门制定的行政处罚裁量权适用规则的变化以及执法工作实际，及时修订完善本部门的行政处罚裁量基准并向国家医保局备案。</w:t>
      </w:r>
    </w:p>
    <w:p>
      <w:pPr>
        <w:pStyle w:val="ArticleBody"/>
      </w:pPr>
      <w:r>
        <w:rPr>
          <w:rStyle w:val="ArticleHead"/>
        </w:rPr>
        <w:t xml:space="preserve">第十条</w:t>
      </w:r>
      <w:r>
        <w:rPr>
          <w:rStyle w:val="ArticleHead"/>
        </w:rPr>
        <w:t xml:space="preserve"> </w:t>
      </w:r>
      <w:r>
        <w:t xml:space="preserve">制定行政处罚裁量基准，应当遵守以下规定：</w:t>
      </w:r>
    </w:p>
    <w:p>
      <w:pPr>
        <w:pStyle w:val="ArticleBody"/>
      </w:pPr>
      <w:r>
        <w:t xml:space="preserve">（一）法律、法规、规章规定可以选择是否给予行政处罚的，应当明确是否给予行政处罚的具体裁量标准和适用条件；</w:t>
      </w:r>
    </w:p>
    <w:p>
      <w:pPr>
        <w:pStyle w:val="ArticleBody"/>
      </w:pPr>
      <w:r>
        <w:t xml:space="preserve">（二）法律、法规、规章规定可以选择行政处罚种类的，应当明确适用不同种类行政处罚的具体裁量标准和适用条件；</w:t>
      </w:r>
    </w:p>
    <w:p>
      <w:pPr>
        <w:pStyle w:val="ArticleBody"/>
      </w:pPr>
      <w:r>
        <w:t xml:space="preserve">（三）法律、法规、规章规定可以选择行政处罚幅度的，应当根据违法事实、性质、情节、社会危害程度等因素确定具体裁量标准和适用条件；</w:t>
      </w:r>
    </w:p>
    <w:p>
      <w:pPr>
        <w:pStyle w:val="ArticleBody"/>
      </w:pPr>
      <w:r>
        <w:t xml:space="preserve">（四）法律、法规、规章规定可以单处也可以并处行政处罚的，应当明确单处或者并处行政处罚的具体裁量标准和适用条件。</w:t>
      </w:r>
    </w:p>
    <w:p>
      <w:pPr>
        <w:pStyle w:val="ArticleBody"/>
      </w:pPr>
      <w:r>
        <w:rPr>
          <w:rStyle w:val="ArticleHead"/>
        </w:rPr>
        <w:t xml:space="preserve">第十一条</w:t>
      </w:r>
      <w:r>
        <w:rPr>
          <w:rStyle w:val="ArticleHead"/>
        </w:rPr>
        <w:t xml:space="preserve"> </w:t>
      </w:r>
      <w:r>
        <w:t xml:space="preserve">法律、法规、规章设定的罚款数额有一定幅度的，在相应的幅度范围内分为从重处罚、一般处罚、从轻处罚。除法律、法规、规章另有规定外，罚款处罚的数额按照以下标准确定：</w:t>
      </w:r>
    </w:p>
    <w:p>
      <w:pPr>
        <w:pStyle w:val="ArticleBody"/>
      </w:pPr>
      <w:r>
        <w:t xml:space="preserve">（一）罚款为一定幅度的数额，并同时规定了最低罚款数额和最高罚款数额的，从轻处罚应低于最高罚款数额与最低罚款数额的中间值，从重处罚应高于中间值；</w:t>
      </w:r>
    </w:p>
    <w:p>
      <w:pPr>
        <w:pStyle w:val="ArticleBody"/>
      </w:pPr>
      <w:r>
        <w:t xml:space="preserve">（二）罚款为一定金额的倍数，并同时规定了最低罚款倍数和最高罚款倍数的，从轻处罚应低于最低罚款倍数和最高罚款倍数的中间倍数，从重处罚应高于中间倍数。</w:t>
      </w:r>
    </w:p>
    <w:p>
      <w:pPr>
        <w:pStyle w:val="ArticleBody"/>
      </w:pPr>
      <w:r>
        <w:rPr>
          <w:rStyle w:val="ArticleHead"/>
        </w:rPr>
        <w:t xml:space="preserve">第十二条</w:t>
      </w:r>
      <w:r>
        <w:rPr>
          <w:rStyle w:val="ArticleHead"/>
        </w:rPr>
        <w:t xml:space="preserve"> </w:t>
      </w:r>
      <w:r>
        <w:t xml:space="preserve">同时具有两个以上从重情节、且不具有从轻或者减轻情节的，应当在违法行为对应的处罚幅度内按最高档次实施处罚。</w:t>
      </w:r>
    </w:p>
    <w:p>
      <w:pPr>
        <w:pStyle w:val="ArticleBody"/>
      </w:pPr>
      <w:r>
        <w:t xml:space="preserve">同时具有两个以上从轻情节、且不具有从重情节的，应当在违法行为对应的处罚幅度内按最低档次实施处罚。</w:t>
      </w:r>
    </w:p>
    <w:p>
      <w:pPr>
        <w:pStyle w:val="ArticleBody"/>
      </w:pPr>
      <w:r>
        <w:t xml:space="preserve">同时具有从重和从轻或减轻情节的，应当根据违法行为的性质和主要情节确定对应的处罚幅度，综合考虑后实施处罚。</w:t>
      </w:r>
    </w:p>
    <w:p>
      <w:pPr>
        <w:pStyle w:val="ArticleBody"/>
      </w:pPr>
      <w:r>
        <w:rPr>
          <w:rStyle w:val="ArticleHead"/>
        </w:rPr>
        <w:t xml:space="preserve">第十三条</w:t>
      </w:r>
      <w:r>
        <w:rPr>
          <w:rStyle w:val="ArticleHead"/>
        </w:rPr>
        <w:t xml:space="preserve"> </w:t>
      </w:r>
      <w:r>
        <w:t xml:space="preserve">有下列情形之一的，医疗保障行政部门应当不予处罚：</w:t>
      </w:r>
    </w:p>
    <w:p>
      <w:pPr>
        <w:pStyle w:val="ArticleBody"/>
      </w:pPr>
      <w:r>
        <w:t xml:space="preserve">（一）未满十四周岁的未成年人实施违法行为的。</w:t>
      </w:r>
    </w:p>
    <w:p>
      <w:pPr>
        <w:pStyle w:val="ArticleBody"/>
      </w:pPr>
      <w:r>
        <w:t xml:space="preserve">（二）精神病人、智力残疾人在不能辨认或者控制自己行为时实施违法行为的。</w:t>
      </w:r>
    </w:p>
    <w:p>
      <w:pPr>
        <w:pStyle w:val="ArticleBody"/>
      </w:pPr>
      <w:r>
        <w:t xml:space="preserve">（三）违法事实不清，证据不足的。</w:t>
      </w:r>
    </w:p>
    <w:p>
      <w:pPr>
        <w:pStyle w:val="ArticleBody"/>
      </w:pPr>
      <w:r>
        <w:t xml:space="preserve">（四）违法行为轻微并及时改正，未造成危害后果的。</w:t>
      </w:r>
    </w:p>
    <w:p>
      <w:pPr>
        <w:pStyle w:val="ArticleBody"/>
      </w:pPr>
      <w:r>
        <w:t xml:space="preserve">（五）当事人有证据足以证明没有主观过错的，法律、行政法规另有规定的，从其规定。</w:t>
      </w:r>
    </w:p>
    <w:p>
      <w:pPr>
        <w:pStyle w:val="ArticleBody"/>
      </w:pPr>
      <w:r>
        <w:t xml:space="preserve">（六）违法行为在二年内未被发现的，不再给予行政处罚；涉及公民生命健康安全、金融安全且有危害后果的，上述期限延长至五年。法律另有规定的除外。</w:t>
      </w:r>
    </w:p>
    <w:p>
      <w:pPr>
        <w:pStyle w:val="ArticleBody"/>
      </w:pPr>
      <w:r>
        <w:t xml:space="preserve">前期规定的期限，从违法行为发生之日起计算；违法行为有连续或继续状态的，从行为终了之日起计算。</w:t>
      </w:r>
    </w:p>
    <w:p>
      <w:pPr>
        <w:pStyle w:val="ArticleBody"/>
      </w:pPr>
      <w:r>
        <w:t xml:space="preserve">（七）法律、法规、规章规定其他依法不予处罚的情形。</w:t>
      </w:r>
    </w:p>
    <w:p>
      <w:pPr>
        <w:pStyle w:val="ArticleBody"/>
      </w:pPr>
      <w:r>
        <w:rPr>
          <w:rStyle w:val="ArticleHead"/>
        </w:rPr>
        <w:t xml:space="preserve">第十四条</w:t>
      </w:r>
      <w:r>
        <w:rPr>
          <w:rStyle w:val="ArticleHead"/>
        </w:rPr>
        <w:t xml:space="preserve"> </w:t>
      </w:r>
      <w:r>
        <w:t xml:space="preserve">有下列情形之一的，医疗保障行政部门应当从轻或减轻处罚：</w:t>
      </w:r>
    </w:p>
    <w:p>
      <w:pPr>
        <w:pStyle w:val="ArticleBody"/>
      </w:pPr>
      <w:r>
        <w:t xml:space="preserve">（一）已满十四周岁不满十八周岁的未成年人实施违法行为的；</w:t>
      </w:r>
    </w:p>
    <w:p>
      <w:pPr>
        <w:pStyle w:val="ArticleBody"/>
      </w:pPr>
      <w:r>
        <w:t xml:space="preserve">（二）主动消除或减轻基金使用违法行为危害后果的；</w:t>
      </w:r>
    </w:p>
    <w:p>
      <w:pPr>
        <w:pStyle w:val="ArticleBody"/>
      </w:pPr>
      <w:r>
        <w:t xml:space="preserve">（三）受他人胁迫或者诱骗实施违法行为的；</w:t>
      </w:r>
    </w:p>
    <w:p>
      <w:pPr>
        <w:pStyle w:val="ArticleBody"/>
      </w:pPr>
      <w:r>
        <w:t xml:space="preserve">（四）主动供述行政机关尚未掌握的基金使用违法行为的关键线索或证据，并经查证属实的；</w:t>
      </w:r>
    </w:p>
    <w:p>
      <w:pPr>
        <w:pStyle w:val="ArticleBody"/>
      </w:pPr>
      <w:r>
        <w:t xml:space="preserve">（五）积极配合行政机关查处违法行为、如实陈述违法事实并主动提供证据材料的；</w:t>
      </w:r>
    </w:p>
    <w:p>
      <w:pPr>
        <w:pStyle w:val="ArticleBody"/>
      </w:pPr>
      <w:r>
        <w:t xml:space="preserve">（六）主动投案向行政机关如实交代违法行为的；</w:t>
      </w:r>
    </w:p>
    <w:p>
      <w:pPr>
        <w:pStyle w:val="ArticleBody"/>
      </w:pPr>
      <w:r>
        <w:t xml:space="preserve">（七）法律、法规、规章规定应当从轻或减轻处罚的其他情形。</w:t>
      </w:r>
    </w:p>
    <w:p>
      <w:pPr>
        <w:pStyle w:val="ArticleBody"/>
      </w:pPr>
      <w:r>
        <w:rPr>
          <w:rStyle w:val="ArticleHead"/>
        </w:rPr>
        <w:t xml:space="preserve">第十五条</w:t>
      </w:r>
      <w:r>
        <w:rPr>
          <w:rStyle w:val="ArticleHead"/>
        </w:rPr>
        <w:t xml:space="preserve"> </w:t>
      </w:r>
      <w:r>
        <w:t xml:space="preserve">有下列情形之一的，医疗保障行政部门可以从轻或减轻处罚：</w:t>
      </w:r>
    </w:p>
    <w:p>
      <w:pPr>
        <w:pStyle w:val="ArticleBody"/>
      </w:pPr>
      <w:r>
        <w:t xml:space="preserve">（一）尚未完全丧失辨认或者控制自己行为能力的精神病人、智力残疾人有违法行为的；</w:t>
      </w:r>
    </w:p>
    <w:p>
      <w:pPr>
        <w:pStyle w:val="ArticleBody"/>
      </w:pPr>
      <w:r>
        <w:t xml:space="preserve">（二）初次违法且危害后果轻微并及时改正的；</w:t>
      </w:r>
    </w:p>
    <w:p>
      <w:pPr>
        <w:pStyle w:val="ArticleBody"/>
      </w:pPr>
      <w:r>
        <w:t xml:space="preserve">（三）法律、法规、规章规定可以从轻或减轻处罚的其他情形。</w:t>
      </w:r>
    </w:p>
    <w:p>
      <w:pPr>
        <w:pStyle w:val="ArticleBody"/>
      </w:pPr>
      <w:r>
        <w:rPr>
          <w:rStyle w:val="ArticleHead"/>
        </w:rPr>
        <w:t xml:space="preserve">第十六条</w:t>
      </w:r>
      <w:r>
        <w:rPr>
          <w:rStyle w:val="ArticleHead"/>
        </w:rPr>
        <w:t xml:space="preserve"> </w:t>
      </w:r>
      <w:r>
        <w:t xml:space="preserve">有下列情形之一的，医疗保障行政部门应当从重处罚：</w:t>
      </w:r>
    </w:p>
    <w:p>
      <w:pPr>
        <w:pStyle w:val="ArticleBody"/>
      </w:pPr>
      <w:r>
        <w:t xml:space="preserve">（一）违法情节恶劣，造成严重危害后果的；</w:t>
      </w:r>
    </w:p>
    <w:p>
      <w:pPr>
        <w:pStyle w:val="ArticleBody"/>
      </w:pPr>
      <w:r>
        <w:t xml:space="preserve">（二）责令改正拒不改正，或者一年内实施两次以上同一性质违法行为的；</w:t>
      </w:r>
    </w:p>
    <w:p>
      <w:pPr>
        <w:pStyle w:val="ArticleBody"/>
      </w:pPr>
      <w:r>
        <w:t xml:space="preserve">（三）妨碍、阻挠或者抗拒执法人员依法调查、处理其违法行为的；</w:t>
      </w:r>
    </w:p>
    <w:p>
      <w:pPr>
        <w:pStyle w:val="ArticleBody"/>
      </w:pPr>
      <w:r>
        <w:t xml:space="preserve">（四）故意转移、隐匿、毁坏或伪造证据，或者对举报投诉人、证人打击报复的；</w:t>
      </w:r>
    </w:p>
    <w:p>
      <w:pPr>
        <w:pStyle w:val="ArticleBody"/>
      </w:pPr>
      <w:r>
        <w:t xml:space="preserve">（五）法律、法规、规章规定应当从重处罚的其他情形。</w:t>
      </w:r>
    </w:p>
    <w:p>
      <w:pPr>
        <w:pStyle w:val="ArticleBody"/>
      </w:pPr>
      <w:r>
        <w:rPr>
          <w:rStyle w:val="ArticleHead"/>
        </w:rPr>
        <w:t xml:space="preserve">第十七条</w:t>
      </w:r>
      <w:r>
        <w:rPr>
          <w:rStyle w:val="ArticleHead"/>
        </w:rPr>
        <w:t xml:space="preserve"> </w:t>
      </w:r>
      <w:r>
        <w:t xml:space="preserve">给予减轻处罚的，依法在法定行政处罚的最低限度以下作出。</w:t>
      </w:r>
    </w:p>
    <w:p>
      <w:pPr>
        <w:pStyle w:val="ArticleBody"/>
      </w:pPr>
      <w:r>
        <w:rPr>
          <w:rStyle w:val="ArticleHead"/>
        </w:rPr>
        <w:t xml:space="preserve">第十八条</w:t>
      </w:r>
      <w:r>
        <w:rPr>
          <w:rStyle w:val="ArticleHead"/>
        </w:rPr>
        <w:t xml:space="preserve"> </w:t>
      </w:r>
      <w:r>
        <w:t xml:space="preserve">行使行政处罚裁量权，应当坚持处罚与教育相结合、执法与普法相结合，将普法宣传融入行政执法全过程，教育和引导公民、法人或者其他组织知法学法、自觉守法。</w:t>
      </w:r>
    </w:p>
    <w:p>
      <w:pPr>
        <w:pStyle w:val="ArticleBody"/>
      </w:pPr>
      <w:r>
        <w:rPr>
          <w:rStyle w:val="ArticleHead"/>
        </w:rPr>
        <w:t xml:space="preserve">第十九条</w:t>
      </w:r>
      <w:r>
        <w:rPr>
          <w:rStyle w:val="ArticleHead"/>
        </w:rPr>
        <w:t xml:space="preserve"> </w:t>
      </w:r>
      <w:r>
        <w:t xml:space="preserve">医疗保障行政部门应当加强医疗保障基金监管执法典型案例的收集、整理、研究和发布工作，建立医疗保障基金监管行政执法案例库，充分发挥典型案例在指导和规范行政处罚裁量权工作中的引导、规范功能。</w:t>
      </w:r>
    </w:p>
    <w:p>
      <w:pPr>
        <w:pStyle w:val="ArticleBody"/>
      </w:pPr>
      <w:r>
        <w:rPr>
          <w:rStyle w:val="ArticleHead"/>
        </w:rPr>
        <w:t xml:space="preserve">第二十条</w:t>
      </w:r>
      <w:r>
        <w:rPr>
          <w:rStyle w:val="ArticleHead"/>
        </w:rPr>
        <w:t xml:space="preserve"> </w:t>
      </w:r>
      <w:r>
        <w:t xml:space="preserve">医疗保障行政部门行使行政处罚裁量权，不得有下列情形：</w:t>
      </w:r>
    </w:p>
    <w:p>
      <w:pPr>
        <w:pStyle w:val="ArticleBody"/>
      </w:pPr>
      <w:r>
        <w:t xml:space="preserve">（一）违法行为的事实、性质、情节以及社会危害程度与受到的行政处罚相比，畸轻或者畸重的；</w:t>
      </w:r>
    </w:p>
    <w:p>
      <w:pPr>
        <w:pStyle w:val="ArticleBody"/>
      </w:pPr>
      <w:r>
        <w:t xml:space="preserve">（二）在同一时期同类案件中，不同当事人的违法行为相同或者相近，所受行政处罚差别较大的；</w:t>
      </w:r>
    </w:p>
    <w:p>
      <w:pPr>
        <w:pStyle w:val="ArticleBody"/>
      </w:pPr>
      <w:r>
        <w:t xml:space="preserve">（三）依法应当不予行政处罚或者应当从轻、减轻行政处罚的，给予处罚或未从轻、减轻行政处罚的；</w:t>
      </w:r>
    </w:p>
    <w:p>
      <w:pPr>
        <w:pStyle w:val="ArticleBody"/>
      </w:pPr>
      <w:r>
        <w:t xml:space="preserve">（四）其他滥用行政处罚裁量权情形的。</w:t>
      </w:r>
    </w:p>
    <w:p>
      <w:pPr>
        <w:pStyle w:val="ArticleBody"/>
      </w:pPr>
      <w:r>
        <w:rPr>
          <w:rStyle w:val="ArticleHead"/>
        </w:rPr>
        <w:t xml:space="preserve">第二十一条</w:t>
      </w:r>
      <w:r>
        <w:rPr>
          <w:rStyle w:val="ArticleHead"/>
        </w:rPr>
        <w:t xml:space="preserve"> </w:t>
      </w:r>
      <w:r>
        <w:t xml:space="preserve">各级医疗保障行政部门应当建立健全规范医疗保障基金监管行政处罚裁量权的监督制度，通过以下方式加强对本行政区域内医疗保障行政部门行使裁量权情况的监督：</w:t>
      </w:r>
    </w:p>
    <w:p>
      <w:pPr>
        <w:pStyle w:val="ArticleBody"/>
      </w:pPr>
      <w:r>
        <w:t xml:space="preserve">（一）行政处罚集体讨论；</w:t>
      </w:r>
    </w:p>
    <w:p>
      <w:pPr>
        <w:pStyle w:val="ArticleBody"/>
      </w:pPr>
      <w:r>
        <w:t xml:space="preserve">（二）行政处罚决定法制审核；</w:t>
      </w:r>
    </w:p>
    <w:p>
      <w:pPr>
        <w:pStyle w:val="ArticleBody"/>
      </w:pPr>
      <w:r>
        <w:t xml:space="preserve">（三）行政执法评议考核；</w:t>
      </w:r>
    </w:p>
    <w:p>
      <w:pPr>
        <w:pStyle w:val="ArticleBody"/>
      </w:pPr>
      <w:r>
        <w:t xml:space="preserve">（四）行政处罚案卷评查；</w:t>
      </w:r>
    </w:p>
    <w:p>
      <w:pPr>
        <w:pStyle w:val="ArticleBody"/>
      </w:pPr>
      <w:r>
        <w:t xml:space="preserve">（五）办理行政执法投诉举报；</w:t>
      </w:r>
    </w:p>
    <w:p>
      <w:pPr>
        <w:pStyle w:val="ArticleBody"/>
      </w:pPr>
      <w:r>
        <w:t xml:space="preserve">（六）行政处罚结果公开；</w:t>
      </w:r>
    </w:p>
    <w:p>
      <w:pPr>
        <w:pStyle w:val="ArticleBody"/>
      </w:pPr>
      <w:r>
        <w:t xml:space="preserve">（七）法律、法规和规章规定的其他方式。</w:t>
      </w:r>
    </w:p>
    <w:p>
      <w:pPr>
        <w:pStyle w:val="ArticleBody"/>
      </w:pPr>
      <w:r>
        <w:t xml:space="preserve">各级医疗保障行政部门应当加强对下级医疗保障行政部门行使行政处罚裁量权的监督、指导。发现行政处罚裁量违法或者不当的，应当及时纠正。</w:t>
      </w:r>
    </w:p>
    <w:p>
      <w:pPr>
        <w:pStyle w:val="ArticleBody"/>
      </w:pPr>
      <w:r>
        <w:rPr>
          <w:rStyle w:val="ArticleHead"/>
        </w:rPr>
        <w:t xml:space="preserve">第二十二条</w:t>
      </w:r>
      <w:r>
        <w:rPr>
          <w:rStyle w:val="ArticleHead"/>
        </w:rPr>
        <w:t xml:space="preserve"> </w:t>
      </w:r>
      <w:r>
        <w:t xml:space="preserve">医疗保障基金监管行政执法人员滥用行政处罚裁量权的，依法追究其行政责任。涉嫌违纪、犯罪的，移交纪检监察机关、司法机关依法依规处理。</w:t>
      </w:r>
    </w:p>
    <w:p>
      <w:pPr>
        <w:pStyle w:val="ArticleBody"/>
      </w:pPr>
      <w:r>
        <w:rPr>
          <w:rStyle w:val="ArticleHead"/>
        </w:rPr>
        <w:t xml:space="preserve">第二十三条</w:t>
      </w:r>
      <w:r>
        <w:rPr>
          <w:rStyle w:val="ArticleHead"/>
        </w:rPr>
        <w:t xml:space="preserve"> </w:t>
      </w:r>
      <w:r>
        <w:t xml:space="preserve">省级医疗保障行政部门制定的行政处罚裁量权基准，应当及时向社会公开。</w:t>
      </w:r>
    </w:p>
    <w:p>
      <w:pPr>
        <w:pStyle w:val="ArticleBody"/>
      </w:pPr>
      <w:r>
        <w:rPr>
          <w:rStyle w:val="ArticleHead"/>
        </w:rPr>
        <w:t xml:space="preserve">第二十四条</w:t>
      </w:r>
      <w:r>
        <w:rPr>
          <w:rStyle w:val="ArticleHead"/>
        </w:rPr>
        <w:t xml:space="preserve"> </w:t>
      </w:r>
      <w:r>
        <w:t xml:space="preserve">本办法自2021年7月15日实施。</w:t>
      </w:r>
    </w:p>
    <w:sectPr w:rsidR="00CC7B08" w:rsidSect="00682AE7">
      <w:headerReference w:type="default" r:id="rId9"/>
      <w:footerReference w:type="default" r:id="rId11"/>
      <w:footerReference w:type="first" r:id="rId10"/>
      <w:pgSz w:w="12240" w:h="15840"/>
      <w:pgMar w:top="1440" w:right="1800" w:bottom="1440" w:left="1800" w:header="720" w:footer="720" w:gutter="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F490" w14:textId="77777777" w:rsidR="00DA7927" w:rsidRPr="00991CDD" w:rsidRDefault="00DA7927">
    <w:pPr>
      <w:pStyle w:val="af1"/>
      <w:jc w:val="center"/>
      <w:rPr>
        <w:color w:val="808080" w:themeColor="background1" w:themeShade="80"/>
      </w:rPr>
    </w:pPr>
    <w:r w:rsidRPr="00991CDD">
      <w:rPr>
        <w:color w:val="808080" w:themeColor="background1" w:themeShade="80"/>
        <w:lang w:val="zh-CN" w:eastAsia="zh-CN"/>
      </w:rPr>
      <w:t xml:space="preserve"> </w:t>
    </w:r>
    <w:r w:rsidRPr="00991CDD">
      <w:rPr>
        <w:color w:val="808080" w:themeColor="background1" w:themeShade="80"/>
      </w:rPr>
      <w:fldChar w:fldCharType="begin"/>
    </w:r>
    <w:r w:rsidRPr="00991CDD">
      <w:rPr>
        <w:color w:val="808080" w:themeColor="background1" w:themeShade="80"/>
      </w:rPr>
      <w:instrText>PAGE  \* Arabic  \* MERGEFORMAT</w:instrText>
    </w:r>
    <w:r w:rsidRPr="00991CDD">
      <w:rPr>
        <w:color w:val="808080" w:themeColor="background1" w:themeShade="80"/>
      </w:rPr>
      <w:fldChar w:fldCharType="separate"/>
    </w:r>
    <w:r w:rsidRPr="00991CDD">
      <w:rPr>
        <w:color w:val="808080" w:themeColor="background1" w:themeShade="80"/>
        <w:lang w:val="zh-CN" w:eastAsia="zh-CN"/>
      </w:rPr>
      <w:t>2</w:t>
    </w:r>
    <w:r w:rsidRPr="00991CDD">
      <w:rPr>
        <w:color w:val="808080" w:themeColor="background1" w:themeShade="80"/>
      </w:rPr>
      <w:fldChar w:fldCharType="end"/>
    </w:r>
    <w:r w:rsidRPr="00991CDD">
      <w:rPr>
        <w:color w:val="808080" w:themeColor="background1" w:themeShade="80"/>
        <w:lang w:val="zh-CN" w:eastAsia="zh-CN"/>
      </w:rPr>
      <w:t xml:space="preserve"> / </w:t>
    </w:r>
    <w:r w:rsidRPr="00991CDD">
      <w:rPr>
        <w:color w:val="808080" w:themeColor="background1" w:themeShade="80"/>
      </w:rPr>
      <w:fldChar w:fldCharType="begin"/>
    </w:r>
    <w:r w:rsidRPr="00991CDD">
      <w:rPr>
        <w:color w:val="808080" w:themeColor="background1" w:themeShade="80"/>
      </w:rPr>
      <w:instrText>NUMPAGES  \* Arabic  \* MERGEFORMAT</w:instrText>
    </w:r>
    <w:r w:rsidRPr="00991CDD">
      <w:rPr>
        <w:color w:val="808080" w:themeColor="background1" w:themeShade="80"/>
      </w:rPr>
      <w:fldChar w:fldCharType="separate"/>
    </w:r>
    <w:r w:rsidRPr="00991CDD">
      <w:rPr>
        <w:color w:val="808080" w:themeColor="background1" w:themeShade="80"/>
        <w:lang w:val="zh-CN" w:eastAsia="zh-CN"/>
      </w:rPr>
      <w:t>2</w:t>
    </w:r>
    <w:r w:rsidRPr="00991CDD">
      <w:rPr>
        <w:color w:val="808080" w:themeColor="background1" w:themeShade="80"/>
      </w:rPr>
      <w:fldChar w:fldCharType="end"/>
    </w:r>
  </w:p>
  <w:p w14:paraId="391DC504" w14:textId="77777777" w:rsidR="00DA7927" w:rsidRDefault="00DA792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B9E1" w14:textId="77777777" w:rsidR="00980732" w:rsidRPr="00991CDD" w:rsidRDefault="00980732" w:rsidP="00980732">
    <w:pPr>
      <w:pStyle w:val="af1"/>
      <w:jc w:val="center"/>
      <w:rPr>
        <w:color w:val="808080" w:themeColor="background1" w:themeShade="80"/>
      </w:rPr>
    </w:pPr>
    <w:r w:rsidRPr="00991CDD">
      <w:rPr>
        <w:color w:val="808080" w:themeColor="background1" w:themeShade="80"/>
      </w:rPr>
      <w:fldChar w:fldCharType="begin"/>
    </w:r>
    <w:r w:rsidRPr="00991CDD">
      <w:rPr>
        <w:color w:val="808080" w:themeColor="background1" w:themeShade="80"/>
      </w:rPr>
      <w:instrText>PAGE  \* Arabic  \* MERGEFORMAT</w:instrText>
    </w:r>
    <w:r w:rsidRPr="00991CDD">
      <w:rPr>
        <w:color w:val="808080" w:themeColor="background1" w:themeShade="80"/>
      </w:rPr>
      <w:fldChar w:fldCharType="separate"/>
    </w:r>
    <w:r>
      <w:rPr>
        <w:color w:val="808080" w:themeColor="background1" w:themeShade="80"/>
      </w:rPr>
      <w:t>2</w:t>
    </w:r>
    <w:r w:rsidRPr="00991CDD">
      <w:rPr>
        <w:color w:val="808080" w:themeColor="background1" w:themeShade="80"/>
      </w:rPr>
      <w:fldChar w:fldCharType="end"/>
    </w:r>
    <w:r w:rsidRPr="00991CDD">
      <w:rPr>
        <w:color w:val="808080" w:themeColor="background1" w:themeShade="80"/>
        <w:lang w:val="zh-CN" w:eastAsia="zh-CN"/>
      </w:rPr>
      <w:t xml:space="preserve"> / </w:t>
    </w:r>
    <w:r w:rsidRPr="00991CDD">
      <w:rPr>
        <w:color w:val="808080" w:themeColor="background1" w:themeShade="80"/>
      </w:rPr>
      <w:fldChar w:fldCharType="begin"/>
    </w:r>
    <w:r w:rsidRPr="00991CDD">
      <w:rPr>
        <w:color w:val="808080" w:themeColor="background1" w:themeShade="80"/>
      </w:rPr>
      <w:instrText>NUMPAGES  \* Arabic  \* MERGEFORMAT</w:instrText>
    </w:r>
    <w:r w:rsidRPr="00991CDD">
      <w:rPr>
        <w:color w:val="808080" w:themeColor="background1" w:themeShade="80"/>
      </w:rPr>
      <w:fldChar w:fldCharType="separate"/>
    </w:r>
    <w:r>
      <w:rPr>
        <w:color w:val="808080" w:themeColor="background1" w:themeShade="80"/>
      </w:rPr>
      <w:t>2</w:t>
    </w:r>
    <w:r w:rsidRPr="00991CDD">
      <w:rPr>
        <w:color w:val="808080" w:themeColor="background1" w:themeShade="80"/>
      </w:rPr>
      <w:fldChar w:fldCharType="end"/>
    </w:r>
  </w:p>
  <w:p w14:paraId="62EC56E7" w14:textId="77777777" w:rsidR="00980732" w:rsidRDefault="00980732">
    <w:pPr>
      <w:pStyle w:val="af1"/>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611F" w14:textId="2B5CE0F0" w:rsidR="00980732" w:rsidRDefault="00000000">
    <w:pPr>
      <w:pStyle w:val="af"/>
      <w:rPr>
        <w:lang w:eastAsia="zh-CN"/>
      </w:rPr>
    </w:pPr>
    <w:sdt>
      <w:sdtPr>
        <w:rPr>
          <w:caps/>
          <w:color w:val="1F497D" w:themeColor="text2"/>
          <w:sz w:val="16"/>
          <w:szCs w:val="16"/>
          <w:u w:val="words"/>
        </w:rPr>
        <w:alias w:val="标题"/>
        <w:tag w:val=""/>
        <w:id w:val="307668787"/>
        <w:placeholder>
          <w:docPart w:val="8987CF8CFD5A494BA4CCEA3B83FD4BA4"/>
        </w:placeholder>
        <w:dataBinding w:prefixMappings="xmlns:ns0='http://purl.org/dc/elements/1.1/' xmlns:ns1='http://schemas.openxmlformats.org/package/2006/metadata/core-properties' " w:xpath="/ns1:coreProperties[1]/ns0:title[1]" w:storeItemID="{6C3C8BC8-F283-45AE-878A-BAB7291924A1}"/>
        <w:text/>
      </w:sdtPr>
      <w:sdtContent>
        <w:r w:rsidR="00682AE7">
          <w:rPr>
            <w:caps/>
            <w:color w:val="1F497D" w:themeColor="text2"/>
            <w:sz w:val="16"/>
            <w:szCs w:val="16"/>
            <w:u w:val="words"/>
          </w:rPr>
          <w:t>Title</w:t>
        </w:r>
      </w:sdtContent>
    </w:sdt>
    <w:r w:rsidR="00682AE7" w:rsidRPr="00682AE7">
      <w:rPr>
        <w:caps/>
        <w:color w:val="1F497D" w:themeColor="text2"/>
        <w:sz w:val="16"/>
        <w:szCs w:val="16"/>
        <w:u w:val="words"/>
      </w:rPr>
      <w:ptab w:relativeTo="margin" w:alignment="center" w:leader="none"/>
    </w:r>
    <w:r w:rsidR="00682AE7" w:rsidRPr="00682AE7">
      <w:rPr>
        <w:caps/>
        <w:color w:val="1F497D" w:themeColor="text2"/>
        <w:sz w:val="16"/>
        <w:szCs w:val="16"/>
        <w:u w:val="words"/>
      </w:rPr>
      <w:ptab w:relativeTo="margin" w:alignment="right" w:leader="none"/>
    </w:r>
    <w:sdt>
      <w:sdtPr>
        <w:rPr>
          <w:caps/>
          <w:color w:val="1F497D" w:themeColor="text2"/>
          <w:sz w:val="16"/>
          <w:szCs w:val="16"/>
          <w:u w:val="words"/>
        </w:rPr>
        <w:alias w:val="作者"/>
        <w:tag w:val=""/>
        <w:id w:val="1033303816"/>
        <w:placeholder>
          <w:docPart w:val="F54E810B9B9344D8A1CC0B1D7EBE36D5"/>
        </w:placeholder>
        <w:dataBinding w:prefixMappings="xmlns:ns0='http://purl.org/dc/elements/1.1/' xmlns:ns1='http://schemas.openxmlformats.org/package/2006/metadata/core-properties' " w:xpath="/ns1:coreProperties[1]/ns0:creator[1]" w:storeItemID="{6C3C8BC8-F283-45AE-878A-BAB7291924A1}"/>
        <w:text/>
      </w:sdtPr>
      <w:sdtContent>
        <w:r w:rsidR="00682AE7">
          <w:rPr>
            <w:caps/>
            <w:color w:val="1F497D" w:themeColor="text2"/>
            <w:sz w:val="16"/>
            <w:szCs w:val="16"/>
            <w:u w:val="words"/>
          </w:rPr>
          <w:t>Author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rsid w:val="00991CDD"/>
    <w:pPr>
      <w:keepNext/>
      <w:keepLines/>
      <w:spacing w:before="480" w:after="400"/>
      <w:jc w:val="center"/>
      <w:outlineLvl w:val="0"/>
    </w:pPr>
    <w:rPr>
      <w:rFonts w:asciiTheme="majorHAnsi" w:eastAsiaTheme="majorEastAsia" w:hAnsiTheme="majorHAnsi" w:cstheme="majorBidi"/>
      <w:b/>
      <w:bCs/>
      <w:color w:val="4F81BD" w:themeColor="accent1"/>
      <w:sz w:val="40"/>
      <w:szCs w:val="32"/>
    </w:rPr>
  </w:style>
  <w:style w:type="paragraph" w:styleId="2">
    <w:name w:val="heading 2"/>
    <w:basedOn w:val="a"/>
    <w:next w:val="a0"/>
    <w:uiPriority w:val="9"/>
    <w:unhideWhenUsed/>
    <w:qFormat/>
    <w:rsid w:val="00991CDD"/>
    <w:pPr>
      <w:keepNext/>
      <w:keepLines/>
      <w:spacing w:before="480" w:after="400"/>
      <w:jc w:val="center"/>
      <w:outlineLvl w:val="1"/>
    </w:pPr>
    <w:rPr>
      <w:rFonts w:asciiTheme="majorHAnsi" w:eastAsiaTheme="majorEastAsia" w:hAnsiTheme="majorHAnsi" w:cstheme="majorBidi"/>
      <w:b/>
      <w:bCs/>
      <w:color w:val="4F81BD" w:themeColor="accent1"/>
      <w:sz w:val="36"/>
      <w:szCs w:val="28"/>
    </w:rPr>
  </w:style>
  <w:style w:type="paragraph" w:styleId="3">
    <w:name w:val="heading 3"/>
    <w:basedOn w:val="a"/>
    <w:next w:val="a0"/>
    <w:uiPriority w:val="9"/>
    <w:unhideWhenUsed/>
    <w:qFormat/>
    <w:rsid w:val="00991CDD"/>
    <w:pPr>
      <w:keepNext/>
      <w:keepLines/>
      <w:spacing w:before="480" w:after="400"/>
      <w:jc w:val="center"/>
      <w:outlineLvl w:val="2"/>
    </w:pPr>
    <w:rPr>
      <w:rFonts w:asciiTheme="majorHAnsi" w:eastAsiaTheme="majorEastAsia" w:hAnsiTheme="majorHAnsi" w:cstheme="majorBidi"/>
      <w:b/>
      <w:bCs/>
      <w:color w:val="4F81BD" w:themeColor="accent1"/>
      <w:sz w:val="32"/>
    </w:rPr>
  </w:style>
  <w:style w:type="paragraph" w:styleId="4">
    <w:name w:val="heading 4"/>
    <w:basedOn w:val="a"/>
    <w:next w:val="a0"/>
    <w:uiPriority w:val="9"/>
    <w:unhideWhenUsed/>
    <w:qFormat/>
    <w:rsid w:val="0095402B"/>
    <w:pPr>
      <w:keepNext/>
      <w:keepLines/>
      <w:spacing w:before="480" w:after="400"/>
      <w:jc w:val="center"/>
      <w:outlineLvl w:val="3"/>
    </w:pPr>
    <w:rPr>
      <w:rFonts w:asciiTheme="majorHAnsi" w:eastAsiaTheme="majorEastAsia" w:hAnsiTheme="majorHAnsi" w:cstheme="majorBidi"/>
      <w:b/>
      <w:bCs/>
      <w:color w:val="4F81BD" w:themeColor="accent1"/>
      <w:sz w:val="28"/>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rsid w:val="002302D4"/>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qFormat/>
    <w:rsid w:val="006D1009"/>
    <w:pPr>
      <w:keepNext/>
      <w:keepLines/>
      <w:spacing w:before="480" w:after="240"/>
      <w:jc w:val="center"/>
    </w:pPr>
    <w:rPr>
      <w:rFonts w:asciiTheme="majorHAnsi" w:eastAsiaTheme="majorEastAsia" w:hAnsiTheme="majorHAnsi" w:cstheme="majorBidi"/>
      <w:b/>
      <w:bCs/>
      <w:sz w:val="36"/>
      <w:szCs w:val="36"/>
    </w:rPr>
  </w:style>
  <w:style w:type="paragraph" w:styleId="a6">
    <w:name w:val="Subtitle"/>
    <w:basedOn w:val="a5"/>
    <w:next w:val="a0"/>
    <w:qFormat/>
    <w:pPr>
      <w:spacing w:before="240"/>
    </w:pPr>
    <w:rPr>
      <w:sz w:val="30"/>
      <w:szCs w:val="30"/>
    </w:rPr>
  </w:style>
  <w:style w:type="paragraph" w:customStyle="1" w:styleId="Author">
    <w:name w:val="Author"/>
    <w:next w:val="a0"/>
    <w:qFormat/>
    <w:rsid w:val="0029058A"/>
    <w:pPr>
      <w:keepNext/>
      <w:keepLines/>
      <w:spacing w:after="0" w:line="14" w:lineRule="exact"/>
      <w:jc w:val="center"/>
    </w:pPr>
    <w:rPr>
      <w:color w:val="FFFFFF" w:themeColor="background1"/>
    </w:rPr>
  </w:style>
  <w:style w:type="paragraph" w:styleId="a7">
    <w:name w:val="Date"/>
    <w:next w:val="a0"/>
    <w:qFormat/>
    <w:pPr>
      <w:keepNext/>
      <w:keepLines/>
      <w:jc w:val="center"/>
    </w:pPr>
  </w:style>
  <w:style w:type="paragraph" w:customStyle="1" w:styleId="Abstract">
    <w:name w:val="Abstract"/>
    <w:basedOn w:val="a"/>
    <w:next w:val="a0"/>
    <w:qFormat/>
    <w:rsid w:val="0070793D"/>
    <w:pPr>
      <w:keepNext/>
      <w:keepLines/>
      <w:spacing w:after="0"/>
    </w:pPr>
    <w:rPr>
      <w:rFonts w:eastAsia="楷体"/>
      <w:sz w:val="18"/>
      <w:szCs w:val="20"/>
    </w:rPr>
  </w:style>
  <w:style w:type="paragraph" w:styleId="a8">
    <w:name w:val="Bibliography"/>
    <w:basedOn w:val="a"/>
    <w:qFormat/>
  </w:style>
  <w:style w:type="paragraph" w:styleId="a9">
    <w:name w:val="Block Text"/>
    <w:basedOn w:val="a0"/>
    <w:next w:val="a0"/>
    <w:uiPriority w:val="9"/>
    <w:unhideWhenUsed/>
    <w:qFormat/>
    <w:pPr>
      <w:spacing w:before="100" w:after="100"/>
      <w:ind w:left="480" w:right="480"/>
    </w:pPr>
  </w:style>
  <w:style w:type="paragraph" w:styleId="aa">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b">
    <w:name w:val="caption"/>
    <w:basedOn w:val="a"/>
    <w:link w:val="ac"/>
    <w:pPr>
      <w:spacing w:after="120"/>
    </w:pPr>
    <w:rPr>
      <w:i/>
    </w:rPr>
  </w:style>
  <w:style w:type="paragraph" w:customStyle="1" w:styleId="TableCaption">
    <w:name w:val="Table Caption"/>
    <w:basedOn w:val="ab"/>
    <w:pPr>
      <w:keepNext/>
    </w:pPr>
  </w:style>
  <w:style w:type="paragraph" w:customStyle="1" w:styleId="ImageCaption">
    <w:name w:val="Image Caption"/>
    <w:basedOn w:val="ab"/>
  </w:style>
  <w:style w:type="paragraph" w:customStyle="1" w:styleId="Figure">
    <w:name w:val="Figure"/>
    <w:basedOn w:val="a"/>
  </w:style>
  <w:style w:type="paragraph" w:customStyle="1" w:styleId="CaptionedFigure">
    <w:name w:val="Captioned Figure"/>
    <w:basedOn w:val="Figure"/>
    <w:pPr>
      <w:keepNext/>
    </w:pPr>
  </w:style>
  <w:style w:type="character" w:customStyle="1" w:styleId="ac">
    <w:name w:val="题注 字符"/>
    <w:basedOn w:val="a1"/>
    <w:link w:val="ab"/>
  </w:style>
  <w:style w:type="character" w:customStyle="1" w:styleId="VerbatimChar">
    <w:name w:val="Verbatim Char"/>
    <w:basedOn w:val="ac"/>
    <w:rPr>
      <w:rFonts w:ascii="Consolas" w:hAnsi="Consolas"/>
      <w:sz w:val="22"/>
    </w:rPr>
  </w:style>
  <w:style w:type="character" w:customStyle="1" w:styleId="SectionNumber">
    <w:name w:val="Section Number"/>
    <w:basedOn w:val="ac"/>
  </w:style>
  <w:style w:type="character" w:styleId="ad">
    <w:name w:val="footnote reference"/>
    <w:basedOn w:val="ac"/>
    <w:rPr>
      <w:vertAlign w:val="superscript"/>
    </w:rPr>
  </w:style>
  <w:style w:type="character" w:styleId="ae">
    <w:name w:val="Hyperlink"/>
    <w:basedOn w:val="ac"/>
    <w:rPr>
      <w:color w:val="4F81BD" w:themeColor="accent1"/>
    </w:rPr>
  </w:style>
  <w:style w:type="paragraph" w:styleId="TOC">
    <w:name w:val="TOC Heading"/>
    <w:basedOn w:val="1"/>
    <w:next w:val="a0"/>
    <w:uiPriority w:val="39"/>
    <w:unhideWhenUsed/>
    <w:qFormat/>
    <w:pPr>
      <w:spacing w:before="240" w:line="259" w:lineRule="auto"/>
      <w:outlineLvl w:val="9"/>
    </w:pPr>
    <w:rPr>
      <w:b w:val="0"/>
      <w:bCs w:val="0"/>
      <w:color w:val="365F91" w:themeColor="accent1" w:themeShade="BF"/>
    </w:rPr>
  </w:style>
  <w:style w:type="paragraph" w:styleId="af">
    <w:name w:val="header"/>
    <w:basedOn w:val="a"/>
    <w:link w:val="af0"/>
    <w:uiPriority w:val="99"/>
    <w:unhideWhenUsed/>
    <w:rsid w:val="002905F9"/>
    <w:pPr>
      <w:tabs>
        <w:tab w:val="center" w:pos="4320"/>
        <w:tab w:val="right" w:pos="8640"/>
      </w:tabs>
      <w:spacing w:after="0"/>
    </w:pPr>
  </w:style>
  <w:style w:type="character" w:customStyle="1" w:styleId="af0">
    <w:name w:val="页眉 字符"/>
    <w:basedOn w:val="a1"/>
    <w:link w:val="af"/>
    <w:uiPriority w:val="99"/>
    <w:rsid w:val="002905F9"/>
  </w:style>
  <w:style w:type="paragraph" w:styleId="af1">
    <w:name w:val="footer"/>
    <w:basedOn w:val="a"/>
    <w:link w:val="af2"/>
    <w:uiPriority w:val="99"/>
    <w:unhideWhenUsed/>
    <w:rsid w:val="002905F9"/>
    <w:pPr>
      <w:tabs>
        <w:tab w:val="center" w:pos="4320"/>
        <w:tab w:val="right" w:pos="8640"/>
      </w:tabs>
      <w:spacing w:after="0"/>
    </w:pPr>
  </w:style>
  <w:style w:type="character" w:customStyle="1" w:styleId="af2">
    <w:name w:val="页脚 字符"/>
    <w:basedOn w:val="a1"/>
    <w:link w:val="af1"/>
    <w:uiPriority w:val="99"/>
    <w:rsid w:val="002905F9"/>
  </w:style>
  <w:style w:type="paragraph" w:customStyle="1" w:styleId="Info">
    <w:name w:val="Info"/>
    <w:basedOn w:val="a0"/>
    <w:link w:val="Info0"/>
    <w:autoRedefine/>
    <w:qFormat/>
    <w:rsid w:val="00B616C5"/>
    <w:pPr>
      <w:spacing w:before="0" w:after="0"/>
    </w:pPr>
    <w:rPr>
      <w:sz w:val="20"/>
    </w:rPr>
  </w:style>
  <w:style w:type="character" w:customStyle="1" w:styleId="a4">
    <w:name w:val="正文文本 字符"/>
    <w:basedOn w:val="a1"/>
    <w:link w:val="a0"/>
    <w:rsid w:val="002905F9"/>
  </w:style>
  <w:style w:type="character" w:customStyle="1" w:styleId="Info0">
    <w:name w:val="Info 字符"/>
    <w:basedOn w:val="a4"/>
    <w:link w:val="Info"/>
    <w:rsid w:val="00B616C5"/>
    <w:rPr>
      <w:sz w:val="20"/>
    </w:rPr>
  </w:style>
  <w:style w:type="character" w:customStyle="1" w:styleId="ArticleAnnotation">
    <w:name w:val="Article Annotation"/>
    <w:basedOn w:val="a1"/>
    <w:uiPriority w:val="1"/>
    <w:qFormat/>
    <w:rsid w:val="00991CDD"/>
    <w:rPr>
      <w:rFonts w:eastAsia="宋体"/>
      <w:b/>
      <w:i w:val="0"/>
      <w:color w:val="1F497D" w:themeColor="text2"/>
    </w:rPr>
  </w:style>
  <w:style w:type="paragraph" w:customStyle="1" w:styleId="ArticleBody">
    <w:name w:val="Article Body"/>
    <w:basedOn w:val="a0"/>
    <w:qFormat/>
    <w:rsid w:val="00C64016"/>
    <w:pPr>
      <w:ind w:firstLineChars="200" w:firstLine="200"/>
    </w:pPr>
    <w:rPr>
      <w:rFonts w:eastAsia="仿宋"/>
      <w:lang w:eastAsia="zh-CN"/>
    </w:rPr>
  </w:style>
  <w:style w:type="character" w:customStyle="1" w:styleId="ArticleHead">
    <w:name w:val="Article Head"/>
    <w:basedOn w:val="a1"/>
    <w:uiPriority w:val="1"/>
    <w:qFormat/>
    <w:rsid w:val="003A4D3E"/>
    <w:rPr>
      <w:rFonts w:eastAsia="黑体"/>
      <w:b w:val="0"/>
      <w:i w:val="0"/>
      <w:color w:val="C0504D" w:themeColor="accent2"/>
      <w:spacing w:val="0"/>
      <w:sz w:val="26"/>
      <w:lang w:eastAsia="zh-CN"/>
    </w:rPr>
  </w:style>
  <w:style w:type="paragraph" w:customStyle="1" w:styleId="ArticleImage">
    <w:name w:val="Article Image"/>
    <w:basedOn w:val="ArticleBody"/>
    <w:qFormat/>
    <w:rsid w:val="00716993"/>
    <w:pPr>
      <w:ind w:firstLine="480"/>
      <w:jc w:val="center"/>
    </w:pPr>
  </w:style>
  <w:style w:type="paragraph" w:customStyle="1" w:styleId="ArticleImageTitle">
    <w:name w:val="Article Image Title"/>
    <w:basedOn w:val="ArticleImage"/>
    <w:qFormat/>
    <w:rsid w:val="008447C2"/>
    <w:rPr>
      <w:rFonts w:eastAsia="宋体"/>
      <w:sz w:val="22"/>
      <w:szCs w:val="22"/>
    </w:rPr>
  </w:style>
  <w:style w:type="character" w:customStyle="1" w:styleId="InfoTitle">
    <w:name w:val="Info Title"/>
    <w:basedOn w:val="a1"/>
    <w:uiPriority w:val="1"/>
    <w:qFormat/>
    <w:rsid w:val="00991CDD"/>
    <w:rPr>
      <w:b/>
      <w:color w:val="4F81BD" w:themeColor="accent1"/>
      <w:lang w:eastAsia="zh-CN"/>
    </w:rPr>
  </w:style>
  <w:style w:type="character" w:styleId="af3">
    <w:name w:val="Placeholder Text"/>
    <w:basedOn w:val="a1"/>
    <w:uiPriority w:val="99"/>
    <w:semiHidden/>
    <w:rsid w:val="00980732"/>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39911">
      <w:bodyDiv w:val="1"/>
      <w:marLeft w:val="0"/>
      <w:marRight w:val="0"/>
      <w:marTop w:val="0"/>
      <w:marBottom w:val="0"/>
      <w:divBdr>
        <w:top w:val="none" w:sz="0" w:space="0" w:color="auto"/>
        <w:left w:val="none" w:sz="0" w:space="0" w:color="auto"/>
        <w:bottom w:val="none" w:sz="0" w:space="0" w:color="auto"/>
        <w:right w:val="none" w:sz="0" w:space="0" w:color="auto"/>
      </w:divBdr>
      <w:divsChild>
        <w:div w:id="772093580">
          <w:marLeft w:val="0"/>
          <w:marRight w:val="0"/>
          <w:marTop w:val="0"/>
          <w:marBottom w:val="0"/>
          <w:divBdr>
            <w:top w:val="none" w:sz="0" w:space="0" w:color="auto"/>
            <w:left w:val="none" w:sz="0" w:space="0" w:color="auto"/>
            <w:bottom w:val="none" w:sz="0" w:space="0" w:color="auto"/>
            <w:right w:val="none" w:sz="0" w:space="0" w:color="auto"/>
          </w:divBdr>
          <w:divsChild>
            <w:div w:id="15150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5777">
      <w:bodyDiv w:val="1"/>
      <w:marLeft w:val="0"/>
      <w:marRight w:val="0"/>
      <w:marTop w:val="0"/>
      <w:marBottom w:val="0"/>
      <w:divBdr>
        <w:top w:val="none" w:sz="0" w:space="0" w:color="auto"/>
        <w:left w:val="none" w:sz="0" w:space="0" w:color="auto"/>
        <w:bottom w:val="none" w:sz="0" w:space="0" w:color="auto"/>
        <w:right w:val="none" w:sz="0" w:space="0" w:color="auto"/>
      </w:divBdr>
      <w:divsChild>
        <w:div w:id="1939292803">
          <w:marLeft w:val="0"/>
          <w:marRight w:val="0"/>
          <w:marTop w:val="0"/>
          <w:marBottom w:val="0"/>
          <w:divBdr>
            <w:top w:val="none" w:sz="0" w:space="0" w:color="auto"/>
            <w:left w:val="none" w:sz="0" w:space="0" w:color="auto"/>
            <w:bottom w:val="none" w:sz="0" w:space="0" w:color="auto"/>
            <w:right w:val="none" w:sz="0" w:space="0" w:color="auto"/>
          </w:divBdr>
          <w:divsChild>
            <w:div w:id="3104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13708">
      <w:bodyDiv w:val="1"/>
      <w:marLeft w:val="0"/>
      <w:marRight w:val="0"/>
      <w:marTop w:val="0"/>
      <w:marBottom w:val="0"/>
      <w:divBdr>
        <w:top w:val="none" w:sz="0" w:space="0" w:color="auto"/>
        <w:left w:val="none" w:sz="0" w:space="0" w:color="auto"/>
        <w:bottom w:val="none" w:sz="0" w:space="0" w:color="auto"/>
        <w:right w:val="none" w:sz="0" w:space="0" w:color="auto"/>
      </w:divBdr>
      <w:divsChild>
        <w:div w:id="1540047518">
          <w:marLeft w:val="0"/>
          <w:marRight w:val="0"/>
          <w:marTop w:val="0"/>
          <w:marBottom w:val="0"/>
          <w:divBdr>
            <w:top w:val="none" w:sz="0" w:space="0" w:color="auto"/>
            <w:left w:val="none" w:sz="0" w:space="0" w:color="auto"/>
            <w:bottom w:val="none" w:sz="0" w:space="0" w:color="auto"/>
            <w:right w:val="none" w:sz="0" w:space="0" w:color="auto"/>
          </w:divBdr>
          <w:divsChild>
            <w:div w:id="9243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2561">
      <w:bodyDiv w:val="1"/>
      <w:marLeft w:val="0"/>
      <w:marRight w:val="0"/>
      <w:marTop w:val="0"/>
      <w:marBottom w:val="0"/>
      <w:divBdr>
        <w:top w:val="none" w:sz="0" w:space="0" w:color="auto"/>
        <w:left w:val="none" w:sz="0" w:space="0" w:color="auto"/>
        <w:bottom w:val="none" w:sz="0" w:space="0" w:color="auto"/>
        <w:right w:val="none" w:sz="0" w:space="0" w:color="auto"/>
      </w:divBdr>
      <w:divsChild>
        <w:div w:id="1125126160">
          <w:marLeft w:val="0"/>
          <w:marRight w:val="0"/>
          <w:marTop w:val="0"/>
          <w:marBottom w:val="0"/>
          <w:divBdr>
            <w:top w:val="none" w:sz="0" w:space="0" w:color="auto"/>
            <w:left w:val="none" w:sz="0" w:space="0" w:color="auto"/>
            <w:bottom w:val="none" w:sz="0" w:space="0" w:color="auto"/>
            <w:right w:val="none" w:sz="0" w:space="0" w:color="auto"/>
          </w:divBdr>
          <w:divsChild>
            <w:div w:id="8382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79474">
      <w:bodyDiv w:val="1"/>
      <w:marLeft w:val="0"/>
      <w:marRight w:val="0"/>
      <w:marTop w:val="0"/>
      <w:marBottom w:val="0"/>
      <w:divBdr>
        <w:top w:val="none" w:sz="0" w:space="0" w:color="auto"/>
        <w:left w:val="none" w:sz="0" w:space="0" w:color="auto"/>
        <w:bottom w:val="none" w:sz="0" w:space="0" w:color="auto"/>
        <w:right w:val="none" w:sz="0" w:space="0" w:color="auto"/>
      </w:divBdr>
      <w:divsChild>
        <w:div w:id="657807862">
          <w:marLeft w:val="0"/>
          <w:marRight w:val="0"/>
          <w:marTop w:val="0"/>
          <w:marBottom w:val="0"/>
          <w:divBdr>
            <w:top w:val="none" w:sz="0" w:space="0" w:color="auto"/>
            <w:left w:val="none" w:sz="0" w:space="0" w:color="auto"/>
            <w:bottom w:val="none" w:sz="0" w:space="0" w:color="auto"/>
            <w:right w:val="none" w:sz="0" w:space="0" w:color="auto"/>
          </w:divBdr>
          <w:divsChild>
            <w:div w:id="4855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5181">
      <w:bodyDiv w:val="1"/>
      <w:marLeft w:val="0"/>
      <w:marRight w:val="0"/>
      <w:marTop w:val="0"/>
      <w:marBottom w:val="0"/>
      <w:divBdr>
        <w:top w:val="none" w:sz="0" w:space="0" w:color="auto"/>
        <w:left w:val="none" w:sz="0" w:space="0" w:color="auto"/>
        <w:bottom w:val="none" w:sz="0" w:space="0" w:color="auto"/>
        <w:right w:val="none" w:sz="0" w:space="0" w:color="auto"/>
      </w:divBdr>
      <w:divsChild>
        <w:div w:id="349837243">
          <w:marLeft w:val="0"/>
          <w:marRight w:val="0"/>
          <w:marTop w:val="0"/>
          <w:marBottom w:val="0"/>
          <w:divBdr>
            <w:top w:val="none" w:sz="0" w:space="0" w:color="auto"/>
            <w:left w:val="none" w:sz="0" w:space="0" w:color="auto"/>
            <w:bottom w:val="none" w:sz="0" w:space="0" w:color="auto"/>
            <w:right w:val="none" w:sz="0" w:space="0" w:color="auto"/>
          </w:divBdr>
          <w:divsChild>
            <w:div w:id="17908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2.xml" /><Relationship Id="rId11"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规范医疗保障基金使用监督管理行政处罚裁量权办法（2021年）</dc:title>
  <dc:creator>法律法规速查APP</dc:creator>
  <cp:keywords/>
  <dcterms:created xsi:type="dcterms:W3CDTF">2025-06-10T00:45:18Z</dcterms:created>
  <dcterms:modified xsi:type="dcterms:W3CDTF">2025-06-10T00:45:18Z</dcterms:modified>
</cp:coreProperties>
</file>

<file path=docProps/custom.xml><?xml version="1.0" encoding="utf-8"?>
<Properties xmlns="http://schemas.openxmlformats.org/officeDocument/2006/custom-properties" xmlns:vt="http://schemas.openxmlformats.org/officeDocument/2006/docPropsVTypes"/>
</file>