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EB0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80" w:firstLineChars="200"/>
        <w:jc w:val="center"/>
        <w:textAlignment w:val="baseline"/>
        <w:rPr>
          <w:rFonts w:hint="eastAsia" w:ascii="宋体" w:hAnsi="宋体" w:eastAsia="Arial" w:cs="宋体"/>
          <w:b/>
          <w:bCs/>
          <w:snapToGrid w:val="0"/>
          <w:color w:val="000000"/>
          <w:sz w:val="40"/>
          <w:szCs w:val="40"/>
          <w:highlight w:val="none"/>
          <w:lang w:val="en-US" w:eastAsia="zh-CN" w:bidi="ar-SA"/>
        </w:rPr>
      </w:pPr>
      <w:r>
        <w:rPr>
          <w:rFonts w:hint="eastAsia" w:ascii="方正小标宋简体" w:hAnsi="Times New Roman" w:eastAsia="方正小标宋简体" w:cs="Times New Roman"/>
          <w:snapToGrid/>
          <w:kern w:val="2"/>
          <w:sz w:val="44"/>
          <w:szCs w:val="44"/>
          <w:lang w:val="en-US" w:eastAsia="zh-CN"/>
        </w:rPr>
        <w:t>淮北市第一幼儿园食堂食材配送服务</w:t>
      </w:r>
      <w:r>
        <w:rPr>
          <w:rFonts w:hint="eastAsia" w:ascii="宋体" w:hAnsi="宋体" w:eastAsia="Arial" w:cs="宋体"/>
          <w:b/>
          <w:bCs/>
          <w:snapToGrid w:val="0"/>
          <w:color w:val="000000"/>
          <w:sz w:val="40"/>
          <w:szCs w:val="40"/>
          <w:highlight w:val="none"/>
          <w:lang w:val="en-US" w:eastAsia="zh-CN" w:bidi="ar-SA"/>
        </w:rPr>
        <w:t>项目</w:t>
      </w:r>
    </w:p>
    <w:p w14:paraId="24364170">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（一）采购需求</w:t>
      </w:r>
    </w:p>
    <w:tbl>
      <w:tblPr>
        <w:tblStyle w:val="9"/>
        <w:tblW w:w="94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4097"/>
        <w:gridCol w:w="1721"/>
        <w:gridCol w:w="2316"/>
      </w:tblGrid>
      <w:tr w14:paraId="2882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1267" w:type="dxa"/>
            <w:tcBorders>
              <w:top w:val="single" w:color="000000" w:sz="4" w:space="0"/>
            </w:tcBorders>
            <w:noWrap w:val="0"/>
            <w:vAlign w:val="top"/>
          </w:tcPr>
          <w:p w14:paraId="1D7DAB5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类别</w:t>
            </w:r>
          </w:p>
        </w:tc>
        <w:tc>
          <w:tcPr>
            <w:tcW w:w="4097" w:type="dxa"/>
            <w:tcBorders>
              <w:top w:val="single" w:color="000000" w:sz="4" w:space="0"/>
            </w:tcBorders>
            <w:noWrap w:val="0"/>
            <w:vAlign w:val="top"/>
          </w:tcPr>
          <w:p w14:paraId="170D296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货物名称</w:t>
            </w:r>
          </w:p>
        </w:tc>
        <w:tc>
          <w:tcPr>
            <w:tcW w:w="1721" w:type="dxa"/>
            <w:tcBorders>
              <w:top w:val="single" w:color="000000" w:sz="4" w:space="0"/>
            </w:tcBorders>
            <w:noWrap w:val="0"/>
            <w:vAlign w:val="top"/>
          </w:tcPr>
          <w:p w14:paraId="282E9E8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品牌要求</w:t>
            </w:r>
          </w:p>
        </w:tc>
        <w:tc>
          <w:tcPr>
            <w:tcW w:w="2316" w:type="dxa"/>
            <w:tcBorders>
              <w:top w:val="single" w:color="000000" w:sz="4" w:space="0"/>
            </w:tcBorders>
            <w:noWrap w:val="0"/>
            <w:vAlign w:val="top"/>
          </w:tcPr>
          <w:p w14:paraId="3B9BDFB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备注</w:t>
            </w:r>
          </w:p>
        </w:tc>
      </w:tr>
      <w:tr w14:paraId="3C84A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267" w:type="dxa"/>
            <w:vMerge w:val="restart"/>
            <w:tcBorders>
              <w:bottom w:val="nil"/>
            </w:tcBorders>
            <w:noWrap w:val="0"/>
            <w:vAlign w:val="center"/>
          </w:tcPr>
          <w:p w14:paraId="68167C9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粮油</w:t>
            </w:r>
          </w:p>
        </w:tc>
        <w:tc>
          <w:tcPr>
            <w:tcW w:w="4097" w:type="dxa"/>
            <w:noWrap w:val="0"/>
            <w:vAlign w:val="top"/>
          </w:tcPr>
          <w:p w14:paraId="7E2B16C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大米（优质米、丝苗米、中籼米、晚籼米、糯米等）；面粉类（高筋面粉、中筋面粉、低筋面粉、无筋面粉、面条、饺皮等）；</w:t>
            </w:r>
          </w:p>
        </w:tc>
        <w:tc>
          <w:tcPr>
            <w:tcW w:w="1721" w:type="dxa"/>
            <w:noWrap w:val="0"/>
            <w:vAlign w:val="top"/>
          </w:tcPr>
          <w:p w14:paraId="4340A2FF">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具备供应品牌货物能力</w:t>
            </w:r>
          </w:p>
        </w:tc>
        <w:tc>
          <w:tcPr>
            <w:tcW w:w="2316" w:type="dxa"/>
            <w:vMerge w:val="restart"/>
            <w:tcBorders>
              <w:bottom w:val="nil"/>
            </w:tcBorders>
            <w:noWrap w:val="0"/>
            <w:vAlign w:val="top"/>
          </w:tcPr>
          <w:p w14:paraId="081B75B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非转基因，外包装完 好，有SC编号，标明品名、厂名、重量、 生产日期、保质期或保存期、执行标准， 剩余保质期不少于三分之二，具有产品合格证及检测报告.</w:t>
            </w:r>
          </w:p>
        </w:tc>
      </w:tr>
      <w:tr w14:paraId="2534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3" w:hRule="atLeast"/>
        </w:trPr>
        <w:tc>
          <w:tcPr>
            <w:tcW w:w="1267" w:type="dxa"/>
            <w:vMerge w:val="continue"/>
            <w:tcBorders>
              <w:top w:val="nil"/>
              <w:bottom w:val="single" w:color="000000" w:sz="4" w:space="0"/>
            </w:tcBorders>
            <w:noWrap w:val="0"/>
            <w:vAlign w:val="top"/>
          </w:tcPr>
          <w:p w14:paraId="07B1B58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4097" w:type="dxa"/>
            <w:tcBorders>
              <w:bottom w:val="single" w:color="000000" w:sz="4" w:space="0"/>
            </w:tcBorders>
            <w:noWrap w:val="0"/>
            <w:vAlign w:val="center"/>
          </w:tcPr>
          <w:p w14:paraId="4B3B0EE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食用油（花生油、调和油、菜籽油等）</w:t>
            </w:r>
          </w:p>
        </w:tc>
        <w:tc>
          <w:tcPr>
            <w:tcW w:w="1721" w:type="dxa"/>
            <w:tcBorders>
              <w:bottom w:val="single" w:color="000000" w:sz="4" w:space="0"/>
            </w:tcBorders>
            <w:noWrap w:val="0"/>
            <w:vAlign w:val="center"/>
          </w:tcPr>
          <w:p w14:paraId="4CEE92F5">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具备供应品牌货物能力</w:t>
            </w:r>
          </w:p>
        </w:tc>
        <w:tc>
          <w:tcPr>
            <w:tcW w:w="2316" w:type="dxa"/>
            <w:vMerge w:val="continue"/>
            <w:tcBorders>
              <w:top w:val="nil"/>
              <w:bottom w:val="single" w:color="000000" w:sz="4" w:space="0"/>
            </w:tcBorders>
            <w:noWrap w:val="0"/>
            <w:vAlign w:val="top"/>
          </w:tcPr>
          <w:p w14:paraId="5839B95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r>
      <w:tr w14:paraId="4A86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267" w:type="dxa"/>
            <w:vMerge w:val="restart"/>
            <w:tcBorders>
              <w:top w:val="single" w:color="000000" w:sz="4" w:space="0"/>
            </w:tcBorders>
            <w:noWrap w:val="0"/>
            <w:vAlign w:val="top"/>
          </w:tcPr>
          <w:p w14:paraId="2272A30F">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p w14:paraId="3C9BB415">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鲜肉</w:t>
            </w:r>
          </w:p>
        </w:tc>
        <w:tc>
          <w:tcPr>
            <w:tcW w:w="4097" w:type="dxa"/>
            <w:tcBorders>
              <w:top w:val="single" w:color="000000" w:sz="4" w:space="0"/>
            </w:tcBorders>
            <w:noWrap w:val="0"/>
            <w:vAlign w:val="top"/>
          </w:tcPr>
          <w:p w14:paraId="4C8F556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新鲜软排、猪肉、牛肉、羊肉等</w:t>
            </w:r>
          </w:p>
        </w:tc>
        <w:tc>
          <w:tcPr>
            <w:tcW w:w="1721" w:type="dxa"/>
            <w:tcBorders>
              <w:top w:val="single" w:color="000000" w:sz="4" w:space="0"/>
            </w:tcBorders>
            <w:noWrap w:val="0"/>
            <w:vAlign w:val="top"/>
          </w:tcPr>
          <w:p w14:paraId="76CF2F6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2316" w:type="dxa"/>
            <w:vMerge w:val="restart"/>
            <w:tcBorders>
              <w:top w:val="single" w:color="000000" w:sz="4" w:space="0"/>
              <w:bottom w:val="nil"/>
            </w:tcBorders>
            <w:noWrap w:val="0"/>
            <w:vAlign w:val="top"/>
          </w:tcPr>
          <w:p w14:paraId="4F819F0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保持新鲜，符合《食品安全国家标准鲜（冻）畜、禽产品》（GB2707-2016）标准要求和GB2733-2015《鲜、冻动物性水产品卫生标准》，具有产品合格证及检测报告.</w:t>
            </w:r>
          </w:p>
        </w:tc>
      </w:tr>
      <w:tr w14:paraId="720F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5" w:hRule="atLeast"/>
        </w:trPr>
        <w:tc>
          <w:tcPr>
            <w:tcW w:w="1267" w:type="dxa"/>
            <w:vMerge w:val="continue"/>
            <w:noWrap w:val="0"/>
            <w:vAlign w:val="top"/>
          </w:tcPr>
          <w:p w14:paraId="3FC80EE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4097" w:type="dxa"/>
            <w:noWrap w:val="0"/>
            <w:vAlign w:val="top"/>
          </w:tcPr>
          <w:p w14:paraId="0478BD6F">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精品前夹、后座、五花肉、软排、 牛羊肉等</w:t>
            </w:r>
          </w:p>
        </w:tc>
        <w:tc>
          <w:tcPr>
            <w:tcW w:w="1721" w:type="dxa"/>
            <w:noWrap w:val="0"/>
            <w:vAlign w:val="top"/>
          </w:tcPr>
          <w:p w14:paraId="42C147F3">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2316" w:type="dxa"/>
            <w:vMerge w:val="continue"/>
            <w:tcBorders>
              <w:top w:val="nil"/>
              <w:bottom w:val="nil"/>
            </w:tcBorders>
            <w:noWrap w:val="0"/>
            <w:vAlign w:val="top"/>
          </w:tcPr>
          <w:p w14:paraId="288F9852">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r>
      <w:tr w14:paraId="1C461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1267" w:type="dxa"/>
            <w:noWrap w:val="0"/>
            <w:vAlign w:val="top"/>
          </w:tcPr>
          <w:p w14:paraId="7D6656F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家禽</w:t>
            </w:r>
          </w:p>
        </w:tc>
        <w:tc>
          <w:tcPr>
            <w:tcW w:w="4097" w:type="dxa"/>
            <w:noWrap w:val="0"/>
            <w:vAlign w:val="top"/>
          </w:tcPr>
          <w:p w14:paraId="5A754160">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净膛过的鸡、鸭、鹅等常用家禽</w:t>
            </w:r>
          </w:p>
        </w:tc>
        <w:tc>
          <w:tcPr>
            <w:tcW w:w="1721" w:type="dxa"/>
            <w:noWrap w:val="0"/>
            <w:vAlign w:val="top"/>
          </w:tcPr>
          <w:p w14:paraId="7433C16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2316" w:type="dxa"/>
            <w:vMerge w:val="continue"/>
            <w:tcBorders>
              <w:top w:val="nil"/>
              <w:bottom w:val="nil"/>
            </w:tcBorders>
            <w:noWrap w:val="0"/>
            <w:vAlign w:val="top"/>
          </w:tcPr>
          <w:p w14:paraId="675057C9">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r>
      <w:tr w14:paraId="28CF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6" w:hRule="atLeast"/>
        </w:trPr>
        <w:tc>
          <w:tcPr>
            <w:tcW w:w="1267" w:type="dxa"/>
            <w:noWrap w:val="0"/>
            <w:vAlign w:val="top"/>
          </w:tcPr>
          <w:p w14:paraId="7813E19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蛋类</w:t>
            </w:r>
          </w:p>
        </w:tc>
        <w:tc>
          <w:tcPr>
            <w:tcW w:w="4097" w:type="dxa"/>
            <w:noWrap w:val="0"/>
            <w:vAlign w:val="top"/>
          </w:tcPr>
          <w:p w14:paraId="65841D8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鲜鸭蛋、鲜鸡蛋等</w:t>
            </w:r>
          </w:p>
        </w:tc>
        <w:tc>
          <w:tcPr>
            <w:tcW w:w="1721" w:type="dxa"/>
            <w:noWrap w:val="0"/>
            <w:vAlign w:val="top"/>
          </w:tcPr>
          <w:p w14:paraId="4586395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2316" w:type="dxa"/>
            <w:vMerge w:val="continue"/>
            <w:tcBorders>
              <w:top w:val="nil"/>
              <w:bottom w:val="nil"/>
            </w:tcBorders>
            <w:noWrap w:val="0"/>
            <w:vAlign w:val="top"/>
          </w:tcPr>
          <w:p w14:paraId="7B3F107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r>
      <w:tr w14:paraId="7965C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267" w:type="dxa"/>
            <w:noWrap w:val="0"/>
            <w:vAlign w:val="top"/>
          </w:tcPr>
          <w:p w14:paraId="3831865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杂粮</w:t>
            </w:r>
          </w:p>
        </w:tc>
        <w:tc>
          <w:tcPr>
            <w:tcW w:w="4097" w:type="dxa"/>
            <w:noWrap w:val="0"/>
            <w:vAlign w:val="top"/>
          </w:tcPr>
          <w:p w14:paraId="30FF7AE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红薯、紫芋、玉米、花生等</w:t>
            </w:r>
          </w:p>
        </w:tc>
        <w:tc>
          <w:tcPr>
            <w:tcW w:w="1721" w:type="dxa"/>
            <w:noWrap w:val="0"/>
            <w:vAlign w:val="top"/>
          </w:tcPr>
          <w:p w14:paraId="04EE681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2316" w:type="dxa"/>
            <w:vMerge w:val="continue"/>
            <w:tcBorders>
              <w:top w:val="nil"/>
              <w:bottom w:val="nil"/>
            </w:tcBorders>
            <w:noWrap w:val="0"/>
            <w:vAlign w:val="top"/>
          </w:tcPr>
          <w:p w14:paraId="0B5FF01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r>
      <w:tr w14:paraId="6A607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0" w:hRule="atLeast"/>
        </w:trPr>
        <w:tc>
          <w:tcPr>
            <w:tcW w:w="1267" w:type="dxa"/>
            <w:noWrap w:val="0"/>
            <w:vAlign w:val="top"/>
          </w:tcPr>
          <w:p w14:paraId="53AC679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p w14:paraId="4939A197">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副食调料</w:t>
            </w:r>
          </w:p>
        </w:tc>
        <w:tc>
          <w:tcPr>
            <w:tcW w:w="4097" w:type="dxa"/>
            <w:noWrap w:val="0"/>
            <w:vAlign w:val="top"/>
          </w:tcPr>
          <w:p w14:paraId="580D27B2">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干货类：香菇、木耳、黄豆、绿豆、紫菜、八角、桂皮、干辣椒、榨菜、梅干菜、干豆角、干扁豆、干笋、海带等；调味类：加碘盐、生抽、老抽、辣椒酱、豆瓣酱、牛肉酱、胡椒粉、麻油、豆豉、料酒、醋、味精、鸡精、卤料、白糖、虾皮等；豆制品：豆腐、豆干、豆腐果等；</w:t>
            </w:r>
          </w:p>
        </w:tc>
        <w:tc>
          <w:tcPr>
            <w:tcW w:w="1721" w:type="dxa"/>
            <w:noWrap w:val="0"/>
            <w:vAlign w:val="top"/>
          </w:tcPr>
          <w:p w14:paraId="2AFC55F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p>
        </w:tc>
        <w:tc>
          <w:tcPr>
            <w:tcW w:w="2316" w:type="dxa"/>
            <w:tcBorders>
              <w:bottom w:val="nil"/>
            </w:tcBorders>
            <w:noWrap w:val="0"/>
            <w:vAlign w:val="top"/>
          </w:tcPr>
          <w:p w14:paraId="7D3F21D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符合GB2712-2014食品安全国家标准，剩余保质期不少于三分之二，具有产品合格证及检测报告.</w:t>
            </w:r>
          </w:p>
        </w:tc>
      </w:tr>
      <w:tr w14:paraId="64CFD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2" w:hRule="atLeast"/>
        </w:trPr>
        <w:tc>
          <w:tcPr>
            <w:tcW w:w="9401" w:type="dxa"/>
            <w:gridSpan w:val="4"/>
            <w:noWrap w:val="0"/>
            <w:vAlign w:val="top"/>
          </w:tcPr>
          <w:p w14:paraId="223D84C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注：1.以上所有货物按国家食品卫生标准要求执行，并全程提供冷链运输（相关冷链运输设备或车辆，具有国家相应主管部门认证）。</w:t>
            </w:r>
          </w:p>
          <w:p w14:paraId="72AAA085">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2.肉类、家禽、蛋类必须具有相对应的动物检验检疫证明，肉类产品应具有屠宰证明等相关产品证明，在供货时供采购人查验（成交供应商需在服务期限内随时接受采购人对食品安全相关证明的检查）。</w:t>
            </w:r>
          </w:p>
          <w:p w14:paraId="71E737D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3.所供应食材中，家禽类为净菜。</w:t>
            </w:r>
          </w:p>
          <w:p w14:paraId="7F2DE95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4.粮油类、副食调料等应符合国家相关标准，并拥有食品生产许可证SC编号。</w:t>
            </w:r>
          </w:p>
          <w:p w14:paraId="5306C34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5.供应商所供所有食材需票证齐全，随时接受市场局、幼儿园和食堂管理人员检查。</w:t>
            </w:r>
          </w:p>
        </w:tc>
      </w:tr>
    </w:tbl>
    <w:p w14:paraId="4B78A8C0">
      <w:pPr>
        <w:keepNext w:val="0"/>
        <w:keepLines w:val="0"/>
        <w:pageBreakBefore w:val="0"/>
        <w:wordWrap/>
        <w:overflowPunct/>
        <w:topLinePunct w:val="0"/>
        <w:bidi w:val="0"/>
        <w:spacing w:line="500" w:lineRule="exact"/>
        <w:rPr>
          <w:rFonts w:hint="eastAsia" w:ascii="宋体" w:hAnsi="宋体" w:eastAsia="宋体" w:cs="宋体"/>
          <w:color w:val="auto"/>
          <w:spacing w:val="0"/>
          <w:position w:val="0"/>
        </w:rPr>
      </w:pPr>
    </w:p>
    <w:p w14:paraId="5824ED9D">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（二）质量要求</w:t>
      </w:r>
    </w:p>
    <w:p w14:paraId="534447FF">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成交供应商应严格遵守《食品卫生法》相关规定，确保食品质量符合国家相关产品质量标准，符合国家强制性规范要求，所供产品质量为同类产品中一类以上产品，必须确保每日或每批次提供的食材经过相关检验检疫。如出现因食用其提供的食材导致食物安全事故发生，成交供应商承担一切经济、法律责任。一经发现供应以下食品，采购人除全部退货外，有权立即停止成交供应商供货，同时终止合同，没收全部履约保证金，成交供应商承担由此造成的经济责任和法律责任。</w:t>
      </w:r>
    </w:p>
    <w:p w14:paraId="4B0154C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1.腐败变质、油脂酸败、霉变、生虫、污秽不洁、混有异物或者其他感官性状异常，对人体健康有害的。</w:t>
      </w:r>
    </w:p>
    <w:p w14:paraId="4F898152">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2.含有毒、有害物质或者被有害物质污染，对人体健康有害的。</w:t>
      </w:r>
    </w:p>
    <w:p w14:paraId="41CB66D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3.含有致病性寄生虫、微生物或者微生物含量超过国家限定标准的。</w:t>
      </w:r>
    </w:p>
    <w:p w14:paraId="1B590340">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4.无定点屠宰证明、无卫生检验检疫或者检验不合格的肉类及其制品。</w:t>
      </w:r>
    </w:p>
    <w:p w14:paraId="52BFB35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5.掺假、掺杂、伪造、影响营养、卫生的含有未经卫生行政部门批准使用的添加剂，农药（残留）的。</w:t>
      </w:r>
    </w:p>
    <w:p w14:paraId="7105CE4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6.用非食品原料加工的，加入非食品用化学物质或者将非食品当作食品的。</w:t>
      </w:r>
    </w:p>
    <w:p w14:paraId="3545CB6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7.病死、毒死或死因不明的禽、畜、兽动物及其制品。</w:t>
      </w:r>
    </w:p>
    <w:p w14:paraId="5C5AED6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8.超过保质期限的食材。</w:t>
      </w:r>
    </w:p>
    <w:p w14:paraId="0A2CEC7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9.其他可能存在导致出现食品安全隐患的食材。</w:t>
      </w:r>
    </w:p>
    <w:p w14:paraId="4B6E0A18">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（三）验收</w:t>
      </w:r>
    </w:p>
    <w:p w14:paraId="64EAA89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货到后，成交供应商配合采购人对食材进行抽检，抽检不合格，采购人有权依具体状况作扣罚拒收、罚款或退货处理。采购人在使用过程中有权进行复检，复检发现不合格、品质不一或不能正常使用及其他情况，可以直接从履约保证金中扣除该批货物全部货款，造成其他损失的，成交供应商仍应予以相应赔偿。</w:t>
      </w:r>
    </w:p>
    <w:p w14:paraId="3096BCC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2.若成交供应商提供的产品质量不符合采购人质量要求，采购人有权解除合同，并要求成交供应商承担相应损失。</w:t>
      </w:r>
    </w:p>
    <w:p w14:paraId="5E2D99F2">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（四）数量要求</w:t>
      </w:r>
    </w:p>
    <w:p w14:paraId="7B73C64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1.供货数量以采购人订单为准，具体结算以采购人实际收到的经验收合格的货物数量为准。</w:t>
      </w:r>
    </w:p>
    <w:p w14:paraId="33B8B7E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2.如成交供应商已在货物包装外明示标准数量，经采购人检验实际数量低于该明示数量的，采购人可扣除差异数量的 3 倍以下的货款。</w:t>
      </w:r>
    </w:p>
    <w:p w14:paraId="3F3E32F9">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（五）供货配送要求</w:t>
      </w:r>
    </w:p>
    <w:p w14:paraId="10FCCE8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1.配送要求</w:t>
      </w:r>
    </w:p>
    <w:p w14:paraId="6530F67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1.1 成交供应商应当在接到订单后的次日早晨采购人要求的时间前将食材送到采购人指定地点，交付前的风险及运费由成交供应商承担。其中蔬菜、肉类等要求每日供货，遇到临时需要时，成交供应商能够按照要求及时提供补货。</w:t>
      </w:r>
    </w:p>
    <w:p w14:paraId="4095643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1.2 成交供应商擅自推迟送货，采购人有权拒绝验收签单。</w:t>
      </w:r>
    </w:p>
    <w:p w14:paraId="65F0BB5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1.3 每日及每批次提供的原料，必须经食堂相关管理人员验收签单后才能视为有效，否则均视为无效供货。</w:t>
      </w:r>
    </w:p>
    <w:p w14:paraId="0F6D94A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1.4 成交供应商必须对每日及每批次提供的食品提供相关检验检疫证，并附有追溯证明等相关材料，具有产品合格证及检测报告，否则食堂有权拒绝验收签单。</w:t>
      </w:r>
    </w:p>
    <w:p w14:paraId="36932CE7">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1.5 规格包装的产品交付时，必须原包装完好无损，否则食堂有权拒收。</w:t>
      </w:r>
    </w:p>
    <w:p w14:paraId="4171DC6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1.6 成交供应商应具备应急配送能力。供应商成交后做到紧急情况下在接到采购人通知后一个小时之内供货。</w:t>
      </w:r>
    </w:p>
    <w:p w14:paraId="799ABA19">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1.7 实际配送量以食堂验收数量为准。如因个别品种市场短缺无法采购，成交供应商应及时与食堂管理人联系进行调整更换。</w:t>
      </w:r>
    </w:p>
    <w:p w14:paraId="4650980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2.包装要求</w:t>
      </w:r>
    </w:p>
    <w:p w14:paraId="1CBBFEA9">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2.1 全部菜品均应采用一定保护措施，防止在运输过程中损坏或变质；</w:t>
      </w:r>
    </w:p>
    <w:p w14:paraId="6ADDCBFA">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2.2 每种菜品必须单独分装，如果其保护措施不妥而引起货物变质和丢失等任何损失的责任和费用由供方承担。</w:t>
      </w:r>
    </w:p>
    <w:p w14:paraId="78F86B8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3.质量要求</w:t>
      </w:r>
    </w:p>
    <w:p w14:paraId="539B4CB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3.1 成交供应商应按照采购人订单的品名、重量及双方约定的价格进行配送，食材必须符合国家食品安全质量要求，并提供农产品批发市场、农产品质量安全检测中心出具的农残检测报告、肉禽检验检疫报告。</w:t>
      </w:r>
    </w:p>
    <w:p w14:paraId="17173772">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3.2 肉类、禽蛋类必须具有相对应的动物检验检疫证明，肉类产品应具有屠宰证明等相关产品证明。</w:t>
      </w:r>
    </w:p>
    <w:p w14:paraId="1A7734A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3.3 所供应的食材中家禽类为净菜（新鲜消毒）。</w:t>
      </w:r>
    </w:p>
    <w:p w14:paraId="18EAF94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 畜肉类质量要求</w:t>
      </w:r>
    </w:p>
    <w:p w14:paraId="1454D266">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3.4.1 持动物产品检疫合格证明，所有畜肉必须为鲜货；</w:t>
      </w:r>
    </w:p>
    <w:p w14:paraId="1A98EB80">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3.4.2 猪肉为精腿肉无油膘（反刀泡子），表皮呈乳白色、无毛、不腻手，肉质有光泽、红色均匀、肥肉白色且清新，肉质结实、肉层分明、质纹细嫩、有韧性，指压后凹陷立即恢复、表面无积水现象；</w:t>
      </w:r>
    </w:p>
    <w:p w14:paraId="1445370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3.4.3 猪蹄需带筋，长约15cm，配送前须烧洗，避免多毛和毛腥味；</w:t>
      </w:r>
    </w:p>
    <w:p w14:paraId="5A0C1B6E">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3.4.4 肘子需去骨，每根不超过 3 斤；</w:t>
      </w:r>
    </w:p>
    <w:p w14:paraId="4880CC10">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3.4.5 精五花须去掉两头，无油膘、无肉泡；</w:t>
      </w:r>
    </w:p>
    <w:p w14:paraId="097AA61F">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3.4.5 排骨取中排，须去掉两头；</w:t>
      </w:r>
    </w:p>
    <w:p w14:paraId="0963B40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3.4.6 猪上杂须为一套；</w:t>
      </w:r>
    </w:p>
    <w:p w14:paraId="6EB60F2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3.4.7 鲜兔肉质色泽红亮、无异味；</w:t>
      </w:r>
    </w:p>
    <w:p w14:paraId="7BA9C79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3.4.8 精牛肉须无肉筋，烧牛肉须配送中牛腩，卤牛肉须配送牛小腱子肉。</w:t>
      </w:r>
    </w:p>
    <w:p w14:paraId="51B8B61D">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3.5 禽肉类质量要求</w:t>
      </w:r>
    </w:p>
    <w:p w14:paraId="7D33BAD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3.5.1 鲜禽肌肉结实、有弹性，表面无积水现象，表面干爽，指压不存痕；</w:t>
      </w:r>
    </w:p>
    <w:p w14:paraId="01FA08E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3.5.2 鸡肉呈玫瑰红色，鸭、鹅肉为红色，脂肪呈白色或淡黄色，有光泽，硬度适中，无不良颗粒存在。</w:t>
      </w:r>
    </w:p>
    <w:p w14:paraId="0674F424">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（六） 履约及违约</w:t>
      </w:r>
    </w:p>
    <w:p w14:paraId="110E93DC">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1.成交供应商应保证所提供响应材料的真实性，若成交供应商承诺不属实，一经查实，采购人有权立即停止成交供应商供货，同时终止合同。</w:t>
      </w:r>
    </w:p>
    <w:p w14:paraId="3644F972">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2.成交供应商应具备持续供货能力，不得以任何借口拒绝向采购人供货（不可抗力原因除外），成交供应商不能保证及时供货，应当在收到订单后 2 小时内通知采购人，承担采购人造成的实际经济损失，并从当月货款中扣除作为成交供应商向采购人支付的赔偿金。</w:t>
      </w:r>
    </w:p>
    <w:p w14:paraId="0FDD7A51">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3.因成交供应商配送不及时导致伙食供应延时且经成交供应商采取补救措施未造成影响的，每次从当月货款中扣除作为成交供应商向采购人支付的赔偿金，超过三次的，采购人有权取消供货合同。</w:t>
      </w:r>
    </w:p>
    <w:p w14:paraId="5B5D7B30">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4.采购人临时增加用餐人员，需临时补充原料的，成交供应商应在约定时间内无条件把指定的原料送至指定的地点，否则按上述第 2 条处理。</w:t>
      </w:r>
    </w:p>
    <w:p w14:paraId="2A21C727">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5.所供应的食材中家禽类为净菜。如达不到该要求则全额扣除当日全部菜金。</w:t>
      </w:r>
    </w:p>
    <w:p w14:paraId="251553E7">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6.凡经相关部门认定，如因成交供应商所提供的原料原因造成采购人食堂出现食物中毒等卫生事故的，成交供应商除必须承担全部的法律责任外，还要全额承担因食物中毒发生造成后果的一切费用。采购人有权立即停止成交供应商供货，同时终止合同，暂扣当月所有供应原料的货款作为成交供应商的赔偿预付款。</w:t>
      </w:r>
    </w:p>
    <w:p w14:paraId="6A2B32EB">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7.凡成交供应商提供产品发生质量问题，影响食用但未造成不良后果的，经三方确认，第一次扣除货款的20%，第三次扣除货款的30%，第三次扣除货款的50%且取消合同，并承担采购人因此造成的实际经济损失。</w:t>
      </w:r>
    </w:p>
    <w:p w14:paraId="0477DE44">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8.凡供应货物故意串规、定量包装批量误差超过相关规定误差之短缺，一经查实，供货方需按当日采购量的3 倍误差值向采购人赔偿。</w:t>
      </w:r>
    </w:p>
    <w:p w14:paraId="7056EDF8">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9.若因成交供应商提供的发票不合法，导致采购人无法转账及引起其他经济损失的，一切均由成交供应商承担，同时采购人有权终止合同。</w:t>
      </w:r>
    </w:p>
    <w:p w14:paraId="5E1A46A0">
      <w:pPr>
        <w:widowControl w:val="0"/>
        <w:kinsoku/>
        <w:autoSpaceDE/>
        <w:autoSpaceDN/>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bookmarkStart w:id="0" w:name="_bookmark7"/>
      <w:bookmarkEnd w:id="0"/>
      <w:bookmarkStart w:id="1" w:name="_bookmark8"/>
      <w:bookmarkEnd w:id="1"/>
      <w:r>
        <w:rPr>
          <w:rFonts w:hint="eastAsia" w:ascii="黑体" w:hAnsi="黑体" w:eastAsia="黑体" w:cs="黑体"/>
          <w:snapToGrid/>
          <w:kern w:val="2"/>
          <w:sz w:val="32"/>
          <w:szCs w:val="32"/>
          <w:lang w:val="en-US" w:eastAsia="zh-CN"/>
        </w:rPr>
        <w:t>（七）、其他要求</w:t>
      </w:r>
    </w:p>
    <w:p w14:paraId="32041CC3">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1.服务期间所属员工发生人身事故、财产损失，均由成交供应商负责。</w:t>
      </w:r>
    </w:p>
    <w:p w14:paraId="4823FF79">
      <w:pPr>
        <w:widowControl w:val="0"/>
        <w:kinsoku/>
        <w:autoSpaceDE/>
        <w:autoSpaceDN/>
        <w:adjustRightInd/>
        <w:snapToGrid/>
        <w:spacing w:line="56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w:t>
      </w:r>
      <w:bookmarkStart w:id="2" w:name="_GoBack"/>
      <w:bookmarkEnd w:id="2"/>
      <w:r>
        <w:rPr>
          <w:rFonts w:hint="eastAsia" w:ascii="Times New Roman" w:hAnsi="Times New Roman" w:eastAsia="仿宋_GB2312" w:cs="Times New Roman"/>
          <w:snapToGrid/>
          <w:kern w:val="2"/>
          <w:sz w:val="32"/>
          <w:szCs w:val="32"/>
          <w:lang w:val="en-US" w:eastAsia="zh-CN"/>
        </w:rPr>
        <w:t>以上未尽事宜由成交供应商与食堂管理人员共同协商解决。</w:t>
      </w:r>
    </w:p>
    <w:p w14:paraId="13772A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rPr>
      </w:pPr>
    </w:p>
    <w:sectPr>
      <w:pgSz w:w="11906" w:h="16838"/>
      <w:pgMar w:top="1440" w:right="1219" w:bottom="1440" w:left="12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YjU1MDA2ZmRlMDhiMTFhZGY1N2NjYzM1Mjk5NWIifQ=="/>
  </w:docVars>
  <w:rsids>
    <w:rsidRoot w:val="00000000"/>
    <w:rsid w:val="16050914"/>
    <w:rsid w:val="23231BE8"/>
    <w:rsid w:val="2AF7727E"/>
    <w:rsid w:val="37A15DB7"/>
    <w:rsid w:val="3FCF05DD"/>
    <w:rsid w:val="4008492F"/>
    <w:rsid w:val="41EB172B"/>
    <w:rsid w:val="4A6A4F1F"/>
    <w:rsid w:val="4B8D63D1"/>
    <w:rsid w:val="5A0C7DA1"/>
    <w:rsid w:val="64F058C2"/>
    <w:rsid w:val="68156C97"/>
    <w:rsid w:val="6C8D2FC3"/>
    <w:rsid w:val="6E147DCA"/>
    <w:rsid w:val="717C7162"/>
    <w:rsid w:val="789C65B6"/>
    <w:rsid w:val="7F39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bidi="zh-CN"/>
    </w:rPr>
  </w:style>
  <w:style w:type="paragraph" w:styleId="3">
    <w:name w:val="Body Text Indent"/>
    <w:basedOn w:val="1"/>
    <w:next w:val="4"/>
    <w:qFormat/>
    <w:uiPriority w:val="0"/>
    <w:pPr>
      <w:autoSpaceDE/>
      <w:autoSpaceDN/>
      <w:adjustRightInd/>
      <w:ind w:firstLine="645"/>
      <w:jc w:val="both"/>
    </w:pPr>
    <w:rPr>
      <w:rFonts w:ascii="楷体_GB2312" w:hAnsi="Calibri" w:eastAsia="楷体_GB2312"/>
      <w:kern w:val="2"/>
      <w:sz w:val="32"/>
    </w:rPr>
  </w:style>
  <w:style w:type="paragraph" w:styleId="4">
    <w:name w:val="envelope return"/>
    <w:basedOn w:val="1"/>
    <w:next w:val="3"/>
    <w:qFormat/>
    <w:uiPriority w:val="0"/>
    <w:rPr>
      <w:szCs w:val="24"/>
    </w:rPr>
  </w:style>
  <w:style w:type="paragraph" w:styleId="5">
    <w:name w:val="Body Text First Indent"/>
    <w:basedOn w:val="2"/>
    <w:unhideWhenUsed/>
    <w:qFormat/>
    <w:uiPriority w:val="99"/>
    <w:pPr>
      <w:ind w:firstLine="420" w:firstLineChars="100"/>
    </w:pPr>
  </w:style>
  <w:style w:type="paragraph" w:styleId="6">
    <w:name w:val="Body Text First Indent 2"/>
    <w:basedOn w:val="3"/>
    <w:next w:val="1"/>
    <w:qFormat/>
    <w:uiPriority w:val="0"/>
    <w:pPr>
      <w:spacing w:after="120"/>
      <w:ind w:left="420" w:leftChars="200" w:firstLine="420" w:firstLineChars="200"/>
    </w:pPr>
    <w:rPr>
      <w:rFonts w:ascii="Times New Roman" w:hAnsi="Times New Roman"/>
      <w:sz w:val="21"/>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3298</Words>
  <Characters>3411</Characters>
  <Lines>0</Lines>
  <Paragraphs>0</Paragraphs>
  <TotalTime>4</TotalTime>
  <ScaleCrop>false</ScaleCrop>
  <LinksUpToDate>false</LinksUpToDate>
  <CharactersWithSpaces>3450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2024-07-02T09:44:00Z</dcterms:created>
  <dc:creator>Administrator</dc:creator>
  <cp:lastModifiedBy>等待⌛️</cp:lastModifiedBy>
  <dcterms:modified xsi:type="dcterms:W3CDTF">2026-07-16T12:33:02Z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E7027CCF2A7E45888995E3399C2F41A7_12</vt:lpwstr>
  </property>
  <property fmtid="{D5CDD505-2E9C-101B-9397-08002B2CF9AE}" pid="4" name="KSOTemplateDocerSaveRecord">
    <vt:lpwstr>eyJoZGlkIjoiZjc4NDAxNjc0ZjZmOTU5OWUyYjEyMzc2ZmVmOWIyYmEiLCJ1c2VySWQiOiIyMzAwNzk5NTEifQ==</vt:lpwstr>
  </property>
</Properties>
</file>